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after="0" w:line="360" w:lineRule="auto"/>
        <w:ind w:left="180" w:right="0" w:firstLine="0"/>
        <w:jc w:val="center"/>
        <w:rPr>
          <w:rFonts w:cs="Times New Roman"/>
          <w:color w:val="auto"/>
          <w:sz w:val="72"/>
          <w:highlight w:val="none"/>
        </w:rPr>
      </w:pPr>
    </w:p>
    <w:p>
      <w:pPr>
        <w:spacing w:after="0" w:line="360" w:lineRule="auto"/>
        <w:ind w:left="180" w:right="0" w:firstLine="0"/>
        <w:jc w:val="center"/>
        <w:rPr>
          <w:color w:val="auto"/>
          <w:highlight w:val="none"/>
        </w:rPr>
      </w:pPr>
    </w:p>
    <w:p>
      <w:pPr>
        <w:spacing w:after="0" w:line="360" w:lineRule="auto"/>
        <w:ind w:left="-2" w:leftChars="-1" w:right="0" w:firstLine="1"/>
        <w:jc w:val="center"/>
        <w:rPr>
          <w:rFonts w:cs="Times New Roman"/>
          <w:b/>
          <w:color w:val="auto"/>
          <w:sz w:val="48"/>
          <w:highlight w:val="none"/>
        </w:rPr>
      </w:pPr>
      <w:r>
        <w:rPr>
          <w:rFonts w:cs="Times New Roman"/>
          <w:b/>
          <w:color w:val="auto"/>
          <w:sz w:val="48"/>
          <w:highlight w:val="none"/>
        </w:rPr>
        <w:t>中山大学附属第一医院</w:t>
      </w:r>
      <w:r>
        <w:rPr>
          <w:rFonts w:hint="eastAsia" w:cs="Times New Roman"/>
          <w:b/>
          <w:color w:val="auto"/>
          <w:sz w:val="48"/>
          <w:highlight w:val="none"/>
        </w:rPr>
        <w:t>数据中心</w:t>
      </w:r>
    </w:p>
    <w:p>
      <w:pPr>
        <w:spacing w:after="0" w:line="360" w:lineRule="auto"/>
        <w:ind w:left="-2" w:leftChars="-1" w:right="0" w:firstLine="1"/>
        <w:jc w:val="center"/>
        <w:rPr>
          <w:color w:val="auto"/>
          <w:highlight w:val="none"/>
        </w:rPr>
      </w:pPr>
      <w:r>
        <w:rPr>
          <w:rFonts w:hint="eastAsia" w:cs="Times New Roman"/>
          <w:b/>
          <w:color w:val="auto"/>
          <w:sz w:val="48"/>
          <w:highlight w:val="none"/>
        </w:rPr>
        <w:t>及配套建设工程</w:t>
      </w:r>
    </w:p>
    <w:p>
      <w:pPr>
        <w:spacing w:after="0" w:line="360" w:lineRule="auto"/>
        <w:ind w:left="90" w:right="0" w:firstLine="0"/>
        <w:jc w:val="center"/>
        <w:rPr>
          <w:rFonts w:cs="Times New Roman"/>
          <w:color w:val="auto"/>
          <w:sz w:val="36"/>
          <w:highlight w:val="none"/>
        </w:rPr>
      </w:pPr>
    </w:p>
    <w:p>
      <w:pPr>
        <w:spacing w:after="0" w:line="360" w:lineRule="auto"/>
        <w:ind w:left="90" w:right="0" w:firstLine="0"/>
        <w:jc w:val="center"/>
        <w:rPr>
          <w:color w:val="auto"/>
          <w:highlight w:val="none"/>
        </w:rPr>
      </w:pPr>
    </w:p>
    <w:p>
      <w:pPr>
        <w:spacing w:after="0" w:line="360" w:lineRule="auto"/>
        <w:ind w:left="90" w:right="0" w:firstLine="0"/>
        <w:jc w:val="center"/>
        <w:rPr>
          <w:rFonts w:cs="Times New Roman"/>
          <w:color w:val="auto"/>
          <w:sz w:val="36"/>
          <w:highlight w:val="none"/>
        </w:rPr>
      </w:pPr>
    </w:p>
    <w:p>
      <w:pPr>
        <w:spacing w:after="0" w:line="360" w:lineRule="auto"/>
        <w:ind w:left="90" w:right="0" w:firstLine="0"/>
        <w:jc w:val="center"/>
        <w:rPr>
          <w:color w:val="auto"/>
          <w:highlight w:val="none"/>
        </w:rPr>
      </w:pPr>
    </w:p>
    <w:p>
      <w:pPr>
        <w:spacing w:after="0" w:line="360" w:lineRule="auto"/>
        <w:ind w:left="3555" w:right="3218" w:hanging="21"/>
        <w:jc w:val="center"/>
        <w:rPr>
          <w:color w:val="auto"/>
          <w:sz w:val="28"/>
          <w:highlight w:val="none"/>
        </w:rPr>
      </w:pPr>
      <w:r>
        <w:rPr>
          <w:color w:val="auto"/>
          <w:sz w:val="28"/>
          <w:highlight w:val="none"/>
        </w:rPr>
        <w:t>技术规格说明书</w:t>
      </w:r>
    </w:p>
    <w:tbl>
      <w:tblPr>
        <w:tblStyle w:val="26"/>
        <w:tblpPr w:leftFromText="180" w:rightFromText="180" w:vertAnchor="text" w:horzAnchor="page" w:tblpX="2035" w:tblpY="974"/>
        <w:tblOverlap w:val="never"/>
        <w:tblW w:w="7663" w:type="dxa"/>
        <w:tblInd w:w="0" w:type="dxa"/>
        <w:tblLayout w:type="autofit"/>
        <w:tblCellMar>
          <w:top w:w="0" w:type="dxa"/>
          <w:left w:w="0" w:type="dxa"/>
          <w:bottom w:w="8" w:type="dxa"/>
          <w:right w:w="0" w:type="dxa"/>
        </w:tblCellMar>
      </w:tblPr>
      <w:tblGrid>
        <w:gridCol w:w="2802"/>
        <w:gridCol w:w="4861"/>
      </w:tblGrid>
      <w:tr>
        <w:tblPrEx>
          <w:tblCellMar>
            <w:top w:w="0" w:type="dxa"/>
            <w:left w:w="0" w:type="dxa"/>
            <w:bottom w:w="8" w:type="dxa"/>
            <w:right w:w="0" w:type="dxa"/>
          </w:tblCellMar>
        </w:tblPrEx>
        <w:trPr>
          <w:trHeight w:val="2282" w:hRule="atLeast"/>
        </w:trPr>
        <w:tc>
          <w:tcPr>
            <w:tcW w:w="2802" w:type="dxa"/>
            <w:tcBorders>
              <w:top w:val="nil"/>
              <w:left w:val="nil"/>
              <w:bottom w:val="nil"/>
              <w:right w:val="nil"/>
            </w:tcBorders>
          </w:tcPr>
          <w:p>
            <w:pPr>
              <w:spacing w:after="0" w:line="360" w:lineRule="auto"/>
              <w:ind w:left="0" w:right="0" w:firstLine="0"/>
              <w:rPr>
                <w:color w:val="auto"/>
                <w:highlight w:val="none"/>
              </w:rPr>
            </w:pPr>
            <w:r>
              <w:rPr>
                <w:rFonts w:cs="Times New Roman"/>
                <w:color w:val="auto"/>
                <w:sz w:val="22"/>
                <w:highlight w:val="none"/>
              </w:rPr>
              <w:t xml:space="preserve"> </w:t>
            </w:r>
          </w:p>
          <w:p>
            <w:pPr>
              <w:spacing w:after="0" w:line="360" w:lineRule="auto"/>
              <w:ind w:left="0" w:right="0" w:firstLine="0"/>
              <w:rPr>
                <w:color w:val="auto"/>
                <w:highlight w:val="none"/>
              </w:rPr>
            </w:pPr>
            <w:r>
              <w:rPr>
                <w:rFonts w:cs="Times New Roman"/>
                <w:color w:val="auto"/>
                <w:sz w:val="22"/>
                <w:highlight w:val="none"/>
              </w:rPr>
              <w:t xml:space="preserve"> </w:t>
            </w:r>
          </w:p>
          <w:p>
            <w:pPr>
              <w:spacing w:after="0" w:line="360" w:lineRule="auto"/>
              <w:ind w:left="0" w:right="0" w:firstLine="0"/>
              <w:rPr>
                <w:color w:val="auto"/>
                <w:highlight w:val="none"/>
              </w:rPr>
            </w:pPr>
            <w:r>
              <w:rPr>
                <w:rFonts w:cs="Times New Roman"/>
                <w:color w:val="auto"/>
                <w:sz w:val="22"/>
                <w:highlight w:val="none"/>
              </w:rPr>
              <w:t xml:space="preserve"> </w:t>
            </w:r>
          </w:p>
          <w:p>
            <w:pPr>
              <w:spacing w:after="0" w:line="360" w:lineRule="auto"/>
              <w:ind w:left="0" w:right="0" w:firstLine="0"/>
              <w:rPr>
                <w:color w:val="auto"/>
                <w:highlight w:val="none"/>
              </w:rPr>
            </w:pPr>
            <w:r>
              <w:rPr>
                <w:rFonts w:cs="Times New Roman"/>
                <w:color w:val="auto"/>
                <w:sz w:val="22"/>
                <w:highlight w:val="none"/>
              </w:rPr>
              <w:t xml:space="preserve"> </w:t>
            </w:r>
          </w:p>
          <w:p>
            <w:pPr>
              <w:spacing w:after="0" w:line="360" w:lineRule="auto"/>
              <w:ind w:left="0" w:right="0" w:firstLine="0"/>
              <w:rPr>
                <w:color w:val="auto"/>
                <w:highlight w:val="none"/>
              </w:rPr>
            </w:pPr>
            <w:r>
              <w:rPr>
                <w:rFonts w:cs="Times New Roman"/>
                <w:color w:val="auto"/>
                <w:sz w:val="22"/>
                <w:highlight w:val="none"/>
              </w:rPr>
              <w:t xml:space="preserve"> </w:t>
            </w:r>
          </w:p>
          <w:p>
            <w:pPr>
              <w:spacing w:after="0" w:line="360" w:lineRule="auto"/>
              <w:ind w:left="0" w:right="0" w:firstLine="0"/>
              <w:rPr>
                <w:color w:val="auto"/>
                <w:highlight w:val="none"/>
              </w:rPr>
            </w:pPr>
            <w:r>
              <w:rPr>
                <w:rFonts w:cs="Times New Roman"/>
                <w:color w:val="auto"/>
                <w:sz w:val="22"/>
                <w:highlight w:val="none"/>
              </w:rPr>
              <w:t xml:space="preserve"> </w:t>
            </w:r>
          </w:p>
          <w:p>
            <w:pPr>
              <w:spacing w:after="0" w:line="360" w:lineRule="auto"/>
              <w:ind w:left="0" w:right="0" w:firstLine="0"/>
              <w:rPr>
                <w:color w:val="auto"/>
                <w:highlight w:val="none"/>
              </w:rPr>
            </w:pPr>
            <w:r>
              <w:rPr>
                <w:rFonts w:cs="Times New Roman"/>
                <w:color w:val="auto"/>
                <w:sz w:val="22"/>
                <w:highlight w:val="none"/>
              </w:rPr>
              <w:t xml:space="preserve"> </w:t>
            </w:r>
          </w:p>
        </w:tc>
        <w:tc>
          <w:tcPr>
            <w:tcW w:w="4861" w:type="dxa"/>
            <w:tcBorders>
              <w:top w:val="nil"/>
              <w:left w:val="nil"/>
              <w:bottom w:val="nil"/>
              <w:right w:val="nil"/>
            </w:tcBorders>
            <w:vAlign w:val="bottom"/>
          </w:tcPr>
          <w:p>
            <w:pPr>
              <w:spacing w:after="0" w:line="360" w:lineRule="auto"/>
              <w:ind w:left="1712" w:right="0" w:firstLine="0"/>
              <w:rPr>
                <w:color w:val="auto"/>
                <w:highlight w:val="none"/>
              </w:rPr>
            </w:pPr>
          </w:p>
        </w:tc>
      </w:tr>
      <w:tr>
        <w:tblPrEx>
          <w:tblCellMar>
            <w:top w:w="0" w:type="dxa"/>
            <w:left w:w="0" w:type="dxa"/>
            <w:bottom w:w="8" w:type="dxa"/>
            <w:right w:w="0" w:type="dxa"/>
          </w:tblCellMar>
        </w:tblPrEx>
        <w:trPr>
          <w:trHeight w:val="848" w:hRule="atLeast"/>
        </w:trPr>
        <w:tc>
          <w:tcPr>
            <w:tcW w:w="2802" w:type="dxa"/>
            <w:tcBorders>
              <w:top w:val="nil"/>
              <w:left w:val="nil"/>
              <w:bottom w:val="nil"/>
              <w:right w:val="nil"/>
            </w:tcBorders>
          </w:tcPr>
          <w:p>
            <w:pPr>
              <w:spacing w:after="0" w:line="360" w:lineRule="auto"/>
              <w:ind w:left="108" w:right="0" w:firstLine="0"/>
              <w:rPr>
                <w:color w:val="auto"/>
                <w:highlight w:val="none"/>
              </w:rPr>
            </w:pPr>
            <w:r>
              <w:rPr>
                <w:rFonts w:hint="eastAsia"/>
                <w:color w:val="auto"/>
                <w:highlight w:val="none"/>
              </w:rPr>
              <w:t>业主</w:t>
            </w:r>
            <w:r>
              <w:rPr>
                <w:color w:val="auto"/>
                <w:highlight w:val="none"/>
              </w:rPr>
              <w:t>：</w:t>
            </w:r>
            <w:r>
              <w:rPr>
                <w:rFonts w:cs="Times New Roman"/>
                <w:color w:val="auto"/>
                <w:highlight w:val="none"/>
              </w:rPr>
              <w:t xml:space="preserve">  </w:t>
            </w:r>
          </w:p>
        </w:tc>
        <w:tc>
          <w:tcPr>
            <w:tcW w:w="4861" w:type="dxa"/>
            <w:tcBorders>
              <w:top w:val="nil"/>
              <w:left w:val="nil"/>
              <w:bottom w:val="nil"/>
              <w:right w:val="nil"/>
            </w:tcBorders>
          </w:tcPr>
          <w:p>
            <w:pPr>
              <w:spacing w:after="0" w:line="360" w:lineRule="auto"/>
              <w:ind w:left="0" w:right="0" w:firstLine="0"/>
              <w:rPr>
                <w:color w:val="auto"/>
                <w:highlight w:val="none"/>
              </w:rPr>
            </w:pPr>
            <w:r>
              <w:rPr>
                <w:color w:val="auto"/>
                <w:highlight w:val="none"/>
              </w:rPr>
              <w:t>中山大学附属第一医院</w:t>
            </w:r>
            <w:r>
              <w:rPr>
                <w:rFonts w:cs="Times New Roman"/>
                <w:color w:val="auto"/>
                <w:highlight w:val="none"/>
              </w:rPr>
              <w:t xml:space="preserve"> </w:t>
            </w:r>
          </w:p>
        </w:tc>
      </w:tr>
      <w:tr>
        <w:tblPrEx>
          <w:tblCellMar>
            <w:top w:w="0" w:type="dxa"/>
            <w:left w:w="0" w:type="dxa"/>
            <w:bottom w:w="8" w:type="dxa"/>
            <w:right w:w="0" w:type="dxa"/>
          </w:tblCellMar>
        </w:tblPrEx>
        <w:trPr>
          <w:trHeight w:val="467" w:hRule="atLeast"/>
        </w:trPr>
        <w:tc>
          <w:tcPr>
            <w:tcW w:w="2802" w:type="dxa"/>
            <w:tcBorders>
              <w:top w:val="nil"/>
              <w:left w:val="nil"/>
              <w:bottom w:val="nil"/>
              <w:right w:val="nil"/>
            </w:tcBorders>
            <w:vAlign w:val="center"/>
          </w:tcPr>
          <w:p>
            <w:pPr>
              <w:spacing w:after="0" w:line="360" w:lineRule="auto"/>
              <w:ind w:left="108" w:right="0" w:firstLine="0"/>
              <w:rPr>
                <w:color w:val="auto"/>
                <w:highlight w:val="none"/>
              </w:rPr>
            </w:pPr>
            <w:r>
              <w:rPr>
                <w:color w:val="auto"/>
                <w:highlight w:val="none"/>
              </w:rPr>
              <w:t xml:space="preserve">顾问： </w:t>
            </w:r>
          </w:p>
        </w:tc>
        <w:tc>
          <w:tcPr>
            <w:tcW w:w="4861" w:type="dxa"/>
            <w:tcBorders>
              <w:top w:val="nil"/>
              <w:left w:val="nil"/>
              <w:bottom w:val="nil"/>
              <w:right w:val="nil"/>
            </w:tcBorders>
            <w:vAlign w:val="center"/>
          </w:tcPr>
          <w:p>
            <w:pPr>
              <w:spacing w:after="0" w:line="360" w:lineRule="auto"/>
              <w:ind w:left="0" w:right="0" w:firstLine="0"/>
              <w:jc w:val="both"/>
              <w:rPr>
                <w:color w:val="auto"/>
                <w:highlight w:val="none"/>
              </w:rPr>
            </w:pPr>
            <w:r>
              <w:rPr>
                <w:rFonts w:hint="eastAsia"/>
                <w:color w:val="auto"/>
                <w:highlight w:val="none"/>
              </w:rPr>
              <w:t>深圳市建筑设计研究总院有限公司</w:t>
            </w:r>
          </w:p>
        </w:tc>
      </w:tr>
      <w:tr>
        <w:tblPrEx>
          <w:tblCellMar>
            <w:top w:w="0" w:type="dxa"/>
            <w:left w:w="0" w:type="dxa"/>
            <w:bottom w:w="8" w:type="dxa"/>
            <w:right w:w="0" w:type="dxa"/>
          </w:tblCellMar>
        </w:tblPrEx>
        <w:trPr>
          <w:trHeight w:val="467" w:hRule="atLeast"/>
        </w:trPr>
        <w:tc>
          <w:tcPr>
            <w:tcW w:w="2802" w:type="dxa"/>
            <w:tcBorders>
              <w:top w:val="nil"/>
              <w:left w:val="nil"/>
              <w:bottom w:val="nil"/>
              <w:right w:val="nil"/>
            </w:tcBorders>
            <w:vAlign w:val="center"/>
          </w:tcPr>
          <w:p>
            <w:pPr>
              <w:spacing w:after="0" w:line="360" w:lineRule="auto"/>
              <w:ind w:left="108" w:right="0" w:firstLine="0"/>
              <w:rPr>
                <w:color w:val="auto"/>
                <w:highlight w:val="none"/>
              </w:rPr>
            </w:pPr>
          </w:p>
        </w:tc>
        <w:tc>
          <w:tcPr>
            <w:tcW w:w="4861" w:type="dxa"/>
            <w:tcBorders>
              <w:top w:val="nil"/>
              <w:left w:val="nil"/>
              <w:bottom w:val="nil"/>
              <w:right w:val="nil"/>
            </w:tcBorders>
            <w:vAlign w:val="center"/>
          </w:tcPr>
          <w:p>
            <w:pPr>
              <w:spacing w:after="0" w:line="360" w:lineRule="auto"/>
              <w:ind w:left="0" w:right="0" w:firstLine="0"/>
              <w:jc w:val="both"/>
              <w:rPr>
                <w:color w:val="auto"/>
                <w:highlight w:val="none"/>
              </w:rPr>
            </w:pPr>
          </w:p>
        </w:tc>
      </w:tr>
      <w:tr>
        <w:tblPrEx>
          <w:tblCellMar>
            <w:top w:w="0" w:type="dxa"/>
            <w:left w:w="0" w:type="dxa"/>
            <w:bottom w:w="8" w:type="dxa"/>
            <w:right w:w="0" w:type="dxa"/>
          </w:tblCellMar>
        </w:tblPrEx>
        <w:trPr>
          <w:trHeight w:val="366" w:hRule="atLeast"/>
        </w:trPr>
        <w:tc>
          <w:tcPr>
            <w:tcW w:w="2802" w:type="dxa"/>
            <w:tcBorders>
              <w:top w:val="nil"/>
              <w:left w:val="nil"/>
              <w:bottom w:val="nil"/>
              <w:right w:val="nil"/>
            </w:tcBorders>
          </w:tcPr>
          <w:p>
            <w:pPr>
              <w:spacing w:after="0" w:line="360" w:lineRule="auto"/>
              <w:ind w:left="108" w:right="0" w:firstLine="0"/>
              <w:rPr>
                <w:color w:val="auto"/>
                <w:highlight w:val="none"/>
              </w:rPr>
            </w:pPr>
            <w:r>
              <w:rPr>
                <w:color w:val="auto"/>
                <w:highlight w:val="none"/>
              </w:rPr>
              <w:t>日期：</w:t>
            </w:r>
            <w:r>
              <w:rPr>
                <w:rFonts w:cs="Times New Roman"/>
                <w:b/>
                <w:color w:val="auto"/>
                <w:highlight w:val="none"/>
              </w:rPr>
              <w:t xml:space="preserve">  </w:t>
            </w:r>
          </w:p>
        </w:tc>
        <w:tc>
          <w:tcPr>
            <w:tcW w:w="4861" w:type="dxa"/>
            <w:tcBorders>
              <w:top w:val="nil"/>
              <w:left w:val="nil"/>
              <w:bottom w:val="nil"/>
              <w:right w:val="nil"/>
            </w:tcBorders>
          </w:tcPr>
          <w:p>
            <w:pPr>
              <w:spacing w:after="0" w:line="360" w:lineRule="auto"/>
              <w:ind w:left="0" w:right="0" w:firstLine="0"/>
              <w:rPr>
                <w:color w:val="auto"/>
                <w:highlight w:val="none"/>
              </w:rPr>
            </w:pPr>
            <w:r>
              <w:rPr>
                <w:rFonts w:cs="Times New Roman"/>
                <w:color w:val="auto"/>
                <w:highlight w:val="none"/>
              </w:rPr>
              <w:t>202</w:t>
            </w:r>
            <w:r>
              <w:rPr>
                <w:rFonts w:hint="eastAsia" w:cs="Times New Roman"/>
                <w:color w:val="auto"/>
                <w:highlight w:val="none"/>
              </w:rPr>
              <w:t>2</w:t>
            </w:r>
            <w:r>
              <w:rPr>
                <w:color w:val="auto"/>
                <w:highlight w:val="none"/>
              </w:rPr>
              <w:t>年</w:t>
            </w:r>
            <w:r>
              <w:rPr>
                <w:rFonts w:hint="eastAsia" w:cs="Times New Roman"/>
                <w:color w:val="auto"/>
                <w:highlight w:val="none"/>
              </w:rPr>
              <w:t>11月</w:t>
            </w:r>
            <w:r>
              <w:rPr>
                <w:rFonts w:cs="Times New Roman"/>
                <w:color w:val="auto"/>
                <w:highlight w:val="none"/>
              </w:rPr>
              <w:t xml:space="preserve"> </w:t>
            </w:r>
          </w:p>
        </w:tc>
      </w:tr>
    </w:tbl>
    <w:p>
      <w:pPr>
        <w:spacing w:after="0" w:line="360" w:lineRule="auto"/>
        <w:ind w:left="3555" w:right="3218" w:hanging="21"/>
        <w:jc w:val="center"/>
        <w:rPr>
          <w:color w:val="auto"/>
          <w:sz w:val="28"/>
          <w:highlight w:val="none"/>
        </w:rPr>
      </w:pPr>
      <w:r>
        <w:rPr>
          <w:color w:val="auto"/>
          <w:sz w:val="28"/>
          <w:highlight w:val="none"/>
        </w:rPr>
        <w:t>第</w:t>
      </w:r>
      <w:r>
        <w:rPr>
          <w:rFonts w:hint="eastAsia"/>
          <w:color w:val="auto"/>
          <w:sz w:val="28"/>
          <w:highlight w:val="none"/>
        </w:rPr>
        <w:t>四</w:t>
      </w:r>
      <w:r>
        <w:rPr>
          <w:color w:val="auto"/>
          <w:sz w:val="28"/>
          <w:highlight w:val="none"/>
        </w:rPr>
        <w:t>部分</w:t>
      </w:r>
    </w:p>
    <w:p>
      <w:pPr>
        <w:spacing w:after="0" w:line="360" w:lineRule="auto"/>
        <w:ind w:left="3555" w:right="3218" w:hanging="21"/>
        <w:jc w:val="center"/>
        <w:rPr>
          <w:color w:val="auto"/>
          <w:highlight w:val="none"/>
        </w:rPr>
      </w:pPr>
      <w:r>
        <w:rPr>
          <w:rFonts w:hint="eastAsia"/>
          <w:color w:val="auto"/>
          <w:sz w:val="28"/>
          <w:highlight w:val="none"/>
        </w:rPr>
        <w:t>技术要求</w:t>
      </w:r>
      <w:r>
        <w:rPr>
          <w:rFonts w:cs="Times New Roman"/>
          <w:color w:val="auto"/>
          <w:sz w:val="28"/>
          <w:highlight w:val="none"/>
        </w:rPr>
        <w:t xml:space="preserve"> </w:t>
      </w:r>
    </w:p>
    <w:p>
      <w:pPr>
        <w:spacing w:after="0" w:line="360" w:lineRule="auto"/>
        <w:ind w:left="70" w:right="0" w:firstLine="0"/>
        <w:jc w:val="center"/>
        <w:rPr>
          <w:color w:val="auto"/>
          <w:highlight w:val="none"/>
        </w:rPr>
      </w:pPr>
      <w:r>
        <w:rPr>
          <w:rFonts w:cs="Times New Roman"/>
          <w:color w:val="auto"/>
          <w:sz w:val="28"/>
          <w:highlight w:val="none"/>
        </w:rPr>
        <w:t xml:space="preserve"> </w:t>
      </w:r>
    </w:p>
    <w:p>
      <w:pPr>
        <w:spacing w:after="0" w:line="360" w:lineRule="auto"/>
        <w:ind w:left="0" w:right="0" w:firstLine="0"/>
        <w:rPr>
          <w:rFonts w:ascii="Times New Roman" w:hAnsi="Times New Roman" w:eastAsia="Times New Roman" w:cs="Times New Roman"/>
          <w:color w:val="auto"/>
          <w:highlight w:val="none"/>
        </w:rPr>
      </w:pPr>
      <w:r>
        <w:rPr>
          <w:rFonts w:ascii="Times New Roman" w:hAnsi="Times New Roman" w:eastAsia="Times New Roman" w:cs="Times New Roman"/>
          <w:color w:val="auto"/>
          <w:highlight w:val="none"/>
        </w:rPr>
        <w:t xml:space="preserve"> </w:t>
      </w:r>
    </w:p>
    <w:p>
      <w:pPr>
        <w:spacing w:after="0" w:line="360" w:lineRule="auto"/>
        <w:ind w:left="0" w:right="99"/>
        <w:jc w:val="center"/>
        <w:rPr>
          <w:color w:val="auto"/>
          <w:highlight w:val="none"/>
        </w:rPr>
      </w:pPr>
      <w:bookmarkStart w:id="0" w:name="_Hlk68099382"/>
    </w:p>
    <w:p>
      <w:pPr>
        <w:spacing w:after="0" w:line="360" w:lineRule="auto"/>
        <w:ind w:left="0" w:right="99"/>
        <w:jc w:val="center"/>
        <w:rPr>
          <w:color w:val="auto"/>
          <w:highlight w:val="none"/>
        </w:rPr>
      </w:pPr>
      <w:r>
        <w:rPr>
          <w:color w:val="auto"/>
          <w:highlight w:val="none"/>
        </w:rPr>
        <w:t>中山大学附属第一医院</w:t>
      </w:r>
      <w:r>
        <w:rPr>
          <w:rFonts w:hint="eastAsia"/>
          <w:color w:val="auto"/>
          <w:highlight w:val="none"/>
        </w:rPr>
        <w:t>数据中心</w:t>
      </w:r>
    </w:p>
    <w:p>
      <w:pPr>
        <w:spacing w:after="0" w:line="360" w:lineRule="auto"/>
        <w:ind w:left="0" w:right="99"/>
        <w:jc w:val="center"/>
        <w:rPr>
          <w:color w:val="auto"/>
          <w:highlight w:val="none"/>
        </w:rPr>
      </w:pPr>
      <w:r>
        <w:rPr>
          <w:rFonts w:hint="eastAsia"/>
          <w:color w:val="auto"/>
          <w:highlight w:val="none"/>
        </w:rPr>
        <w:t>及配套建设工程</w:t>
      </w:r>
      <w:r>
        <w:rPr>
          <w:rFonts w:cs="Times New Roman"/>
          <w:color w:val="auto"/>
          <w:highlight w:val="none"/>
        </w:rPr>
        <w:t xml:space="preserve"> </w:t>
      </w:r>
    </w:p>
    <w:p>
      <w:pPr>
        <w:spacing w:after="0" w:line="360" w:lineRule="auto"/>
        <w:ind w:left="3445" w:right="3375"/>
        <w:jc w:val="center"/>
        <w:rPr>
          <w:color w:val="auto"/>
          <w:highlight w:val="none"/>
        </w:rPr>
      </w:pPr>
      <w:r>
        <w:rPr>
          <w:color w:val="auto"/>
          <w:highlight w:val="none"/>
        </w:rPr>
        <w:t>技术规格说明书</w:t>
      </w:r>
    </w:p>
    <w:p>
      <w:pPr>
        <w:spacing w:after="0" w:line="360" w:lineRule="auto"/>
        <w:ind w:left="3445" w:right="3375"/>
        <w:jc w:val="center"/>
        <w:rPr>
          <w:color w:val="auto"/>
          <w:highlight w:val="none"/>
        </w:rPr>
      </w:pPr>
      <w:r>
        <w:rPr>
          <w:color w:val="auto"/>
          <w:highlight w:val="none"/>
        </w:rPr>
        <w:t>目录</w:t>
      </w:r>
      <w:r>
        <w:rPr>
          <w:rFonts w:cs="Times New Roman"/>
          <w:color w:val="auto"/>
          <w:highlight w:val="none"/>
        </w:rPr>
        <w:t xml:space="preserve"> </w:t>
      </w:r>
    </w:p>
    <w:bookmarkEnd w:id="0"/>
    <w:p>
      <w:pPr>
        <w:spacing w:after="0" w:line="360" w:lineRule="auto"/>
        <w:ind w:left="60" w:right="0" w:firstLine="0"/>
        <w:jc w:val="center"/>
        <w:rPr>
          <w:color w:val="auto"/>
          <w:highlight w:val="none"/>
        </w:rPr>
      </w:pPr>
      <w:r>
        <w:rPr>
          <w:rFonts w:cs="Times New Roman"/>
          <w:color w:val="auto"/>
          <w:highlight w:val="none"/>
        </w:rPr>
        <w:t xml:space="preserve"> </w:t>
      </w:r>
      <w:r>
        <w:rPr>
          <w:color w:val="auto"/>
          <w:highlight w:val="none"/>
        </w:rPr>
        <w:t>第四部分</w:t>
      </w:r>
    </w:p>
    <w:p>
      <w:pPr>
        <w:spacing w:after="0" w:line="360" w:lineRule="auto"/>
        <w:ind w:left="0" w:right="0" w:firstLine="0"/>
        <w:rPr>
          <w:color w:val="auto"/>
          <w:highlight w:val="none"/>
        </w:rPr>
      </w:pPr>
      <w:r>
        <w:rPr>
          <w:rFonts w:ascii="Times New Roman" w:hAnsi="Times New Roman" w:eastAsia="Times New Roman" w:cs="Times New Roman"/>
          <w:color w:val="auto"/>
          <w:highlight w:val="none"/>
        </w:rPr>
        <w:t xml:space="preserve"> </w:t>
      </w:r>
    </w:p>
    <w:sdt>
      <w:sdtPr>
        <w:rPr>
          <w:color w:val="auto"/>
          <w:highlight w:val="none"/>
        </w:rPr>
        <w:id w:val="-408843623"/>
        <w:docPartObj>
          <w:docPartGallery w:val="Table of Contents"/>
          <w:docPartUnique/>
        </w:docPartObj>
      </w:sdtPr>
      <w:sdtEndPr>
        <w:rPr>
          <w:color w:val="auto"/>
          <w:highlight w:val="none"/>
        </w:rPr>
      </w:sdtEndPr>
      <w:sdtContent>
        <w:p>
          <w:pPr>
            <w:tabs>
              <w:tab w:val="right" w:leader="dot" w:pos="9101"/>
            </w:tabs>
            <w:spacing w:after="0" w:line="360" w:lineRule="auto"/>
            <w:ind w:left="0" w:right="0" w:firstLine="0"/>
            <w:rPr>
              <w:rFonts w:ascii="宋体" w:hAnsi="宋体" w:eastAsia="宋体" w:cs="宋体"/>
              <w:color w:val="auto"/>
              <w:kern w:val="2"/>
              <w:sz w:val="24"/>
              <w:szCs w:val="22"/>
              <w:highlight w:val="none"/>
              <w:lang w:val="en-US" w:eastAsia="zh-CN" w:bidi="ar-SA"/>
            </w:rPr>
          </w:pPr>
          <w:r>
            <w:rPr>
              <w:color w:val="auto"/>
              <w:highlight w:val="none"/>
            </w:rPr>
            <w:fldChar w:fldCharType="begin"/>
          </w:r>
          <w:r>
            <w:rPr>
              <w:color w:val="auto"/>
              <w:highlight w:val="none"/>
            </w:rPr>
            <w:instrText xml:space="preserve"> TOC \o "1-1" \h \z \u </w:instrText>
          </w:r>
          <w:r>
            <w:rPr>
              <w:color w:val="auto"/>
              <w:highlight w:val="none"/>
            </w:rPr>
            <w:fldChar w:fldCharType="separate"/>
          </w:r>
        </w:p>
        <w:p>
          <w:pPr>
            <w:pStyle w:val="16"/>
            <w:tabs>
              <w:tab w:val="right" w:leader="dot" w:pos="9111"/>
            </w:tabs>
          </w:pPr>
          <w:r>
            <w:rPr>
              <w:color w:val="auto"/>
              <w:highlight w:val="none"/>
            </w:rPr>
            <w:fldChar w:fldCharType="begin"/>
          </w:r>
          <w:r>
            <w:rPr>
              <w:highlight w:val="none"/>
            </w:rPr>
            <w:instrText xml:space="preserve"> HYPERLINK \l _Toc12146 </w:instrText>
          </w:r>
          <w:r>
            <w:rPr>
              <w:highlight w:val="none"/>
            </w:rPr>
            <w:fldChar w:fldCharType="separate"/>
          </w:r>
          <w:r>
            <w:rPr>
              <w:rFonts w:hint="eastAsia"/>
              <w:bCs/>
              <w:szCs w:val="32"/>
              <w:highlight w:val="none"/>
            </w:rPr>
            <w:t>总则</w:t>
          </w:r>
          <w:r>
            <w:tab/>
          </w:r>
          <w:r>
            <w:fldChar w:fldCharType="begin"/>
          </w:r>
          <w:r>
            <w:instrText xml:space="preserve"> PAGEREF _Toc12146 \h </w:instrText>
          </w:r>
          <w:r>
            <w:fldChar w:fldCharType="separate"/>
          </w:r>
          <w:r>
            <w:t>1</w:t>
          </w:r>
          <w:r>
            <w:fldChar w:fldCharType="end"/>
          </w:r>
          <w:r>
            <w:rPr>
              <w:color w:val="auto"/>
              <w:highlight w:val="none"/>
            </w:rPr>
            <w:fldChar w:fldCharType="end"/>
          </w:r>
        </w:p>
        <w:p>
          <w:pPr>
            <w:pStyle w:val="16"/>
            <w:tabs>
              <w:tab w:val="right" w:leader="dot" w:pos="9111"/>
            </w:tabs>
          </w:pPr>
          <w:r>
            <w:rPr>
              <w:color w:val="auto"/>
              <w:highlight w:val="none"/>
            </w:rPr>
            <w:fldChar w:fldCharType="begin"/>
          </w:r>
          <w:r>
            <w:rPr>
              <w:highlight w:val="none"/>
            </w:rPr>
            <w:instrText xml:space="preserve"> HYPERLINK \l _Toc24187 </w:instrText>
          </w:r>
          <w:r>
            <w:rPr>
              <w:highlight w:val="none"/>
            </w:rPr>
            <w:fldChar w:fldCharType="separate"/>
          </w:r>
          <w:r>
            <w:rPr>
              <w:rFonts w:hint="default" w:ascii="宋体" w:hAnsi="宋体" w:eastAsia="宋体" w:cs="宋体"/>
              <w:szCs w:val="30"/>
            </w:rPr>
            <w:t xml:space="preserve">1 </w:t>
          </w:r>
          <w:r>
            <w:rPr>
              <w:rFonts w:hint="eastAsia"/>
              <w:szCs w:val="30"/>
              <w:highlight w:val="none"/>
            </w:rPr>
            <w:t>信息引导及发布系统（设备及系统平台）</w:t>
          </w:r>
          <w:r>
            <w:tab/>
          </w:r>
          <w:r>
            <w:fldChar w:fldCharType="begin"/>
          </w:r>
          <w:r>
            <w:instrText xml:space="preserve"> PAGEREF _Toc24187 \h </w:instrText>
          </w:r>
          <w:r>
            <w:fldChar w:fldCharType="separate"/>
          </w:r>
          <w:r>
            <w:t>5</w:t>
          </w:r>
          <w:r>
            <w:fldChar w:fldCharType="end"/>
          </w:r>
          <w:r>
            <w:rPr>
              <w:color w:val="auto"/>
              <w:highlight w:val="none"/>
            </w:rPr>
            <w:fldChar w:fldCharType="end"/>
          </w:r>
        </w:p>
        <w:p>
          <w:pPr>
            <w:pStyle w:val="16"/>
            <w:tabs>
              <w:tab w:val="right" w:leader="dot" w:pos="9111"/>
            </w:tabs>
          </w:pPr>
          <w:r>
            <w:rPr>
              <w:color w:val="auto"/>
              <w:highlight w:val="none"/>
            </w:rPr>
            <w:fldChar w:fldCharType="begin"/>
          </w:r>
          <w:r>
            <w:rPr>
              <w:highlight w:val="none"/>
            </w:rPr>
            <w:instrText xml:space="preserve"> HYPERLINK \l _Toc25953 </w:instrText>
          </w:r>
          <w:r>
            <w:rPr>
              <w:highlight w:val="none"/>
            </w:rPr>
            <w:fldChar w:fldCharType="separate"/>
          </w:r>
          <w:r>
            <w:rPr>
              <w:rFonts w:hint="default" w:ascii="宋体" w:hAnsi="宋体" w:eastAsia="宋体" w:cs="宋体"/>
              <w:szCs w:val="30"/>
            </w:rPr>
            <w:t xml:space="preserve">2 </w:t>
          </w:r>
          <w:r>
            <w:rPr>
              <w:rFonts w:hint="eastAsia"/>
              <w:szCs w:val="30"/>
              <w:highlight w:val="none"/>
            </w:rPr>
            <w:t>候诊呼叫信号系统（设备及系统平台）</w:t>
          </w:r>
          <w:r>
            <w:tab/>
          </w:r>
          <w:r>
            <w:fldChar w:fldCharType="begin"/>
          </w:r>
          <w:r>
            <w:instrText xml:space="preserve"> PAGEREF _Toc25953 \h </w:instrText>
          </w:r>
          <w:r>
            <w:fldChar w:fldCharType="separate"/>
          </w:r>
          <w:r>
            <w:t>13</w:t>
          </w:r>
          <w:r>
            <w:fldChar w:fldCharType="end"/>
          </w:r>
          <w:r>
            <w:rPr>
              <w:color w:val="auto"/>
              <w:highlight w:val="none"/>
            </w:rPr>
            <w:fldChar w:fldCharType="end"/>
          </w:r>
        </w:p>
        <w:p>
          <w:pPr>
            <w:pStyle w:val="16"/>
            <w:tabs>
              <w:tab w:val="right" w:leader="dot" w:pos="9111"/>
            </w:tabs>
          </w:pPr>
          <w:r>
            <w:rPr>
              <w:color w:val="auto"/>
              <w:highlight w:val="none"/>
            </w:rPr>
            <w:fldChar w:fldCharType="begin"/>
          </w:r>
          <w:r>
            <w:rPr>
              <w:highlight w:val="none"/>
            </w:rPr>
            <w:instrText xml:space="preserve"> HYPERLINK \l _Toc24031 </w:instrText>
          </w:r>
          <w:r>
            <w:rPr>
              <w:highlight w:val="none"/>
            </w:rPr>
            <w:fldChar w:fldCharType="separate"/>
          </w:r>
          <w:r>
            <w:rPr>
              <w:rFonts w:hint="default" w:ascii="宋体" w:hAnsi="宋体" w:eastAsia="宋体" w:cs="宋体"/>
              <w:szCs w:val="30"/>
            </w:rPr>
            <w:t xml:space="preserve">3 </w:t>
          </w:r>
          <w:r>
            <w:rPr>
              <w:rFonts w:hint="eastAsia"/>
              <w:szCs w:val="30"/>
              <w:highlight w:val="none"/>
            </w:rPr>
            <w:t>院区标准化时钟系统（设备及系统平台）</w:t>
          </w:r>
          <w:r>
            <w:tab/>
          </w:r>
          <w:r>
            <w:fldChar w:fldCharType="begin"/>
          </w:r>
          <w:r>
            <w:instrText xml:space="preserve"> PAGEREF _Toc24031 \h </w:instrText>
          </w:r>
          <w:r>
            <w:fldChar w:fldCharType="separate"/>
          </w:r>
          <w:r>
            <w:t>20</w:t>
          </w:r>
          <w:r>
            <w:fldChar w:fldCharType="end"/>
          </w:r>
          <w:r>
            <w:rPr>
              <w:color w:val="auto"/>
              <w:highlight w:val="none"/>
            </w:rPr>
            <w:fldChar w:fldCharType="end"/>
          </w:r>
        </w:p>
        <w:p>
          <w:pPr>
            <w:pStyle w:val="16"/>
            <w:tabs>
              <w:tab w:val="right" w:leader="dot" w:pos="9111"/>
            </w:tabs>
          </w:pPr>
          <w:r>
            <w:rPr>
              <w:color w:val="auto"/>
              <w:highlight w:val="none"/>
            </w:rPr>
            <w:fldChar w:fldCharType="begin"/>
          </w:r>
          <w:r>
            <w:rPr>
              <w:highlight w:val="none"/>
            </w:rPr>
            <w:instrText xml:space="preserve"> HYPERLINK \l _Toc12617 </w:instrText>
          </w:r>
          <w:r>
            <w:rPr>
              <w:highlight w:val="none"/>
            </w:rPr>
            <w:fldChar w:fldCharType="separate"/>
          </w:r>
          <w:r>
            <w:rPr>
              <w:rFonts w:hint="default" w:ascii="宋体" w:hAnsi="宋体" w:eastAsia="宋体" w:cs="宋体"/>
              <w:szCs w:val="30"/>
            </w:rPr>
            <w:t xml:space="preserve">4 </w:t>
          </w:r>
          <w:r>
            <w:rPr>
              <w:rFonts w:hint="eastAsia"/>
              <w:szCs w:val="30"/>
              <w:highlight w:val="none"/>
            </w:rPr>
            <w:t>会议系统</w:t>
          </w:r>
          <w:r>
            <w:tab/>
          </w:r>
          <w:r>
            <w:fldChar w:fldCharType="begin"/>
          </w:r>
          <w:r>
            <w:instrText xml:space="preserve"> PAGEREF _Toc12617 \h </w:instrText>
          </w:r>
          <w:r>
            <w:fldChar w:fldCharType="separate"/>
          </w:r>
          <w:r>
            <w:t>24</w:t>
          </w:r>
          <w:r>
            <w:fldChar w:fldCharType="end"/>
          </w:r>
          <w:r>
            <w:rPr>
              <w:color w:val="auto"/>
              <w:highlight w:val="none"/>
            </w:rPr>
            <w:fldChar w:fldCharType="end"/>
          </w:r>
        </w:p>
        <w:p>
          <w:pPr>
            <w:pStyle w:val="16"/>
            <w:tabs>
              <w:tab w:val="right" w:leader="dot" w:pos="9111"/>
            </w:tabs>
          </w:pPr>
          <w:r>
            <w:rPr>
              <w:color w:val="auto"/>
              <w:highlight w:val="none"/>
            </w:rPr>
            <w:fldChar w:fldCharType="begin"/>
          </w:r>
          <w:r>
            <w:rPr>
              <w:highlight w:val="none"/>
            </w:rPr>
            <w:instrText xml:space="preserve"> HYPERLINK \l _Toc4876 </w:instrText>
          </w:r>
          <w:r>
            <w:rPr>
              <w:highlight w:val="none"/>
            </w:rPr>
            <w:fldChar w:fldCharType="separate"/>
          </w:r>
          <w:r>
            <w:rPr>
              <w:rFonts w:hint="default" w:ascii="宋体" w:hAnsi="宋体" w:eastAsia="宋体" w:cs="宋体"/>
              <w:szCs w:val="30"/>
            </w:rPr>
            <w:t xml:space="preserve">5 </w:t>
          </w:r>
          <w:r>
            <w:rPr>
              <w:rFonts w:hint="eastAsia"/>
              <w:szCs w:val="30"/>
              <w:highlight w:val="none"/>
            </w:rPr>
            <w:t>机房工程</w:t>
          </w:r>
          <w:r>
            <w:tab/>
          </w:r>
          <w:r>
            <w:fldChar w:fldCharType="begin"/>
          </w:r>
          <w:r>
            <w:instrText xml:space="preserve"> PAGEREF _Toc4876 \h </w:instrText>
          </w:r>
          <w:r>
            <w:fldChar w:fldCharType="separate"/>
          </w:r>
          <w:r>
            <w:t>40</w:t>
          </w:r>
          <w:r>
            <w:fldChar w:fldCharType="end"/>
          </w:r>
          <w:r>
            <w:rPr>
              <w:color w:val="auto"/>
              <w:highlight w:val="none"/>
            </w:rPr>
            <w:fldChar w:fldCharType="end"/>
          </w:r>
        </w:p>
        <w:p>
          <w:pPr>
            <w:pStyle w:val="16"/>
            <w:tabs>
              <w:tab w:val="right" w:leader="dot" w:pos="9111"/>
            </w:tabs>
          </w:pPr>
          <w:r>
            <w:rPr>
              <w:color w:val="auto"/>
              <w:highlight w:val="none"/>
            </w:rPr>
            <w:fldChar w:fldCharType="begin"/>
          </w:r>
          <w:r>
            <w:rPr>
              <w:highlight w:val="none"/>
            </w:rPr>
            <w:instrText xml:space="preserve"> HYPERLINK \l _Toc25008 </w:instrText>
          </w:r>
          <w:r>
            <w:rPr>
              <w:highlight w:val="none"/>
            </w:rPr>
            <w:fldChar w:fldCharType="separate"/>
          </w:r>
          <w:r>
            <w:rPr>
              <w:rFonts w:hint="default" w:ascii="宋体" w:hAnsi="宋体" w:eastAsia="宋体" w:cs="宋体"/>
              <w:szCs w:val="30"/>
            </w:rPr>
            <w:t xml:space="preserve">6 </w:t>
          </w:r>
          <w:r>
            <w:rPr>
              <w:rFonts w:hint="eastAsia"/>
              <w:szCs w:val="30"/>
              <w:highlight w:val="none"/>
            </w:rPr>
            <w:t>服务器、工作站等通用设备</w:t>
          </w:r>
          <w:r>
            <w:tab/>
          </w:r>
          <w:r>
            <w:fldChar w:fldCharType="begin"/>
          </w:r>
          <w:r>
            <w:instrText xml:space="preserve"> PAGEREF _Toc25008 \h </w:instrText>
          </w:r>
          <w:r>
            <w:fldChar w:fldCharType="separate"/>
          </w:r>
          <w:r>
            <w:t>116</w:t>
          </w:r>
          <w:r>
            <w:fldChar w:fldCharType="end"/>
          </w:r>
          <w:r>
            <w:rPr>
              <w:color w:val="auto"/>
              <w:highlight w:val="none"/>
            </w:rPr>
            <w:fldChar w:fldCharType="end"/>
          </w:r>
        </w:p>
        <w:p>
          <w:pPr>
            <w:pStyle w:val="16"/>
            <w:tabs>
              <w:tab w:val="right" w:leader="dot" w:pos="9111"/>
            </w:tabs>
          </w:pPr>
          <w:r>
            <w:rPr>
              <w:color w:val="auto"/>
              <w:highlight w:val="none"/>
            </w:rPr>
            <w:fldChar w:fldCharType="begin"/>
          </w:r>
          <w:r>
            <w:rPr>
              <w:highlight w:val="none"/>
            </w:rPr>
            <w:instrText xml:space="preserve"> HYPERLINK \l _Toc16942 </w:instrText>
          </w:r>
          <w:r>
            <w:rPr>
              <w:highlight w:val="none"/>
            </w:rPr>
            <w:fldChar w:fldCharType="separate"/>
          </w:r>
          <w:r>
            <w:rPr>
              <w:rFonts w:hint="eastAsia"/>
              <w:szCs w:val="30"/>
              <w:highlight w:val="none"/>
            </w:rPr>
            <w:t>附件1：智慧后勤对新建大楼建设需求</w:t>
          </w:r>
          <w:r>
            <w:tab/>
          </w:r>
          <w:r>
            <w:fldChar w:fldCharType="begin"/>
          </w:r>
          <w:r>
            <w:instrText xml:space="preserve"> PAGEREF _Toc16942 \h </w:instrText>
          </w:r>
          <w:r>
            <w:fldChar w:fldCharType="separate"/>
          </w:r>
          <w:r>
            <w:t>120</w:t>
          </w:r>
          <w:r>
            <w:fldChar w:fldCharType="end"/>
          </w:r>
          <w:r>
            <w:rPr>
              <w:color w:val="auto"/>
              <w:highlight w:val="none"/>
            </w:rPr>
            <w:fldChar w:fldCharType="end"/>
          </w:r>
        </w:p>
        <w:p>
          <w:pPr>
            <w:pStyle w:val="16"/>
            <w:tabs>
              <w:tab w:val="right" w:leader="dot" w:pos="9111"/>
            </w:tabs>
          </w:pPr>
          <w:r>
            <w:rPr>
              <w:color w:val="auto"/>
              <w:highlight w:val="none"/>
            </w:rPr>
            <w:fldChar w:fldCharType="begin"/>
          </w:r>
          <w:r>
            <w:rPr>
              <w:highlight w:val="none"/>
            </w:rPr>
            <w:instrText xml:space="preserve"> HYPERLINK \l _Toc740 </w:instrText>
          </w:r>
          <w:r>
            <w:rPr>
              <w:highlight w:val="none"/>
            </w:rPr>
            <w:fldChar w:fldCharType="separate"/>
          </w:r>
          <w:r>
            <w:rPr>
              <w:rFonts w:hint="eastAsia"/>
              <w:szCs w:val="30"/>
              <w:highlight w:val="none"/>
            </w:rPr>
            <w:t>附件2：信息网络布线要求</w:t>
          </w:r>
          <w:r>
            <w:tab/>
          </w:r>
          <w:r>
            <w:fldChar w:fldCharType="begin"/>
          </w:r>
          <w:r>
            <w:instrText xml:space="preserve"> PAGEREF _Toc740 \h </w:instrText>
          </w:r>
          <w:r>
            <w:fldChar w:fldCharType="separate"/>
          </w:r>
          <w:r>
            <w:t>140</w:t>
          </w:r>
          <w:r>
            <w:fldChar w:fldCharType="end"/>
          </w:r>
          <w:r>
            <w:rPr>
              <w:color w:val="auto"/>
              <w:highlight w:val="none"/>
            </w:rPr>
            <w:fldChar w:fldCharType="end"/>
          </w:r>
        </w:p>
        <w:p>
          <w:pPr>
            <w:pStyle w:val="16"/>
            <w:tabs>
              <w:tab w:val="right" w:leader="dot" w:pos="9111"/>
            </w:tabs>
          </w:pPr>
          <w:r>
            <w:rPr>
              <w:color w:val="auto"/>
              <w:highlight w:val="none"/>
            </w:rPr>
            <w:fldChar w:fldCharType="begin"/>
          </w:r>
          <w:r>
            <w:rPr>
              <w:highlight w:val="none"/>
            </w:rPr>
            <w:instrText xml:space="preserve"> HYPERLINK \l _Toc997 </w:instrText>
          </w:r>
          <w:r>
            <w:rPr>
              <w:highlight w:val="none"/>
            </w:rPr>
            <w:fldChar w:fldCharType="separate"/>
          </w:r>
          <w:r>
            <w:rPr>
              <w:rFonts w:hint="eastAsia"/>
              <w:szCs w:val="30"/>
              <w:highlight w:val="none"/>
            </w:rPr>
            <w:t>附件3：中山大学附属第一医院应用系统安全评审指南</w:t>
          </w:r>
          <w:r>
            <w:tab/>
          </w:r>
          <w:r>
            <w:fldChar w:fldCharType="begin"/>
          </w:r>
          <w:r>
            <w:instrText xml:space="preserve"> PAGEREF _Toc997 \h </w:instrText>
          </w:r>
          <w:r>
            <w:fldChar w:fldCharType="separate"/>
          </w:r>
          <w:r>
            <w:t>152</w:t>
          </w:r>
          <w:r>
            <w:fldChar w:fldCharType="end"/>
          </w:r>
          <w:r>
            <w:rPr>
              <w:color w:val="auto"/>
              <w:highlight w:val="none"/>
            </w:rPr>
            <w:fldChar w:fldCharType="end"/>
          </w:r>
        </w:p>
        <w:p>
          <w:pPr>
            <w:pStyle w:val="16"/>
            <w:tabs>
              <w:tab w:val="right" w:leader="dot" w:pos="9111"/>
            </w:tabs>
          </w:pPr>
          <w:r>
            <w:rPr>
              <w:color w:val="auto"/>
              <w:highlight w:val="none"/>
            </w:rPr>
            <w:fldChar w:fldCharType="begin"/>
          </w:r>
          <w:r>
            <w:rPr>
              <w:highlight w:val="none"/>
            </w:rPr>
            <w:instrText xml:space="preserve"> HYPERLINK \l _Toc14949 </w:instrText>
          </w:r>
          <w:r>
            <w:rPr>
              <w:highlight w:val="none"/>
            </w:rPr>
            <w:fldChar w:fldCharType="separate"/>
          </w:r>
          <w:r>
            <w:rPr>
              <w:rFonts w:hint="eastAsia"/>
              <w:szCs w:val="30"/>
              <w:highlight w:val="none"/>
            </w:rPr>
            <w:t>附件4：信息、智能化相关系统软件开发交付要求</w:t>
          </w:r>
          <w:r>
            <w:tab/>
          </w:r>
          <w:r>
            <w:fldChar w:fldCharType="begin"/>
          </w:r>
          <w:r>
            <w:instrText xml:space="preserve"> PAGEREF _Toc14949 \h </w:instrText>
          </w:r>
          <w:r>
            <w:fldChar w:fldCharType="separate"/>
          </w:r>
          <w:r>
            <w:t>164</w:t>
          </w:r>
          <w:r>
            <w:fldChar w:fldCharType="end"/>
          </w:r>
          <w:r>
            <w:rPr>
              <w:color w:val="auto"/>
              <w:highlight w:val="none"/>
            </w:rPr>
            <w:fldChar w:fldCharType="end"/>
          </w:r>
        </w:p>
        <w:p>
          <w:pPr>
            <w:pStyle w:val="16"/>
            <w:tabs>
              <w:tab w:val="right" w:leader="dot" w:pos="9111"/>
            </w:tabs>
          </w:pPr>
          <w:r>
            <w:rPr>
              <w:color w:val="auto"/>
              <w:highlight w:val="none"/>
            </w:rPr>
            <w:fldChar w:fldCharType="begin"/>
          </w:r>
          <w:r>
            <w:rPr>
              <w:highlight w:val="none"/>
            </w:rPr>
            <w:instrText xml:space="preserve"> HYPERLINK \l _Toc8587 </w:instrText>
          </w:r>
          <w:r>
            <w:rPr>
              <w:highlight w:val="none"/>
            </w:rPr>
            <w:fldChar w:fldCharType="separate"/>
          </w:r>
          <w:r>
            <w:rPr>
              <w:rFonts w:hint="eastAsia"/>
              <w:szCs w:val="30"/>
              <w:highlight w:val="none"/>
            </w:rPr>
            <w:t>附件5：中山大学附属第一医院与生产、经销单位物资购销廉洁协议书</w:t>
          </w:r>
          <w:r>
            <w:tab/>
          </w:r>
          <w:r>
            <w:fldChar w:fldCharType="begin"/>
          </w:r>
          <w:r>
            <w:instrText xml:space="preserve"> PAGEREF _Toc8587 \h </w:instrText>
          </w:r>
          <w:r>
            <w:fldChar w:fldCharType="separate"/>
          </w:r>
          <w:r>
            <w:t>185</w:t>
          </w:r>
          <w:r>
            <w:fldChar w:fldCharType="end"/>
          </w:r>
          <w:r>
            <w:rPr>
              <w:color w:val="auto"/>
              <w:highlight w:val="none"/>
            </w:rPr>
            <w:fldChar w:fldCharType="end"/>
          </w:r>
        </w:p>
        <w:p>
          <w:pPr>
            <w:pStyle w:val="16"/>
            <w:tabs>
              <w:tab w:val="right" w:leader="dot" w:pos="9111"/>
            </w:tabs>
          </w:pPr>
          <w:r>
            <w:rPr>
              <w:color w:val="auto"/>
              <w:highlight w:val="none"/>
            </w:rPr>
            <w:fldChar w:fldCharType="begin"/>
          </w:r>
          <w:r>
            <w:rPr>
              <w:highlight w:val="none"/>
            </w:rPr>
            <w:instrText xml:space="preserve"> HYPERLINK \l _Toc26269 </w:instrText>
          </w:r>
          <w:r>
            <w:rPr>
              <w:highlight w:val="none"/>
            </w:rPr>
            <w:fldChar w:fldCharType="separate"/>
          </w:r>
          <w:r>
            <w:rPr>
              <w:rFonts w:hint="eastAsia"/>
              <w:szCs w:val="30"/>
              <w:highlight w:val="none"/>
            </w:rPr>
            <w:t>附件6：保密协议</w:t>
          </w:r>
          <w:r>
            <w:tab/>
          </w:r>
          <w:r>
            <w:fldChar w:fldCharType="begin"/>
          </w:r>
          <w:r>
            <w:instrText xml:space="preserve"> PAGEREF _Toc26269 \h </w:instrText>
          </w:r>
          <w:r>
            <w:fldChar w:fldCharType="separate"/>
          </w:r>
          <w:r>
            <w:t>187</w:t>
          </w:r>
          <w:r>
            <w:fldChar w:fldCharType="end"/>
          </w:r>
          <w:r>
            <w:rPr>
              <w:color w:val="auto"/>
              <w:highlight w:val="none"/>
            </w:rPr>
            <w:fldChar w:fldCharType="end"/>
          </w:r>
        </w:p>
        <w:p>
          <w:pPr>
            <w:pStyle w:val="16"/>
            <w:tabs>
              <w:tab w:val="right" w:leader="dot" w:pos="9111"/>
            </w:tabs>
          </w:pPr>
          <w:r>
            <w:rPr>
              <w:color w:val="auto"/>
              <w:highlight w:val="none"/>
            </w:rPr>
            <w:fldChar w:fldCharType="begin"/>
          </w:r>
          <w:r>
            <w:rPr>
              <w:highlight w:val="none"/>
            </w:rPr>
            <w:instrText xml:space="preserve"> HYPERLINK \l _Toc6281 </w:instrText>
          </w:r>
          <w:r>
            <w:rPr>
              <w:highlight w:val="none"/>
            </w:rPr>
            <w:fldChar w:fldCharType="separate"/>
          </w:r>
          <w:r>
            <w:rPr>
              <w:rFonts w:hint="eastAsia"/>
              <w:szCs w:val="30"/>
              <w:highlight w:val="none"/>
            </w:rPr>
            <w:t>附件7：中国质量认证中心认证技术规范（CQC 1325-2018）</w:t>
          </w:r>
          <w:r>
            <w:tab/>
          </w:r>
          <w:r>
            <w:fldChar w:fldCharType="begin"/>
          </w:r>
          <w:r>
            <w:instrText xml:space="preserve"> PAGEREF _Toc6281 \h </w:instrText>
          </w:r>
          <w:r>
            <w:fldChar w:fldCharType="separate"/>
          </w:r>
          <w:r>
            <w:t>190</w:t>
          </w:r>
          <w:r>
            <w:fldChar w:fldCharType="end"/>
          </w:r>
          <w:r>
            <w:rPr>
              <w:color w:val="auto"/>
              <w:highlight w:val="none"/>
            </w:rPr>
            <w:fldChar w:fldCharType="end"/>
          </w:r>
        </w:p>
        <w:p>
          <w:pPr>
            <w:tabs>
              <w:tab w:val="right" w:leader="dot" w:pos="9101"/>
            </w:tabs>
            <w:spacing w:after="0" w:line="360" w:lineRule="auto"/>
            <w:ind w:left="0" w:right="0" w:firstLine="0"/>
            <w:rPr>
              <w:color w:val="auto"/>
              <w:highlight w:val="none"/>
            </w:rPr>
          </w:pPr>
          <w:r>
            <w:rPr>
              <w:color w:val="auto"/>
              <w:highlight w:val="none"/>
            </w:rPr>
            <w:fldChar w:fldCharType="end"/>
          </w:r>
        </w:p>
      </w:sdtContent>
    </w:sdt>
    <w:p>
      <w:pPr>
        <w:spacing w:after="0" w:line="360" w:lineRule="auto"/>
        <w:ind w:left="0" w:right="0" w:firstLine="0"/>
        <w:rPr>
          <w:rFonts w:ascii="Times New Roman" w:hAnsi="Times New Roman" w:eastAsia="Times New Roman" w:cs="Times New Roman"/>
          <w:color w:val="auto"/>
          <w:highlight w:val="none"/>
        </w:rPr>
        <w:sectPr>
          <w:headerReference r:id="rId5" w:type="default"/>
          <w:footerReference r:id="rId6" w:type="default"/>
          <w:pgSz w:w="11909" w:h="16834"/>
          <w:pgMar w:top="1445" w:right="1358" w:bottom="1450" w:left="1440" w:header="568" w:footer="343" w:gutter="0"/>
          <w:pgNumType w:start="1"/>
          <w:cols w:space="720" w:num="1"/>
        </w:sectPr>
      </w:pPr>
    </w:p>
    <w:p>
      <w:pPr>
        <w:spacing w:after="0" w:line="360" w:lineRule="auto"/>
        <w:ind w:left="0" w:right="0" w:firstLine="0"/>
        <w:rPr>
          <w:rFonts w:ascii="Times New Roman" w:hAnsi="Times New Roman" w:eastAsia="Times New Roman" w:cs="Times New Roman"/>
          <w:color w:val="auto"/>
          <w:highlight w:val="none"/>
        </w:rPr>
        <w:sectPr>
          <w:type w:val="continuous"/>
          <w:pgSz w:w="11909" w:h="16834"/>
          <w:pgMar w:top="1445" w:right="1358" w:bottom="1450" w:left="1440" w:header="568" w:footer="343" w:gutter="0"/>
          <w:pgNumType w:start="1"/>
          <w:cols w:space="720" w:num="1"/>
        </w:sectPr>
      </w:pPr>
      <w:r>
        <w:rPr>
          <w:rFonts w:ascii="Times New Roman" w:hAnsi="Times New Roman" w:eastAsia="Times New Roman" w:cs="Times New Roman"/>
          <w:color w:val="auto"/>
          <w:highlight w:val="none"/>
        </w:rPr>
        <w:t xml:space="preserve"> </w:t>
      </w:r>
    </w:p>
    <w:p>
      <w:pPr>
        <w:spacing w:after="0" w:line="360" w:lineRule="auto"/>
        <w:ind w:left="0" w:right="0" w:firstLine="0"/>
        <w:rPr>
          <w:color w:val="auto"/>
          <w:highlight w:val="none"/>
        </w:rPr>
      </w:pPr>
    </w:p>
    <w:p>
      <w:pPr>
        <w:spacing w:after="0" w:line="360" w:lineRule="auto"/>
        <w:ind w:left="0" w:right="21" w:firstLine="0"/>
        <w:jc w:val="center"/>
        <w:rPr>
          <w:rFonts w:ascii="Times New Roman" w:hAnsi="Times New Roman" w:eastAsia="Times New Roman" w:cs="Times New Roman"/>
          <w:color w:val="auto"/>
          <w:sz w:val="16"/>
          <w:highlight w:val="none"/>
        </w:rPr>
        <w:sectPr>
          <w:footerReference r:id="rId7" w:type="default"/>
          <w:type w:val="continuous"/>
          <w:pgSz w:w="11909" w:h="16834"/>
          <w:pgMar w:top="1445" w:right="1358" w:bottom="1450" w:left="1440" w:header="568" w:footer="343" w:gutter="0"/>
          <w:pgNumType w:start="1"/>
          <w:cols w:space="720" w:num="1"/>
        </w:sectPr>
      </w:pPr>
    </w:p>
    <w:p>
      <w:pPr>
        <w:spacing w:after="0" w:line="360" w:lineRule="auto"/>
        <w:ind w:left="0" w:right="21" w:firstLine="0"/>
        <w:jc w:val="center"/>
        <w:rPr>
          <w:rFonts w:ascii="Times New Roman" w:hAnsi="Times New Roman" w:eastAsia="Times New Roman" w:cs="Times New Roman"/>
          <w:color w:val="auto"/>
          <w:sz w:val="16"/>
          <w:highlight w:val="none"/>
        </w:rPr>
        <w:sectPr>
          <w:type w:val="continuous"/>
          <w:pgSz w:w="11909" w:h="16834"/>
          <w:pgMar w:top="1445" w:right="1358" w:bottom="1450" w:left="1440" w:header="568" w:footer="343" w:gutter="0"/>
          <w:pgNumType w:start="1"/>
          <w:cols w:space="720" w:num="1"/>
        </w:sectPr>
      </w:pPr>
    </w:p>
    <w:p>
      <w:pPr>
        <w:spacing w:after="0" w:line="360" w:lineRule="auto"/>
        <w:ind w:left="0" w:right="21" w:firstLine="0"/>
        <w:jc w:val="center"/>
        <w:rPr>
          <w:color w:val="auto"/>
          <w:highlight w:val="none"/>
        </w:rPr>
      </w:pPr>
      <w:r>
        <w:rPr>
          <w:rFonts w:ascii="Times New Roman" w:hAnsi="Times New Roman" w:eastAsia="Times New Roman" w:cs="Times New Roman"/>
          <w:color w:val="auto"/>
          <w:highlight w:val="none"/>
        </w:rPr>
        <w:t xml:space="preserve"> </w:t>
      </w:r>
    </w:p>
    <w:p>
      <w:pPr>
        <w:rPr>
          <w:b/>
          <w:color w:val="auto"/>
          <w:sz w:val="30"/>
          <w:szCs w:val="30"/>
          <w:highlight w:val="none"/>
        </w:rPr>
      </w:pPr>
      <w:bookmarkStart w:id="1" w:name="_Toc693"/>
      <w:bookmarkStart w:id="2" w:name="_Toc79151123"/>
      <w:bookmarkStart w:id="3" w:name="_Toc22568"/>
      <w:bookmarkStart w:id="4" w:name="_Toc17223"/>
      <w:bookmarkStart w:id="5" w:name="_Toc20876"/>
      <w:bookmarkStart w:id="6" w:name="_Toc28544"/>
      <w:bookmarkStart w:id="7" w:name="_Toc28562"/>
      <w:bookmarkStart w:id="8" w:name="_Toc25019"/>
      <w:bookmarkStart w:id="9" w:name="_Toc6218"/>
      <w:r>
        <w:rPr>
          <w:rFonts w:hint="eastAsia"/>
          <w:b/>
          <w:color w:val="auto"/>
          <w:sz w:val="30"/>
          <w:szCs w:val="30"/>
          <w:highlight w:val="none"/>
        </w:rPr>
        <w:br w:type="page"/>
      </w:r>
    </w:p>
    <w:bookmarkEnd w:id="1"/>
    <w:bookmarkEnd w:id="2"/>
    <w:bookmarkEnd w:id="3"/>
    <w:bookmarkEnd w:id="4"/>
    <w:bookmarkEnd w:id="5"/>
    <w:bookmarkEnd w:id="6"/>
    <w:bookmarkEnd w:id="7"/>
    <w:bookmarkEnd w:id="8"/>
    <w:bookmarkEnd w:id="9"/>
    <w:p>
      <w:pPr>
        <w:pStyle w:val="2"/>
        <w:ind w:right="-9"/>
        <w:jc w:val="center"/>
        <w:rPr>
          <w:b/>
          <w:bCs/>
          <w:sz w:val="32"/>
          <w:szCs w:val="32"/>
          <w:highlight w:val="none"/>
        </w:rPr>
      </w:pPr>
      <w:bookmarkStart w:id="10" w:name="_Toc26627"/>
      <w:bookmarkStart w:id="11" w:name="_Toc25916"/>
      <w:bookmarkStart w:id="12" w:name="_Toc26227"/>
      <w:bookmarkStart w:id="13" w:name="_Toc30853"/>
      <w:bookmarkStart w:id="14" w:name="_Toc25329"/>
      <w:bookmarkStart w:id="15" w:name="_Toc15400"/>
      <w:bookmarkStart w:id="16" w:name="_Toc81"/>
      <w:bookmarkStart w:id="17" w:name="_Toc20442"/>
      <w:bookmarkStart w:id="18" w:name="_Toc23155"/>
      <w:bookmarkStart w:id="19" w:name="_Toc19244"/>
      <w:bookmarkStart w:id="20" w:name="_Toc79151124"/>
    </w:p>
    <w:p>
      <w:pPr>
        <w:pStyle w:val="2"/>
        <w:ind w:right="-9"/>
        <w:jc w:val="center"/>
        <w:rPr>
          <w:b/>
          <w:bCs/>
          <w:sz w:val="32"/>
          <w:szCs w:val="32"/>
          <w:highlight w:val="none"/>
        </w:rPr>
      </w:pPr>
      <w:bookmarkStart w:id="21" w:name="_Toc24986"/>
      <w:bookmarkStart w:id="22" w:name="_Toc17241"/>
      <w:bookmarkStart w:id="23" w:name="_Toc12146"/>
      <w:bookmarkStart w:id="24" w:name="_Toc18923"/>
      <w:r>
        <w:rPr>
          <w:rFonts w:hint="eastAsia"/>
          <w:b/>
          <w:bCs/>
          <w:sz w:val="32"/>
          <w:szCs w:val="32"/>
          <w:highlight w:val="none"/>
        </w:rPr>
        <w:t>总则</w:t>
      </w:r>
      <w:bookmarkEnd w:id="10"/>
      <w:bookmarkEnd w:id="11"/>
      <w:bookmarkEnd w:id="12"/>
      <w:bookmarkEnd w:id="13"/>
      <w:bookmarkEnd w:id="14"/>
      <w:bookmarkEnd w:id="15"/>
      <w:bookmarkEnd w:id="16"/>
      <w:bookmarkEnd w:id="17"/>
      <w:bookmarkEnd w:id="18"/>
      <w:bookmarkEnd w:id="19"/>
      <w:bookmarkEnd w:id="21"/>
      <w:bookmarkEnd w:id="22"/>
      <w:bookmarkEnd w:id="23"/>
      <w:bookmarkEnd w:id="24"/>
    </w:p>
    <w:p>
      <w:pPr>
        <w:spacing w:line="360" w:lineRule="auto"/>
        <w:ind w:firstLine="480" w:firstLineChars="200"/>
        <w:rPr>
          <w:szCs w:val="24"/>
          <w:highlight w:val="none"/>
        </w:rPr>
      </w:pPr>
    </w:p>
    <w:p>
      <w:pPr>
        <w:spacing w:line="360" w:lineRule="auto"/>
        <w:ind w:right="-9" w:firstLine="480" w:firstLineChars="200"/>
        <w:rPr>
          <w:szCs w:val="24"/>
          <w:highlight w:val="none"/>
        </w:rPr>
      </w:pPr>
      <w:r>
        <w:rPr>
          <w:rFonts w:hint="eastAsia"/>
          <w:szCs w:val="24"/>
          <w:highlight w:val="none"/>
        </w:rPr>
        <w:t>随着信息技术应用的深化和集中化，数据中心已经成为业务持续保障和信息安全的核心。在国外，基于云计算的区域大数据医疗平台已拥有一定基础，而国内还处于探索阶段，并出现了一批医学服务机构，但均未形成规模，所开展的业务具有片段不完整性和信息传递的滞后性，主要原因在于技术瓶颈所致。在医疗资源和社会资源不可能在短时间内满足需求情况下，利用信息化手段的支持全面缓解这一矛盾有着紧迫性，本项目符合战略性新型产业发展的重点方向，支持着新一代技术产业加快建设云计算的研发和示范应用。</w:t>
      </w:r>
    </w:p>
    <w:p>
      <w:pPr>
        <w:spacing w:line="360" w:lineRule="auto"/>
        <w:ind w:right="-9" w:firstLine="480" w:firstLineChars="200"/>
        <w:rPr>
          <w:szCs w:val="24"/>
          <w:highlight w:val="none"/>
        </w:rPr>
      </w:pPr>
      <w:r>
        <w:rPr>
          <w:rFonts w:hint="eastAsia"/>
          <w:szCs w:val="24"/>
          <w:highlight w:val="none"/>
        </w:rPr>
        <w:t>目前，从数字化医院建设到区域卫生信息化建设，以及居民健康档案、电子病历的建立，这些都是当前区域医疗卫生信息化建设的市场趋势与主要驱动力。从长远看，以区域为突破点，建设基于云计算的医疗信息数据中心，进而实现医疗信息资源集中规划和管理，将是信息化支持医学科研目标全面达成的基本途径。</w:t>
      </w:r>
    </w:p>
    <w:p>
      <w:pPr>
        <w:spacing w:line="360" w:lineRule="auto"/>
        <w:ind w:right="-9"/>
        <w:rPr>
          <w:szCs w:val="24"/>
          <w:highlight w:val="none"/>
        </w:rPr>
      </w:pPr>
      <w:r>
        <w:rPr>
          <w:rFonts w:hint="eastAsia"/>
          <w:szCs w:val="24"/>
          <w:highlight w:val="none"/>
        </w:rPr>
        <w:t>1、项目背景</w:t>
      </w:r>
    </w:p>
    <w:p>
      <w:pPr>
        <w:spacing w:line="360" w:lineRule="auto"/>
        <w:ind w:right="-9" w:firstLine="480" w:firstLineChars="200"/>
        <w:rPr>
          <w:szCs w:val="24"/>
          <w:highlight w:val="none"/>
        </w:rPr>
      </w:pPr>
      <w:r>
        <w:rPr>
          <w:rFonts w:hint="eastAsia"/>
          <w:szCs w:val="24"/>
          <w:highlight w:val="none"/>
        </w:rPr>
        <w:t>中山大学附属第一医院目前现有信息系统的中心机房共三个，分别位于</w:t>
      </w:r>
      <w:bookmarkStart w:id="25" w:name="OLE_LINK217"/>
      <w:r>
        <w:rPr>
          <w:rFonts w:hint="eastAsia"/>
          <w:szCs w:val="24"/>
          <w:highlight w:val="none"/>
        </w:rPr>
        <w:t>门诊大楼1楼（弱电中心30平方米）、曾宪梓楼9楼（120平方米）和手术科大楼3楼</w:t>
      </w:r>
      <w:bookmarkEnd w:id="25"/>
      <w:r>
        <w:rPr>
          <w:rFonts w:hint="eastAsia"/>
          <w:szCs w:val="24"/>
          <w:highlight w:val="none"/>
        </w:rPr>
        <w:t>（100平方米），目前各机房设备已满载，无扩容余地，其中作为核心机房的曾宪梓9楼信息数据中心机房更因大楼天面开裂多次发生渗水事故，导致服务器宕机，该机房也受面积及楼层承重问题，无法增加备用精密空调和UPS不间断电源，存有较大的系统运作安全隐患，一旦出现设备故障，全院主要业务系统将全面停止工作，影响面较大。医院远程医疗中心于2011年建成并投入使用，由于用地有限等原因，一直未能开展大规模、常态化的远程医疗工作。</w:t>
      </w:r>
    </w:p>
    <w:p>
      <w:pPr>
        <w:spacing w:line="360" w:lineRule="auto"/>
        <w:ind w:right="-9" w:firstLine="480" w:firstLineChars="200"/>
        <w:rPr>
          <w:szCs w:val="24"/>
          <w:highlight w:val="none"/>
        </w:rPr>
      </w:pPr>
      <w:r>
        <w:rPr>
          <w:rFonts w:hint="eastAsia"/>
          <w:szCs w:val="24"/>
          <w:highlight w:val="none"/>
        </w:rPr>
        <w:t>根据医院未来5-10年发展规划和目前机房现状，需要整合建设新的计算机信息网络机房，含机房供、配电系统（包括机房内的主设备用电、辅助设备用电）、防雷接地、UPS系统、机房新风系统、机房空调系统、机房综合布线、环境监控（漏水检测系统、温湿度探测、烟雾探测、配电柜、空调、UPS）、机房消防报警及灭火系统、机柜及KVM系统等几部分，用于分别放置医院日常业务的服务器、存储和网络控制设备等。功能区间分为：设备区域和辅助区域；设备区域含：</w:t>
      </w:r>
      <w:r>
        <w:rPr>
          <w:rFonts w:hint="eastAsia"/>
          <w:color w:val="auto"/>
          <w:szCs w:val="24"/>
          <w:highlight w:val="none"/>
        </w:rPr>
        <w:t>互联网D</w:t>
      </w:r>
      <w:r>
        <w:rPr>
          <w:color w:val="auto"/>
          <w:szCs w:val="24"/>
          <w:highlight w:val="none"/>
        </w:rPr>
        <w:t>MZ</w:t>
      </w:r>
      <w:r>
        <w:rPr>
          <w:rFonts w:hint="eastAsia"/>
          <w:color w:val="auto"/>
          <w:szCs w:val="24"/>
          <w:highlight w:val="none"/>
        </w:rPr>
        <w:t>区域、核心设备区域（一）、核心设备区域（二）、核心网络和安全设备区域、U</w:t>
      </w:r>
      <w:r>
        <w:rPr>
          <w:color w:val="auto"/>
          <w:szCs w:val="24"/>
          <w:highlight w:val="none"/>
        </w:rPr>
        <w:t>PS</w:t>
      </w:r>
      <w:r>
        <w:rPr>
          <w:rFonts w:hint="eastAsia"/>
          <w:color w:val="auto"/>
          <w:szCs w:val="24"/>
          <w:highlight w:val="none"/>
        </w:rPr>
        <w:t>配电间、主控机房、气瓶间</w:t>
      </w:r>
      <w:r>
        <w:rPr>
          <w:rFonts w:hint="eastAsia"/>
          <w:szCs w:val="24"/>
          <w:highlight w:val="none"/>
        </w:rPr>
        <w:t>。</w:t>
      </w:r>
    </w:p>
    <w:p>
      <w:pPr>
        <w:spacing w:line="360" w:lineRule="auto"/>
        <w:ind w:right="-9" w:firstLine="480" w:firstLineChars="200"/>
        <w:rPr>
          <w:szCs w:val="24"/>
          <w:highlight w:val="none"/>
        </w:rPr>
      </w:pPr>
      <w:r>
        <w:rPr>
          <w:rFonts w:hint="eastAsia"/>
          <w:szCs w:val="24"/>
          <w:highlight w:val="none"/>
        </w:rPr>
        <w:t>医学综合楼信息数据中心建成后，将在全面优化医疗服务软环境的同时，提升医院信息数据质量和扩大信息网络服务能力，在此基础上，建立医院网络全面覆盖的医学信息系统平台及大数据应用，面向医院管理、临床和患者提供有力的信息平台支撑。</w:t>
      </w:r>
    </w:p>
    <w:p>
      <w:pPr>
        <w:spacing w:line="360" w:lineRule="auto"/>
        <w:ind w:right="-9" w:firstLine="480" w:firstLineChars="200"/>
        <w:rPr>
          <w:szCs w:val="24"/>
          <w:highlight w:val="none"/>
        </w:rPr>
      </w:pPr>
      <w:r>
        <w:rPr>
          <w:rFonts w:hint="eastAsia"/>
          <w:szCs w:val="24"/>
          <w:highlight w:val="none"/>
        </w:rPr>
        <w:t>医院信息中心搬迁整合后，将建设成为医院临床业务和管理大数据中心，在全面优化医院信息化基础建设的同时，提升医院信息数据质量和扩大信息网络服务能力，在此基础上，建立医院网络全面覆盖的医学信息系统平台及大数据应用，面向医院管理、临床和患者提供有力的信息平台支撑。</w:t>
      </w:r>
    </w:p>
    <w:p>
      <w:pPr>
        <w:numPr>
          <w:ilvl w:val="0"/>
          <w:numId w:val="1"/>
        </w:numPr>
        <w:spacing w:line="360" w:lineRule="auto"/>
        <w:ind w:left="0" w:right="-9" w:firstLine="0"/>
        <w:rPr>
          <w:szCs w:val="24"/>
          <w:highlight w:val="none"/>
        </w:rPr>
      </w:pPr>
      <w:r>
        <w:rPr>
          <w:rFonts w:hint="eastAsia"/>
          <w:szCs w:val="24"/>
          <w:highlight w:val="none"/>
        </w:rPr>
        <w:t>建设内容</w:t>
      </w:r>
    </w:p>
    <w:p>
      <w:pPr>
        <w:spacing w:line="360" w:lineRule="auto"/>
        <w:ind w:left="0" w:right="-9" w:firstLine="0"/>
        <w:rPr>
          <w:szCs w:val="24"/>
          <w:highlight w:val="none"/>
        </w:rPr>
      </w:pPr>
      <w:r>
        <w:rPr>
          <w:rFonts w:hint="eastAsia"/>
          <w:szCs w:val="24"/>
          <w:highlight w:val="none"/>
        </w:rPr>
        <w:t xml:space="preserve">    本项目建设内容包括以下几个内容：</w:t>
      </w:r>
      <w:r>
        <w:rPr>
          <w:highlight w:val="none"/>
        </w:rPr>
        <w:fldChar w:fldCharType="begin"/>
      </w:r>
      <w:r>
        <w:rPr>
          <w:highlight w:val="none"/>
        </w:rPr>
        <w:instrText xml:space="preserve"> HYPERLINK \l "_Toc17024" </w:instrText>
      </w:r>
      <w:r>
        <w:rPr>
          <w:highlight w:val="none"/>
        </w:rPr>
        <w:fldChar w:fldCharType="separate"/>
      </w:r>
      <w:r>
        <w:rPr>
          <w:rFonts w:hint="eastAsia"/>
          <w:szCs w:val="24"/>
          <w:highlight w:val="none"/>
        </w:rPr>
        <w:t>信息引导及发布系统（设备及系统平台）</w:t>
      </w:r>
      <w:r>
        <w:rPr>
          <w:rFonts w:hint="eastAsia"/>
          <w:szCs w:val="24"/>
          <w:highlight w:val="none"/>
        </w:rPr>
        <w:fldChar w:fldCharType="end"/>
      </w:r>
      <w:r>
        <w:rPr>
          <w:rFonts w:hint="eastAsia"/>
          <w:szCs w:val="24"/>
          <w:highlight w:val="none"/>
        </w:rPr>
        <w:t>、</w:t>
      </w:r>
    </w:p>
    <w:p>
      <w:pPr>
        <w:spacing w:after="0" w:line="360" w:lineRule="auto"/>
        <w:ind w:left="0" w:right="-9" w:firstLine="0"/>
        <w:rPr>
          <w:b/>
          <w:color w:val="auto"/>
          <w:sz w:val="30"/>
          <w:szCs w:val="30"/>
          <w:highlight w:val="none"/>
        </w:rPr>
      </w:pPr>
      <w:r>
        <w:rPr>
          <w:highlight w:val="none"/>
        </w:rPr>
        <w:fldChar w:fldCharType="begin"/>
      </w:r>
      <w:r>
        <w:rPr>
          <w:highlight w:val="none"/>
        </w:rPr>
        <w:instrText xml:space="preserve"> HYPERLINK \l "_Toc30559" </w:instrText>
      </w:r>
      <w:r>
        <w:rPr>
          <w:highlight w:val="none"/>
        </w:rPr>
        <w:fldChar w:fldCharType="separate"/>
      </w:r>
      <w:r>
        <w:rPr>
          <w:rFonts w:hint="eastAsia"/>
          <w:szCs w:val="24"/>
          <w:highlight w:val="none"/>
        </w:rPr>
        <w:t>候诊呼叫信号系统（设备及系统平台）</w:t>
      </w:r>
      <w:r>
        <w:rPr>
          <w:rFonts w:hint="eastAsia"/>
          <w:szCs w:val="24"/>
          <w:highlight w:val="none"/>
        </w:rPr>
        <w:fldChar w:fldCharType="end"/>
      </w:r>
      <w:r>
        <w:rPr>
          <w:rFonts w:hint="eastAsia"/>
          <w:szCs w:val="24"/>
          <w:highlight w:val="none"/>
        </w:rPr>
        <w:t>、</w:t>
      </w:r>
      <w:r>
        <w:rPr>
          <w:highlight w:val="none"/>
        </w:rPr>
        <w:fldChar w:fldCharType="begin"/>
      </w:r>
      <w:r>
        <w:rPr>
          <w:highlight w:val="none"/>
        </w:rPr>
        <w:instrText xml:space="preserve"> HYPERLINK \l "_Toc271" </w:instrText>
      </w:r>
      <w:r>
        <w:rPr>
          <w:highlight w:val="none"/>
        </w:rPr>
        <w:fldChar w:fldCharType="separate"/>
      </w:r>
      <w:r>
        <w:rPr>
          <w:rFonts w:hint="eastAsia"/>
          <w:szCs w:val="24"/>
          <w:highlight w:val="none"/>
        </w:rPr>
        <w:t>院区标准化时钟系统（设备及系统平台）</w:t>
      </w:r>
      <w:r>
        <w:rPr>
          <w:rFonts w:hint="eastAsia"/>
          <w:szCs w:val="24"/>
          <w:highlight w:val="none"/>
        </w:rPr>
        <w:fldChar w:fldCharType="end"/>
      </w:r>
      <w:r>
        <w:rPr>
          <w:rFonts w:hint="eastAsia"/>
          <w:szCs w:val="24"/>
          <w:highlight w:val="none"/>
        </w:rPr>
        <w:t>、</w:t>
      </w:r>
      <w:r>
        <w:rPr>
          <w:highlight w:val="none"/>
        </w:rPr>
        <w:fldChar w:fldCharType="begin"/>
      </w:r>
      <w:r>
        <w:rPr>
          <w:highlight w:val="none"/>
        </w:rPr>
        <w:instrText xml:space="preserve"> HYPERLINK \l "_Toc16970" </w:instrText>
      </w:r>
      <w:r>
        <w:rPr>
          <w:highlight w:val="none"/>
        </w:rPr>
        <w:fldChar w:fldCharType="separate"/>
      </w:r>
      <w:r>
        <w:rPr>
          <w:rFonts w:hint="eastAsia"/>
          <w:szCs w:val="24"/>
          <w:highlight w:val="none"/>
        </w:rPr>
        <w:t>会议系统</w:t>
      </w:r>
      <w:r>
        <w:rPr>
          <w:rFonts w:hint="eastAsia"/>
          <w:szCs w:val="24"/>
          <w:highlight w:val="none"/>
        </w:rPr>
        <w:fldChar w:fldCharType="end"/>
      </w:r>
      <w:r>
        <w:rPr>
          <w:rFonts w:hint="eastAsia"/>
          <w:szCs w:val="24"/>
          <w:highlight w:val="none"/>
        </w:rPr>
        <w:t>、</w:t>
      </w:r>
      <w:r>
        <w:rPr>
          <w:highlight w:val="none"/>
        </w:rPr>
        <w:fldChar w:fldCharType="begin"/>
      </w:r>
      <w:r>
        <w:rPr>
          <w:highlight w:val="none"/>
        </w:rPr>
        <w:instrText xml:space="preserve"> HYPERLINK \l "_Toc7716" </w:instrText>
      </w:r>
      <w:r>
        <w:rPr>
          <w:highlight w:val="none"/>
        </w:rPr>
        <w:fldChar w:fldCharType="separate"/>
      </w:r>
      <w:r>
        <w:rPr>
          <w:rFonts w:hint="eastAsia"/>
          <w:szCs w:val="30"/>
          <w:highlight w:val="none"/>
        </w:rPr>
        <w:t>机房工程</w:t>
      </w:r>
      <w:r>
        <w:rPr>
          <w:rFonts w:hint="eastAsia"/>
          <w:szCs w:val="30"/>
          <w:highlight w:val="none"/>
        </w:rPr>
        <w:fldChar w:fldCharType="end"/>
      </w:r>
      <w:r>
        <w:rPr>
          <w:rFonts w:hint="eastAsia"/>
          <w:color w:val="auto"/>
          <w:highlight w:val="none"/>
        </w:rPr>
        <w:t>（</w:t>
      </w:r>
      <w:r>
        <w:rPr>
          <w:rFonts w:hint="eastAsia"/>
          <w:color w:val="auto"/>
          <w:szCs w:val="24"/>
          <w:highlight w:val="none"/>
        </w:rPr>
        <w:t>包括装饰装修、电气系统（含供配电、</w:t>
      </w:r>
      <w:r>
        <w:rPr>
          <w:color w:val="auto"/>
          <w:szCs w:val="24"/>
          <w:highlight w:val="none"/>
        </w:rPr>
        <w:t>UPS、防雷接地）、精密空调系统、微模块系统、综合布线系统、门禁安防系统、动环监控系统、新风系统</w:t>
      </w:r>
      <w:r>
        <w:rPr>
          <w:rFonts w:hint="eastAsia"/>
          <w:color w:val="auto"/>
          <w:highlight w:val="none"/>
        </w:rPr>
        <w:t>）</w:t>
      </w:r>
    </w:p>
    <w:p>
      <w:pPr>
        <w:spacing w:after="0" w:line="360" w:lineRule="auto"/>
        <w:ind w:left="0" w:right="0" w:firstLine="0"/>
        <w:rPr>
          <w:b/>
          <w:color w:val="auto"/>
          <w:szCs w:val="24"/>
          <w:highlight w:val="none"/>
        </w:rPr>
      </w:pPr>
      <w:r>
        <w:rPr>
          <w:rFonts w:hint="eastAsia"/>
          <w:bCs/>
          <w:color w:val="auto"/>
          <w:szCs w:val="24"/>
          <w:highlight w:val="none"/>
        </w:rPr>
        <w:t>3、</w:t>
      </w:r>
      <w:r>
        <w:rPr>
          <w:rFonts w:hint="eastAsia"/>
          <w:b/>
          <w:color w:val="auto"/>
          <w:szCs w:val="24"/>
          <w:highlight w:val="none"/>
        </w:rPr>
        <w:t>各系统总体要求：</w:t>
      </w:r>
    </w:p>
    <w:p>
      <w:pPr>
        <w:spacing w:after="0" w:line="360" w:lineRule="auto"/>
        <w:ind w:left="0" w:right="-247" w:rightChars="-103" w:firstLine="480" w:firstLineChars="200"/>
        <w:rPr>
          <w:color w:val="auto"/>
          <w:szCs w:val="21"/>
          <w:highlight w:val="none"/>
        </w:rPr>
      </w:pPr>
      <w:r>
        <w:rPr>
          <w:rFonts w:hint="eastAsia"/>
          <w:bCs/>
          <w:color w:val="auto"/>
          <w:szCs w:val="24"/>
          <w:highlight w:val="none"/>
        </w:rPr>
        <w:t>1）</w:t>
      </w:r>
      <w:r>
        <w:rPr>
          <w:rFonts w:hint="eastAsia"/>
          <w:color w:val="auto"/>
          <w:szCs w:val="21"/>
          <w:highlight w:val="none"/>
        </w:rPr>
        <w:t>综合楼的智能化专业内各新建子系统须无条件与医院原有的系统对接，需兼容原系统功能，各系统需支持全院的升级，需支持后期医院平台数据迁移及整合等内容，若系统管理接入授权需收费，则新建系统管理授权需包含全院已有点位和综合楼新建及可能扩建的点位。</w:t>
      </w:r>
    </w:p>
    <w:p>
      <w:pPr>
        <w:spacing w:after="0" w:line="360" w:lineRule="auto"/>
        <w:ind w:left="0" w:right="-247" w:rightChars="-103" w:firstLine="480" w:firstLineChars="200"/>
        <w:rPr>
          <w:color w:val="auto"/>
          <w:szCs w:val="21"/>
          <w:highlight w:val="none"/>
        </w:rPr>
      </w:pPr>
      <w:r>
        <w:rPr>
          <w:rFonts w:hint="eastAsia"/>
          <w:color w:val="auto"/>
          <w:szCs w:val="21"/>
          <w:highlight w:val="none"/>
        </w:rPr>
        <w:t>2）投标单位须保证所采用的系统品牌无条件开放数据接口，与医院原有的系统对接，并且承担对接系统所需要的费用（包括但不限于第三方的对接、改造和授权等所需费用，涉及第三方相关费用由中标方与第三方自行协调）</w:t>
      </w:r>
    </w:p>
    <w:p>
      <w:pPr>
        <w:spacing w:after="0" w:line="360" w:lineRule="auto"/>
        <w:ind w:left="0" w:right="-247" w:rightChars="-103" w:firstLine="480" w:firstLineChars="200"/>
        <w:rPr>
          <w:color w:val="auto"/>
          <w:szCs w:val="21"/>
          <w:highlight w:val="none"/>
        </w:rPr>
      </w:pPr>
      <w:r>
        <w:rPr>
          <w:rFonts w:hint="eastAsia"/>
          <w:color w:val="auto"/>
          <w:szCs w:val="21"/>
          <w:highlight w:val="none"/>
        </w:rPr>
        <w:t>3）各系统涉及外观、软件样式等内容，需与医院确认。软件功能及界面应参考原有医院系统的操作界面，确保软件界面与原系统一致以满足院方使用的习惯性。中标单位需移交所有软、硬件设备的账号及密码。</w:t>
      </w:r>
    </w:p>
    <w:p>
      <w:pPr>
        <w:spacing w:after="0" w:line="360" w:lineRule="auto"/>
        <w:ind w:left="0" w:right="-247" w:rightChars="-103" w:firstLine="480" w:firstLineChars="200"/>
        <w:rPr>
          <w:color w:val="auto"/>
          <w:szCs w:val="21"/>
          <w:highlight w:val="none"/>
        </w:rPr>
      </w:pPr>
      <w:r>
        <w:rPr>
          <w:rFonts w:hint="eastAsia"/>
          <w:color w:val="auto"/>
          <w:szCs w:val="21"/>
          <w:highlight w:val="none"/>
        </w:rPr>
        <w:t>4）网络设备的系统（包括无线网络），除满足综合楼网络规划的需求，还需考虑医院原有各楼宇的网络接入，以及规划建设的临床研究大楼项目的接入需求。</w:t>
      </w:r>
    </w:p>
    <w:p>
      <w:pPr>
        <w:spacing w:after="0" w:line="360" w:lineRule="auto"/>
        <w:ind w:left="0" w:right="-247" w:rightChars="-103" w:firstLine="480" w:firstLineChars="200"/>
        <w:rPr>
          <w:color w:val="auto"/>
          <w:szCs w:val="21"/>
          <w:highlight w:val="none"/>
        </w:rPr>
      </w:pPr>
      <w:r>
        <w:rPr>
          <w:rFonts w:hint="eastAsia"/>
          <w:color w:val="auto"/>
          <w:szCs w:val="21"/>
          <w:highlight w:val="none"/>
        </w:rPr>
        <w:t>5）本项目时钟系统提供标准时间源，各智能化子系统需与标准时间同步。</w:t>
      </w:r>
    </w:p>
    <w:p>
      <w:pPr>
        <w:spacing w:line="360" w:lineRule="auto"/>
        <w:ind w:right="-247" w:rightChars="-103" w:firstLine="480" w:firstLineChars="200"/>
        <w:rPr>
          <w:color w:val="auto"/>
          <w:szCs w:val="30"/>
          <w:highlight w:val="none"/>
        </w:rPr>
      </w:pPr>
      <w:r>
        <w:rPr>
          <w:rFonts w:hint="eastAsia"/>
          <w:color w:val="auto"/>
          <w:szCs w:val="21"/>
          <w:highlight w:val="none"/>
        </w:rPr>
        <w:t>6）</w:t>
      </w:r>
      <w:bookmarkStart w:id="26" w:name="OLE_LINK4"/>
      <w:r>
        <w:rPr>
          <w:rFonts w:hint="eastAsia"/>
          <w:color w:val="auto"/>
          <w:highlight w:val="none"/>
        </w:rPr>
        <w:t>投标单位所选用品牌的系统功能需满足附件3 《</w:t>
      </w:r>
      <w:r>
        <w:rPr>
          <w:rFonts w:hint="eastAsia"/>
          <w:color w:val="auto"/>
          <w:szCs w:val="30"/>
          <w:highlight w:val="none"/>
        </w:rPr>
        <w:t>中山大学附属第一医院应用系统安全评审指南》</w:t>
      </w:r>
      <w:bookmarkEnd w:id="26"/>
      <w:r>
        <w:rPr>
          <w:rFonts w:hint="eastAsia"/>
          <w:color w:val="auto"/>
          <w:szCs w:val="30"/>
          <w:highlight w:val="none"/>
        </w:rPr>
        <w:t>以及附件4《信息、智能化相关系统软件开发交付要求》。</w:t>
      </w:r>
    </w:p>
    <w:p>
      <w:pPr>
        <w:spacing w:line="360" w:lineRule="auto"/>
        <w:ind w:right="-247" w:rightChars="-103" w:firstLine="480" w:firstLineChars="200"/>
        <w:rPr>
          <w:color w:val="auto"/>
          <w:szCs w:val="21"/>
          <w:highlight w:val="none"/>
        </w:rPr>
      </w:pPr>
      <w:r>
        <w:rPr>
          <w:rFonts w:hint="eastAsia"/>
          <w:color w:val="auto"/>
          <w:szCs w:val="21"/>
          <w:highlight w:val="none"/>
        </w:rPr>
        <w:t>7）投标单位在项目实施的过程中应满足附件5《</w:t>
      </w:r>
      <w:r>
        <w:rPr>
          <w:rFonts w:hint="eastAsia"/>
          <w:szCs w:val="30"/>
          <w:highlight w:val="none"/>
        </w:rPr>
        <w:t>中山大学附属第一医院与生产、经销单位物资购销廉洁协议书</w:t>
      </w:r>
      <w:r>
        <w:rPr>
          <w:rFonts w:hint="eastAsia"/>
          <w:color w:val="auto"/>
          <w:szCs w:val="21"/>
          <w:highlight w:val="none"/>
        </w:rPr>
        <w:t>》及附件6《</w:t>
      </w:r>
      <w:r>
        <w:rPr>
          <w:rFonts w:hint="eastAsia"/>
          <w:szCs w:val="30"/>
          <w:highlight w:val="none"/>
        </w:rPr>
        <w:t>保密协议</w:t>
      </w:r>
      <w:r>
        <w:rPr>
          <w:rFonts w:hint="eastAsia"/>
          <w:color w:val="auto"/>
          <w:szCs w:val="21"/>
          <w:highlight w:val="none"/>
        </w:rPr>
        <w:t>》的要求。</w:t>
      </w:r>
    </w:p>
    <w:p>
      <w:pPr>
        <w:spacing w:line="360" w:lineRule="auto"/>
        <w:ind w:right="-247" w:rightChars="-103" w:hangingChars="4"/>
        <w:rPr>
          <w:b/>
          <w:bCs/>
          <w:color w:val="auto"/>
          <w:szCs w:val="21"/>
          <w:highlight w:val="none"/>
        </w:rPr>
      </w:pPr>
      <w:r>
        <w:rPr>
          <w:rFonts w:hint="eastAsia"/>
          <w:b/>
          <w:bCs/>
          <w:color w:val="auto"/>
          <w:szCs w:val="21"/>
          <w:highlight w:val="none"/>
        </w:rPr>
        <w:t>4、工程质量标准要求</w:t>
      </w:r>
    </w:p>
    <w:p>
      <w:pPr>
        <w:spacing w:line="360" w:lineRule="auto"/>
        <w:ind w:right="-247" w:rightChars="-103" w:firstLine="480" w:firstLineChars="200"/>
        <w:rPr>
          <w:color w:val="auto"/>
          <w:szCs w:val="21"/>
          <w:highlight w:val="none"/>
        </w:rPr>
      </w:pPr>
      <w:r>
        <w:rPr>
          <w:rFonts w:hint="eastAsia"/>
          <w:color w:val="auto"/>
          <w:szCs w:val="21"/>
          <w:highlight w:val="none"/>
        </w:rPr>
        <w:t>严格按甲方提供的施工图进行施工，按照设计文件和有关技术标准、规范和合同规定施工，验收标准按国家颁发的《建筑工程施工质量验收统一标准》（</w:t>
      </w:r>
      <w:r>
        <w:rPr>
          <w:color w:val="auto"/>
          <w:szCs w:val="21"/>
          <w:highlight w:val="none"/>
        </w:rPr>
        <w:t>GB50300-2013）执行，必须达到新竣工备案制的合格标准。参照国家有关智能化建设规范行业标准要求，符合现行验收标准验收合格。符合国家智能化规范的优良工程。信息数据机房应符合《数据中心设计规范》GB50174-2017最新版本内B级机房以及《全国医院信息化建设标准与规范（试行）》里的要求，应满足《中国质量认证中心认证技术规范》CQC1325-2018的要求。</w:t>
      </w:r>
      <w:r>
        <w:rPr>
          <w:rFonts w:hint="eastAsia"/>
          <w:color w:val="auto"/>
          <w:szCs w:val="21"/>
          <w:highlight w:val="none"/>
        </w:rPr>
        <w:t>承包单位负责本机房</w:t>
      </w:r>
      <w:r>
        <w:rPr>
          <w:color w:val="auto"/>
          <w:szCs w:val="21"/>
          <w:highlight w:val="none"/>
        </w:rPr>
        <w:t>B级机房认证（中国质量认证中心颁发）证书申请，并取得相关证书作为验收资料提交。</w:t>
      </w:r>
    </w:p>
    <w:p>
      <w:pPr>
        <w:spacing w:after="0" w:line="360" w:lineRule="auto"/>
        <w:ind w:left="0" w:right="0" w:firstLine="0"/>
        <w:rPr>
          <w:b/>
          <w:bCs/>
          <w:color w:val="auto"/>
          <w:highlight w:val="none"/>
        </w:rPr>
      </w:pPr>
      <w:r>
        <w:rPr>
          <w:bCs/>
          <w:color w:val="auto"/>
          <w:szCs w:val="24"/>
          <w:highlight w:val="none"/>
        </w:rPr>
        <w:t>5</w:t>
      </w:r>
      <w:r>
        <w:rPr>
          <w:rFonts w:hint="eastAsia"/>
          <w:bCs/>
          <w:color w:val="auto"/>
          <w:szCs w:val="24"/>
          <w:highlight w:val="none"/>
        </w:rPr>
        <w:t>、</w:t>
      </w:r>
      <w:bookmarkStart w:id="27" w:name="_Toc488848575"/>
      <w:r>
        <w:rPr>
          <w:rFonts w:hint="eastAsia"/>
          <w:b/>
          <w:bCs/>
          <w:color w:val="auto"/>
          <w:highlight w:val="none"/>
        </w:rPr>
        <w:t>其他要求</w:t>
      </w:r>
      <w:bookmarkEnd w:id="27"/>
    </w:p>
    <w:p>
      <w:pPr>
        <w:spacing w:line="360" w:lineRule="auto"/>
        <w:ind w:right="-9" w:firstLine="480" w:firstLineChars="200"/>
        <w:rPr>
          <w:color w:val="auto"/>
          <w:highlight w:val="none"/>
        </w:rPr>
      </w:pPr>
      <w:r>
        <w:rPr>
          <w:rFonts w:hint="eastAsia"/>
          <w:color w:val="auto"/>
          <w:highlight w:val="none"/>
        </w:rPr>
        <w:t>本建筑智能化工程使用的所有线缆的防火满足规范GB51348-2019《民用电气设计标准》的要求，重要公共建筑要求使用燃烧性能为B1级（B1级为 GB31247-2014规定的燃烧性能等级）。各系统所选用线缆的规格参数详见附录当中的主要设备材料表。所有室内敷设的线槽/管必须为金属材质，根据各建筑物内的室内装饰情况选择合适的敷设方式。</w:t>
      </w:r>
    </w:p>
    <w:p>
      <w:pPr>
        <w:spacing w:line="360" w:lineRule="auto"/>
        <w:ind w:right="-9" w:firstLine="480" w:firstLineChars="200"/>
        <w:rPr>
          <w:color w:val="auto"/>
          <w:highlight w:val="none"/>
        </w:rPr>
      </w:pPr>
      <w:r>
        <w:rPr>
          <w:rFonts w:hint="eastAsia"/>
          <w:color w:val="auto"/>
          <w:highlight w:val="none"/>
        </w:rPr>
        <w:t>各系统的部件和材料应符合制造商提供的规格书给定值的电压、电流、温度、应力或任何其他条件。所有设备均应具有短路保护，包括电源内部的保护。当由于电源系统切换、线路故障或地电位升高引起电压幅度和相位变化时，设备不致受到损坏且保持正常性能。</w:t>
      </w:r>
    </w:p>
    <w:p>
      <w:pPr>
        <w:spacing w:line="360" w:lineRule="auto"/>
        <w:ind w:right="-9" w:firstLine="480" w:firstLineChars="200"/>
        <w:rPr>
          <w:color w:val="auto"/>
          <w:highlight w:val="none"/>
        </w:rPr>
      </w:pPr>
      <w:r>
        <w:rPr>
          <w:rFonts w:hint="eastAsia"/>
          <w:color w:val="auto"/>
          <w:highlight w:val="none"/>
        </w:rPr>
        <w:t>所有电缆应接至端子排。所有端子排、电缆、接线及设备应采用业主认可的标签标识，标签采用永久性不沾水、不退色标签。</w:t>
      </w:r>
    </w:p>
    <w:p>
      <w:pPr>
        <w:spacing w:line="360" w:lineRule="auto"/>
        <w:ind w:right="-9" w:firstLine="480" w:firstLineChars="200"/>
        <w:rPr>
          <w:color w:val="auto"/>
          <w:highlight w:val="none"/>
        </w:rPr>
      </w:pPr>
      <w:r>
        <w:rPr>
          <w:rFonts w:hint="eastAsia"/>
          <w:color w:val="auto"/>
          <w:highlight w:val="none"/>
        </w:rPr>
        <w:t>考虑到不同产品的差异性，本次招标要求的设备种类及数量包含但不限于本用户需求书之列之设备清单。对于已列明的设备，原则上须包含；对于未列明但实现本工程所有功能所必需的设备应该在报价清单中详细列出并读入总报价，同时在差异表中列明数量、单价、竞价并说明原因。如果是实现系统功能必需的设备和必需增加的数量，但投标人没有在投标清单列出，将视为漏项。中标后业主有权要求中标人无偿补足。</w:t>
      </w:r>
    </w:p>
    <w:p>
      <w:pPr>
        <w:spacing w:line="360" w:lineRule="auto"/>
        <w:ind w:right="-9" w:firstLine="480" w:firstLineChars="200"/>
        <w:rPr>
          <w:color w:val="auto"/>
          <w:highlight w:val="none"/>
        </w:rPr>
      </w:pPr>
      <w:r>
        <w:rPr>
          <w:rFonts w:hint="eastAsia"/>
          <w:color w:val="auto"/>
          <w:highlight w:val="none"/>
        </w:rPr>
        <w:t>本招标技术需求文件提出的是最低限度的技术要求和指标，投标人应考虑此基准，按文件的要求进行详细的系统设备配置。所选用、配置的系统设备参数不得低于本技术文件提出的技术要求。投标人提供详细的设备选型依据，计算依据以及详细的技术参数，便于后期维护。</w:t>
      </w:r>
    </w:p>
    <w:p>
      <w:pPr>
        <w:spacing w:line="360" w:lineRule="auto"/>
        <w:ind w:right="-9" w:firstLine="480" w:firstLineChars="200"/>
        <w:rPr>
          <w:color w:val="auto"/>
          <w:highlight w:val="none"/>
        </w:rPr>
      </w:pPr>
      <w:r>
        <w:rPr>
          <w:rFonts w:hint="eastAsia"/>
          <w:color w:val="auto"/>
          <w:highlight w:val="none"/>
        </w:rPr>
        <w:t>竣工图纸资料中注明要求提供设计部分软件系统的密码及相应的授权许可，便于后期维护。</w:t>
      </w:r>
    </w:p>
    <w:p>
      <w:pPr>
        <w:spacing w:line="360" w:lineRule="auto"/>
        <w:ind w:right="-9" w:firstLine="480" w:firstLineChars="200"/>
        <w:rPr>
          <w:color w:val="auto"/>
          <w:highlight w:val="none"/>
        </w:rPr>
      </w:pPr>
      <w:r>
        <w:rPr>
          <w:rFonts w:hint="eastAsia"/>
          <w:color w:val="auto"/>
          <w:highlight w:val="none"/>
        </w:rPr>
        <w:t>投标人应结合施工图纸来阅读本招标文件，以明确各智能化系统的架构及配置要求。</w:t>
      </w:r>
    </w:p>
    <w:p>
      <w:pPr>
        <w:spacing w:line="360" w:lineRule="auto"/>
        <w:ind w:right="-9" w:firstLine="480" w:firstLineChars="200"/>
        <w:rPr>
          <w:color w:val="auto"/>
          <w:highlight w:val="none"/>
        </w:rPr>
      </w:pPr>
      <w:r>
        <w:rPr>
          <w:rFonts w:hint="eastAsia"/>
          <w:color w:val="auto"/>
          <w:highlight w:val="none"/>
        </w:rPr>
        <w:t>投标单位应充分了解、深刻领会本项目的设计思路、技术要求、工程界面，确保本智能化工程各系统的完整性。</w:t>
      </w:r>
    </w:p>
    <w:p>
      <w:pPr>
        <w:spacing w:line="360" w:lineRule="auto"/>
        <w:ind w:right="-9" w:firstLine="480" w:firstLineChars="200"/>
        <w:rPr>
          <w:color w:val="auto"/>
          <w:highlight w:val="none"/>
        </w:rPr>
      </w:pPr>
      <w:r>
        <w:rPr>
          <w:rFonts w:hint="eastAsia"/>
          <w:color w:val="auto"/>
          <w:highlight w:val="none"/>
        </w:rPr>
        <w:t>注：本需求书智能化各系统及产品按业主方的需求、规划，同时兼容本院其它大楼原有智能化系统实施。投标人在进行投标时，应考虑与原医院各系统的对接，满足系统的整体的完整性，实现系统间的无缝对接。其中技术需求书、工程量清单、施工图纸之间如有冲突，以技术需求书为准。</w:t>
      </w:r>
    </w:p>
    <w:p>
      <w:pPr>
        <w:spacing w:line="360" w:lineRule="auto"/>
        <w:ind w:left="0" w:right="231" w:firstLine="0"/>
        <w:rPr>
          <w:highlight w:val="none"/>
        </w:rPr>
        <w:sectPr>
          <w:headerReference r:id="rId8" w:type="default"/>
          <w:type w:val="continuous"/>
          <w:pgSz w:w="11909" w:h="16834"/>
          <w:pgMar w:top="1445" w:right="1358" w:bottom="1450" w:left="1440" w:header="568" w:footer="343" w:gutter="0"/>
          <w:pgNumType w:start="0"/>
          <w:cols w:space="720" w:num="1"/>
        </w:sectPr>
      </w:pPr>
      <w:r>
        <w:rPr>
          <w:rFonts w:hint="eastAsia"/>
          <w:highlight w:val="none"/>
        </w:rPr>
        <w:t xml:space="preserve">    工程质量保修</w:t>
      </w:r>
      <w:r>
        <w:rPr>
          <w:rFonts w:hint="eastAsia"/>
          <w:highlight w:val="none"/>
          <w:lang w:val="en-US" w:eastAsia="zh-CN"/>
        </w:rPr>
        <w:t>五</w:t>
      </w:r>
      <w:r>
        <w:rPr>
          <w:rFonts w:hint="eastAsia"/>
          <w:highlight w:val="none"/>
        </w:rPr>
        <w:t>年含装修，所有设备原厂质保5年，其中，机房模块化冷通道、精密空调、UPS和新风机要原厂五年</w:t>
      </w:r>
      <w:r>
        <w:rPr>
          <w:rFonts w:hint="eastAsia"/>
          <w:b/>
          <w:bCs/>
          <w:highlight w:val="none"/>
        </w:rPr>
        <w:t>上门维保服务</w:t>
      </w:r>
      <w:r>
        <w:rPr>
          <w:rFonts w:hint="eastAsia"/>
          <w:highlight w:val="none"/>
        </w:rPr>
        <w:t>，含配件、耗材保养和更换。</w:t>
      </w:r>
    </w:p>
    <w:bookmarkEnd w:id="20"/>
    <w:p>
      <w:pPr>
        <w:pStyle w:val="2"/>
        <w:numPr>
          <w:ilvl w:val="0"/>
          <w:numId w:val="2"/>
        </w:numPr>
        <w:tabs>
          <w:tab w:val="left" w:pos="480"/>
        </w:tabs>
        <w:spacing w:after="0" w:line="360" w:lineRule="auto"/>
        <w:ind w:right="0"/>
        <w:rPr>
          <w:b/>
          <w:color w:val="auto"/>
          <w:sz w:val="30"/>
          <w:szCs w:val="30"/>
          <w:highlight w:val="none"/>
        </w:rPr>
      </w:pPr>
      <w:bookmarkStart w:id="28" w:name="_Toc31311"/>
      <w:bookmarkStart w:id="29" w:name="_Toc7399"/>
      <w:bookmarkStart w:id="30" w:name="_Toc12683"/>
      <w:bookmarkStart w:id="31" w:name="_Toc9903"/>
      <w:bookmarkStart w:id="32" w:name="_Toc28256"/>
      <w:bookmarkStart w:id="33" w:name="_Toc79151130"/>
      <w:bookmarkStart w:id="34" w:name="_Toc16428"/>
      <w:bookmarkStart w:id="35" w:name="_Toc2841"/>
      <w:bookmarkStart w:id="36" w:name="_Toc18349"/>
      <w:bookmarkStart w:id="37" w:name="_Toc27586"/>
      <w:bookmarkStart w:id="38" w:name="_Toc10513"/>
      <w:bookmarkStart w:id="39" w:name="_Toc26746"/>
      <w:bookmarkStart w:id="40" w:name="_Toc28309"/>
      <w:bookmarkStart w:id="41" w:name="_Toc23922"/>
      <w:bookmarkStart w:id="42" w:name="_Toc30446"/>
      <w:bookmarkStart w:id="43" w:name="_Toc4023"/>
      <w:bookmarkStart w:id="44" w:name="_Toc3896"/>
      <w:bookmarkStart w:id="45" w:name="_Toc31186"/>
      <w:bookmarkStart w:id="46" w:name="_Toc24187"/>
      <w:bookmarkStart w:id="47" w:name="_Toc17024"/>
      <w:bookmarkStart w:id="48" w:name="_Toc16810"/>
      <w:bookmarkStart w:id="49" w:name="_Toc12348"/>
      <w:r>
        <w:rPr>
          <w:rFonts w:hint="eastAsia"/>
          <w:b/>
          <w:color w:val="auto"/>
          <w:sz w:val="30"/>
          <w:szCs w:val="30"/>
          <w:highlight w:val="none"/>
        </w:rPr>
        <w:t>信息引导及发布系统</w:t>
      </w:r>
      <w:bookmarkEnd w:id="28"/>
      <w:bookmarkEnd w:id="29"/>
      <w:bookmarkEnd w:id="30"/>
      <w:bookmarkEnd w:id="31"/>
      <w:bookmarkEnd w:id="32"/>
      <w:bookmarkEnd w:id="33"/>
      <w:bookmarkEnd w:id="34"/>
      <w:bookmarkEnd w:id="35"/>
      <w:bookmarkEnd w:id="36"/>
      <w:r>
        <w:rPr>
          <w:rFonts w:hint="eastAsia"/>
          <w:b/>
          <w:color w:val="auto"/>
          <w:sz w:val="30"/>
          <w:szCs w:val="30"/>
          <w:highlight w:val="none"/>
        </w:rPr>
        <w:t>（设备及系统平台）</w:t>
      </w:r>
      <w:bookmarkEnd w:id="37"/>
      <w:bookmarkEnd w:id="38"/>
      <w:bookmarkEnd w:id="39"/>
      <w:bookmarkEnd w:id="40"/>
      <w:bookmarkEnd w:id="41"/>
      <w:bookmarkEnd w:id="42"/>
      <w:bookmarkEnd w:id="43"/>
      <w:bookmarkEnd w:id="44"/>
      <w:bookmarkEnd w:id="45"/>
      <w:bookmarkEnd w:id="46"/>
      <w:bookmarkEnd w:id="47"/>
      <w:bookmarkEnd w:id="48"/>
      <w:bookmarkEnd w:id="49"/>
      <w:r>
        <w:rPr>
          <w:rFonts w:hint="eastAsia"/>
          <w:b/>
          <w:color w:val="auto"/>
          <w:sz w:val="30"/>
          <w:szCs w:val="30"/>
          <w:highlight w:val="none"/>
        </w:rPr>
        <w:t xml:space="preserve"> </w:t>
      </w:r>
    </w:p>
    <w:p>
      <w:pPr>
        <w:pStyle w:val="30"/>
        <w:keepNext/>
        <w:keepLines/>
        <w:numPr>
          <w:ilvl w:val="0"/>
          <w:numId w:val="3"/>
        </w:numPr>
        <w:spacing w:after="0" w:line="360" w:lineRule="auto"/>
        <w:ind w:right="1593" w:hanging="10" w:firstLineChars="0"/>
        <w:outlineLvl w:val="1"/>
        <w:rPr>
          <w:rFonts w:cs="Times New Roman"/>
          <w:b/>
          <w:bCs/>
          <w:vanish/>
          <w:color w:val="auto"/>
          <w:szCs w:val="24"/>
          <w:highlight w:val="none"/>
        </w:rPr>
      </w:pPr>
    </w:p>
    <w:p>
      <w:pPr>
        <w:pStyle w:val="3"/>
        <w:numPr>
          <w:ilvl w:val="1"/>
          <w:numId w:val="3"/>
        </w:numPr>
        <w:spacing w:before="0" w:after="0" w:line="360" w:lineRule="auto"/>
        <w:ind w:left="10" w:right="1593"/>
        <w:rPr>
          <w:rFonts w:ascii="宋体" w:hAnsi="宋体" w:eastAsia="宋体" w:cs="Times New Roman"/>
          <w:color w:val="auto"/>
          <w:sz w:val="24"/>
          <w:szCs w:val="24"/>
          <w:highlight w:val="none"/>
        </w:rPr>
      </w:pPr>
      <w:r>
        <w:rPr>
          <w:rFonts w:hint="eastAsia" w:ascii="宋体" w:hAnsi="宋体" w:eastAsia="宋体" w:cs="Times New Roman"/>
          <w:color w:val="auto"/>
          <w:sz w:val="24"/>
          <w:szCs w:val="24"/>
          <w:highlight w:val="none"/>
        </w:rPr>
        <w:t xml:space="preserve"> </w:t>
      </w:r>
      <w:r>
        <w:rPr>
          <w:rFonts w:ascii="宋体" w:hAnsi="宋体" w:eastAsia="宋体" w:cs="Times New Roman"/>
          <w:color w:val="auto"/>
          <w:sz w:val="24"/>
          <w:szCs w:val="24"/>
          <w:highlight w:val="none"/>
        </w:rPr>
        <w:t xml:space="preserve">概述 </w:t>
      </w:r>
    </w:p>
    <w:p>
      <w:pPr>
        <w:numPr>
          <w:ilvl w:val="2"/>
          <w:numId w:val="3"/>
        </w:numPr>
        <w:spacing w:after="0" w:line="360" w:lineRule="auto"/>
        <w:ind w:left="731" w:leftChars="100" w:right="12" w:hanging="491" w:hangingChars="205"/>
        <w:rPr>
          <w:color w:val="auto"/>
          <w:highlight w:val="none"/>
        </w:rPr>
      </w:pPr>
      <w:r>
        <w:rPr>
          <w:color w:val="auto"/>
          <w:highlight w:val="none"/>
        </w:rPr>
        <w:t>系统将运用本项目中的</w:t>
      </w:r>
      <w:r>
        <w:rPr>
          <w:rFonts w:hint="eastAsia"/>
          <w:color w:val="auto"/>
          <w:highlight w:val="none"/>
        </w:rPr>
        <w:t>智能化设备专网</w:t>
      </w:r>
      <w:r>
        <w:rPr>
          <w:color w:val="auto"/>
          <w:highlight w:val="none"/>
        </w:rPr>
        <w:t>网络系统及综合布线系统作为系统主干，把</w:t>
      </w:r>
      <w:r>
        <w:rPr>
          <w:rFonts w:hint="eastAsia"/>
          <w:color w:val="auto"/>
          <w:highlight w:val="none"/>
        </w:rPr>
        <w:t>医院</w:t>
      </w:r>
      <w:r>
        <w:rPr>
          <w:color w:val="auto"/>
          <w:highlight w:val="none"/>
        </w:rPr>
        <w:t>内的数字显示屏连接显示屏信息发布系统的主机和储存设备，并将不同的显示内容显示于不同位置的显示屏上。</w:t>
      </w:r>
      <w:r>
        <w:rPr>
          <w:rFonts w:ascii="Times New Roman" w:hAnsi="Times New Roman" w:eastAsia="Times New Roman" w:cs="Times New Roman"/>
          <w:color w:val="auto"/>
          <w:highlight w:val="none"/>
        </w:rPr>
        <w:t xml:space="preserve"> </w:t>
      </w:r>
    </w:p>
    <w:p>
      <w:pPr>
        <w:numPr>
          <w:ilvl w:val="2"/>
          <w:numId w:val="3"/>
        </w:numPr>
        <w:spacing w:after="0" w:line="360" w:lineRule="auto"/>
        <w:ind w:left="731" w:leftChars="100" w:right="12" w:hanging="491" w:hangingChars="205"/>
        <w:rPr>
          <w:color w:val="auto"/>
          <w:highlight w:val="none"/>
        </w:rPr>
      </w:pPr>
      <w:r>
        <w:rPr>
          <w:color w:val="auto"/>
          <w:highlight w:val="none"/>
        </w:rPr>
        <w:t>系统各控制播放终端（</w:t>
      </w:r>
      <w:r>
        <w:rPr>
          <w:rFonts w:hint="eastAsia"/>
          <w:color w:val="auto"/>
          <w:highlight w:val="none"/>
        </w:rPr>
        <w:t>一体机</w:t>
      </w:r>
      <w:r>
        <w:rPr>
          <w:color w:val="auto"/>
          <w:highlight w:val="none"/>
        </w:rPr>
        <w:t xml:space="preserve">及信息查询机）在服务器上登记特定的 </w:t>
      </w:r>
      <w:r>
        <w:rPr>
          <w:rFonts w:ascii="Times New Roman" w:hAnsi="Times New Roman" w:eastAsia="Times New Roman" w:cs="Times New Roman"/>
          <w:color w:val="auto"/>
          <w:highlight w:val="none"/>
        </w:rPr>
        <w:t xml:space="preserve">IP </w:t>
      </w:r>
      <w:r>
        <w:rPr>
          <w:color w:val="auto"/>
          <w:highlight w:val="none"/>
        </w:rPr>
        <w:t>地址，使多媒体内容可直接传送至任一的显示器。</w:t>
      </w:r>
      <w:r>
        <w:rPr>
          <w:rFonts w:ascii="Times New Roman" w:hAnsi="Times New Roman" w:eastAsia="Times New Roman" w:cs="Times New Roman"/>
          <w:color w:val="auto"/>
          <w:highlight w:val="none"/>
        </w:rPr>
        <w:t xml:space="preserve"> </w:t>
      </w:r>
    </w:p>
    <w:p>
      <w:pPr>
        <w:numPr>
          <w:ilvl w:val="2"/>
          <w:numId w:val="3"/>
        </w:numPr>
        <w:spacing w:after="0" w:line="360" w:lineRule="auto"/>
        <w:ind w:left="731" w:leftChars="100" w:right="12" w:hanging="491" w:hangingChars="205"/>
        <w:rPr>
          <w:color w:val="auto"/>
          <w:highlight w:val="none"/>
        </w:rPr>
      </w:pPr>
      <w:r>
        <w:rPr>
          <w:color w:val="auto"/>
          <w:highlight w:val="none"/>
        </w:rPr>
        <w:t>系统</w:t>
      </w:r>
      <w:r>
        <w:rPr>
          <w:rFonts w:hint="eastAsia"/>
          <w:color w:val="auto"/>
          <w:highlight w:val="none"/>
        </w:rPr>
        <w:t>主要由等候区的宣教显示屏、专家介绍屏，电梯厅的智能终端组成</w:t>
      </w:r>
      <w:r>
        <w:rPr>
          <w:color w:val="auto"/>
          <w:highlight w:val="none"/>
        </w:rPr>
        <w:t xml:space="preserve">。 </w:t>
      </w:r>
    </w:p>
    <w:p>
      <w:pPr>
        <w:numPr>
          <w:ilvl w:val="2"/>
          <w:numId w:val="3"/>
        </w:numPr>
        <w:spacing w:after="0" w:line="360" w:lineRule="auto"/>
        <w:ind w:left="731" w:leftChars="100" w:right="12" w:hanging="491" w:hangingChars="205"/>
        <w:rPr>
          <w:color w:val="auto"/>
          <w:highlight w:val="none"/>
        </w:rPr>
      </w:pPr>
      <w:r>
        <w:rPr>
          <w:color w:val="auto"/>
          <w:highlight w:val="none"/>
        </w:rPr>
        <w:t>系统包括以下设备：</w:t>
      </w:r>
      <w:r>
        <w:rPr>
          <w:rFonts w:ascii="Times New Roman" w:hAnsi="Times New Roman" w:eastAsia="Times New Roman" w:cs="Times New Roman"/>
          <w:color w:val="auto"/>
          <w:highlight w:val="none"/>
        </w:rPr>
        <w:t xml:space="preserve"> </w:t>
      </w:r>
    </w:p>
    <w:p>
      <w:pPr>
        <w:numPr>
          <w:ilvl w:val="0"/>
          <w:numId w:val="4"/>
        </w:numPr>
        <w:spacing w:after="0" w:line="360" w:lineRule="auto"/>
        <w:ind w:left="731" w:leftChars="100" w:right="12" w:hanging="491" w:hangingChars="205"/>
        <w:rPr>
          <w:color w:val="auto"/>
          <w:highlight w:val="none"/>
        </w:rPr>
      </w:pPr>
      <w:r>
        <w:rPr>
          <w:color w:val="auto"/>
          <w:highlight w:val="none"/>
        </w:rPr>
        <w:t>信息发布系统应用服务器</w:t>
      </w:r>
      <w:r>
        <w:rPr>
          <w:rFonts w:hint="eastAsia"/>
          <w:color w:val="auto"/>
          <w:highlight w:val="none"/>
        </w:rPr>
        <w:t>（使用超融合服务器，由其他标段提供）</w:t>
      </w:r>
      <w:r>
        <w:rPr>
          <w:color w:val="auto"/>
          <w:highlight w:val="none"/>
        </w:rPr>
        <w:t xml:space="preserve"> </w:t>
      </w:r>
    </w:p>
    <w:p>
      <w:pPr>
        <w:numPr>
          <w:ilvl w:val="0"/>
          <w:numId w:val="4"/>
        </w:numPr>
        <w:spacing w:after="0" w:line="360" w:lineRule="auto"/>
        <w:ind w:left="731" w:leftChars="100" w:right="12" w:hanging="491" w:hangingChars="205"/>
        <w:rPr>
          <w:color w:val="auto"/>
          <w:highlight w:val="none"/>
        </w:rPr>
      </w:pPr>
      <w:r>
        <w:rPr>
          <w:color w:val="auto"/>
          <w:highlight w:val="none"/>
        </w:rPr>
        <w:t xml:space="preserve">控制管理软件 (包括主控软件及客户端软件) </w:t>
      </w:r>
    </w:p>
    <w:p>
      <w:pPr>
        <w:numPr>
          <w:ilvl w:val="0"/>
          <w:numId w:val="4"/>
        </w:numPr>
        <w:spacing w:after="0" w:line="360" w:lineRule="auto"/>
        <w:ind w:left="731" w:leftChars="100" w:right="12" w:hanging="491" w:hangingChars="205"/>
        <w:rPr>
          <w:color w:val="auto"/>
          <w:highlight w:val="none"/>
        </w:rPr>
      </w:pPr>
      <w:r>
        <w:rPr>
          <w:color w:val="auto"/>
          <w:highlight w:val="none"/>
        </w:rPr>
        <w:t xml:space="preserve">编辑控制电脑 </w:t>
      </w:r>
    </w:p>
    <w:p>
      <w:pPr>
        <w:numPr>
          <w:ilvl w:val="0"/>
          <w:numId w:val="4"/>
        </w:numPr>
        <w:spacing w:after="0" w:line="360" w:lineRule="auto"/>
        <w:ind w:left="731" w:leftChars="100" w:right="12" w:hanging="491" w:hangingChars="205"/>
        <w:rPr>
          <w:color w:val="auto"/>
          <w:highlight w:val="none"/>
        </w:rPr>
      </w:pPr>
      <w:r>
        <w:rPr>
          <w:rFonts w:hint="eastAsia"/>
          <w:color w:val="auto"/>
          <w:highlight w:val="none"/>
        </w:rPr>
        <w:t>智能终端</w:t>
      </w:r>
      <w:r>
        <w:rPr>
          <w:color w:val="auto"/>
          <w:highlight w:val="none"/>
        </w:rPr>
        <w:t xml:space="preserve"> </w:t>
      </w:r>
    </w:p>
    <w:p>
      <w:pPr>
        <w:numPr>
          <w:ilvl w:val="0"/>
          <w:numId w:val="4"/>
        </w:numPr>
        <w:spacing w:after="0" w:line="360" w:lineRule="auto"/>
        <w:ind w:left="731" w:leftChars="100" w:right="12" w:hanging="491" w:hangingChars="205"/>
        <w:rPr>
          <w:color w:val="auto"/>
          <w:highlight w:val="none"/>
        </w:rPr>
      </w:pPr>
      <w:r>
        <w:rPr>
          <w:color w:val="auto"/>
          <w:highlight w:val="none"/>
        </w:rPr>
        <w:t xml:space="preserve">显示屏/信息查询机 </w:t>
      </w:r>
    </w:p>
    <w:p>
      <w:pPr>
        <w:numPr>
          <w:ilvl w:val="2"/>
          <w:numId w:val="3"/>
        </w:numPr>
        <w:spacing w:after="0" w:line="360" w:lineRule="auto"/>
        <w:ind w:left="731" w:leftChars="100" w:right="12" w:hanging="491" w:hangingChars="205"/>
        <w:rPr>
          <w:color w:val="auto"/>
          <w:highlight w:val="none"/>
        </w:rPr>
      </w:pPr>
      <w:r>
        <w:rPr>
          <w:color w:val="auto"/>
          <w:highlight w:val="none"/>
        </w:rPr>
        <w:t>系统应进行模块化设计，便于日后系统拓展及整合。同时实行统一管理，以保证各模块配合顺畅。</w:t>
      </w:r>
      <w:r>
        <w:rPr>
          <w:rFonts w:ascii="Times New Roman" w:hAnsi="Times New Roman" w:eastAsia="Times New Roman" w:cs="Times New Roman"/>
          <w:color w:val="auto"/>
          <w:highlight w:val="none"/>
        </w:rPr>
        <w:t xml:space="preserve"> </w:t>
      </w:r>
    </w:p>
    <w:p>
      <w:pPr>
        <w:numPr>
          <w:ilvl w:val="2"/>
          <w:numId w:val="3"/>
        </w:numPr>
        <w:spacing w:after="0" w:line="360" w:lineRule="auto"/>
        <w:ind w:left="731" w:leftChars="100" w:right="12" w:hanging="491" w:hangingChars="205"/>
        <w:rPr>
          <w:color w:val="auto"/>
          <w:highlight w:val="none"/>
        </w:rPr>
      </w:pPr>
      <w:r>
        <w:rPr>
          <w:rFonts w:hint="eastAsia"/>
          <w:color w:val="auto"/>
          <w:highlight w:val="none"/>
        </w:rPr>
        <w:t>系统从交换机至末端信息发布机一体机的管线由其他标段提供，本项目负责系统设备的供货、安装、调试</w:t>
      </w:r>
      <w:r>
        <w:rPr>
          <w:color w:val="auto"/>
          <w:highlight w:val="none"/>
        </w:rPr>
        <w:t>。</w:t>
      </w:r>
      <w:r>
        <w:rPr>
          <w:rFonts w:ascii="Times New Roman" w:hAnsi="Times New Roman" w:eastAsia="Times New Roman" w:cs="Times New Roman"/>
          <w:color w:val="auto"/>
          <w:highlight w:val="none"/>
        </w:rPr>
        <w:t xml:space="preserve"> </w:t>
      </w:r>
    </w:p>
    <w:p>
      <w:pPr>
        <w:numPr>
          <w:ilvl w:val="2"/>
          <w:numId w:val="3"/>
        </w:numPr>
        <w:spacing w:after="0" w:line="360" w:lineRule="auto"/>
        <w:ind w:left="731" w:leftChars="100" w:right="12" w:hanging="491" w:hangingChars="205"/>
        <w:rPr>
          <w:color w:val="auto"/>
          <w:highlight w:val="none"/>
        </w:rPr>
      </w:pPr>
      <w:r>
        <w:rPr>
          <w:color w:val="auto"/>
          <w:highlight w:val="none"/>
        </w:rPr>
        <w:t>系统须支持远程浏览器登陆，对各终端进行任务管理及内容管理等。</w:t>
      </w:r>
      <w:r>
        <w:rPr>
          <w:rFonts w:ascii="Times New Roman" w:hAnsi="Times New Roman" w:eastAsia="Times New Roman" w:cs="Times New Roman"/>
          <w:color w:val="auto"/>
          <w:highlight w:val="none"/>
        </w:rPr>
        <w:t xml:space="preserve"> </w:t>
      </w:r>
    </w:p>
    <w:p>
      <w:pPr>
        <w:numPr>
          <w:ilvl w:val="2"/>
          <w:numId w:val="3"/>
        </w:numPr>
        <w:spacing w:after="0" w:line="360" w:lineRule="auto"/>
        <w:ind w:left="731" w:leftChars="100" w:right="12" w:hanging="491" w:hangingChars="205"/>
        <w:rPr>
          <w:color w:val="auto"/>
          <w:highlight w:val="none"/>
        </w:rPr>
      </w:pPr>
      <w:r>
        <w:rPr>
          <w:color w:val="auto"/>
          <w:highlight w:val="none"/>
        </w:rPr>
        <w:t>当网络发生故障或中断时，除需提取互联网资料外，各显示屏末端须能在离</w:t>
      </w:r>
      <w:r>
        <w:rPr>
          <w:rFonts w:hint="eastAsia"/>
          <w:color w:val="auto"/>
          <w:highlight w:val="none"/>
        </w:rPr>
        <w:t>线</w:t>
      </w:r>
      <w:r>
        <w:rPr>
          <w:color w:val="auto"/>
          <w:highlight w:val="none"/>
        </w:rPr>
        <w:t>模式下运行而不会中断。</w:t>
      </w:r>
      <w:r>
        <w:rPr>
          <w:rFonts w:ascii="Times New Roman" w:hAnsi="Times New Roman" w:eastAsia="Times New Roman" w:cs="Times New Roman"/>
          <w:color w:val="auto"/>
          <w:highlight w:val="none"/>
        </w:rPr>
        <w:t xml:space="preserve"> </w:t>
      </w:r>
    </w:p>
    <w:p>
      <w:pPr>
        <w:numPr>
          <w:ilvl w:val="2"/>
          <w:numId w:val="3"/>
        </w:numPr>
        <w:spacing w:after="0" w:line="360" w:lineRule="auto"/>
        <w:ind w:left="731" w:leftChars="100" w:right="12" w:hanging="491" w:hangingChars="205"/>
        <w:rPr>
          <w:color w:val="auto"/>
          <w:highlight w:val="none"/>
        </w:rPr>
      </w:pPr>
      <w:r>
        <w:rPr>
          <w:color w:val="auto"/>
          <w:highlight w:val="none"/>
        </w:rPr>
        <w:t>本系统需可远程控制播放器及显示端电源开关，以方便用户管理。</w:t>
      </w:r>
      <w:r>
        <w:rPr>
          <w:rFonts w:ascii="Times New Roman" w:hAnsi="Times New Roman" w:eastAsia="Times New Roman" w:cs="Times New Roman"/>
          <w:color w:val="auto"/>
          <w:highlight w:val="none"/>
        </w:rPr>
        <w:t xml:space="preserve"> </w:t>
      </w:r>
    </w:p>
    <w:p>
      <w:pPr>
        <w:spacing w:after="0" w:line="360" w:lineRule="auto"/>
        <w:ind w:left="1419" w:right="0" w:firstLine="0"/>
        <w:rPr>
          <w:color w:val="auto"/>
          <w:highlight w:val="none"/>
        </w:rPr>
      </w:pPr>
      <w:r>
        <w:rPr>
          <w:rFonts w:ascii="Times New Roman" w:hAnsi="Times New Roman" w:eastAsia="Times New Roman" w:cs="Times New Roman"/>
          <w:color w:val="auto"/>
          <w:highlight w:val="none"/>
        </w:rPr>
        <w:t xml:space="preserve">  </w:t>
      </w:r>
    </w:p>
    <w:p>
      <w:pPr>
        <w:pStyle w:val="3"/>
        <w:numPr>
          <w:ilvl w:val="1"/>
          <w:numId w:val="3"/>
        </w:numPr>
        <w:spacing w:before="0" w:after="0" w:line="360" w:lineRule="auto"/>
        <w:ind w:left="10" w:right="1593"/>
        <w:rPr>
          <w:rFonts w:ascii="宋体" w:hAnsi="宋体" w:eastAsia="宋体" w:cs="Times New Roman"/>
          <w:color w:val="auto"/>
          <w:sz w:val="24"/>
          <w:szCs w:val="24"/>
          <w:highlight w:val="none"/>
        </w:rPr>
      </w:pPr>
      <w:r>
        <w:rPr>
          <w:rFonts w:hint="eastAsia" w:ascii="宋体" w:hAnsi="宋体" w:eastAsia="宋体" w:cs="Times New Roman"/>
          <w:color w:val="auto"/>
          <w:sz w:val="24"/>
          <w:szCs w:val="24"/>
          <w:highlight w:val="none"/>
        </w:rPr>
        <w:t xml:space="preserve"> </w:t>
      </w:r>
      <w:r>
        <w:rPr>
          <w:rFonts w:ascii="宋体" w:hAnsi="宋体" w:eastAsia="宋体" w:cs="Times New Roman"/>
          <w:color w:val="auto"/>
          <w:sz w:val="24"/>
          <w:szCs w:val="24"/>
          <w:highlight w:val="none"/>
        </w:rPr>
        <w:t xml:space="preserve">工作范围 </w:t>
      </w:r>
    </w:p>
    <w:p>
      <w:pPr>
        <w:numPr>
          <w:ilvl w:val="2"/>
          <w:numId w:val="3"/>
        </w:numPr>
        <w:spacing w:after="0" w:line="360" w:lineRule="auto"/>
        <w:ind w:left="948" w:leftChars="105" w:right="12" w:hanging="696" w:hangingChars="290"/>
        <w:rPr>
          <w:color w:val="auto"/>
          <w:highlight w:val="none"/>
        </w:rPr>
      </w:pPr>
      <w:r>
        <w:rPr>
          <w:color w:val="auto"/>
          <w:highlight w:val="none"/>
        </w:rPr>
        <w:t>承包单位须提供至少</w:t>
      </w:r>
      <w:r>
        <w:rPr>
          <w:rFonts w:hint="eastAsia"/>
          <w:color w:val="auto"/>
          <w:highlight w:val="none"/>
        </w:rPr>
        <w:t>两</w:t>
      </w:r>
      <w:r>
        <w:rPr>
          <w:color w:val="auto"/>
          <w:highlight w:val="none"/>
        </w:rPr>
        <w:t>套显示屏图像用户界面</w:t>
      </w:r>
      <w:r>
        <w:rPr>
          <w:rFonts w:ascii="Times New Roman" w:hAnsi="Times New Roman" w:eastAsia="Times New Roman" w:cs="Times New Roman"/>
          <w:color w:val="auto"/>
          <w:highlight w:val="none"/>
        </w:rPr>
        <w:t>(GUI)</w:t>
      </w:r>
      <w:r>
        <w:rPr>
          <w:color w:val="auto"/>
          <w:highlight w:val="none"/>
        </w:rPr>
        <w:t>模板供业主参考，并须根据业主意见对图像用户界面进行二次开发，并最终提供一个业主满意的用户界面。针对互动显示屏，承包单位还须提供显示器界面树型图，同时用户可自定义显示屏图像用户界面。</w:t>
      </w:r>
      <w:r>
        <w:rPr>
          <w:rFonts w:ascii="Times New Roman" w:hAnsi="Times New Roman" w:eastAsia="Times New Roman" w:cs="Times New Roman"/>
          <w:color w:val="auto"/>
          <w:highlight w:val="none"/>
        </w:rPr>
        <w:t xml:space="preserve"> </w:t>
      </w:r>
    </w:p>
    <w:p>
      <w:pPr>
        <w:numPr>
          <w:ilvl w:val="2"/>
          <w:numId w:val="3"/>
        </w:numPr>
        <w:spacing w:after="0" w:line="360" w:lineRule="auto"/>
        <w:ind w:left="948" w:leftChars="105" w:right="12" w:hanging="696" w:hangingChars="290"/>
        <w:rPr>
          <w:color w:val="auto"/>
          <w:highlight w:val="none"/>
        </w:rPr>
      </w:pPr>
      <w:r>
        <w:rPr>
          <w:color w:val="auto"/>
          <w:highlight w:val="none"/>
        </w:rPr>
        <w:t>承包单位须根据业主要求对互动电子指南的信息显示模块（包括主页及各分页信息），用户输入模块（包括手写或键盘输入）等进行编辑，并须最终获得业主同意。</w:t>
      </w:r>
      <w:r>
        <w:rPr>
          <w:rFonts w:ascii="Times New Roman" w:hAnsi="Times New Roman" w:eastAsia="Times New Roman" w:cs="Times New Roman"/>
          <w:color w:val="auto"/>
          <w:highlight w:val="none"/>
        </w:rPr>
        <w:t xml:space="preserve"> </w:t>
      </w:r>
    </w:p>
    <w:p>
      <w:pPr>
        <w:numPr>
          <w:ilvl w:val="2"/>
          <w:numId w:val="3"/>
        </w:numPr>
        <w:spacing w:after="0" w:line="360" w:lineRule="auto"/>
        <w:ind w:left="948" w:leftChars="105" w:right="12" w:hanging="696" w:hangingChars="290"/>
        <w:rPr>
          <w:color w:val="auto"/>
          <w:highlight w:val="none"/>
        </w:rPr>
      </w:pPr>
      <w:r>
        <w:rPr>
          <w:color w:val="auto"/>
          <w:highlight w:val="none"/>
        </w:rPr>
        <w:t>承包单位须建立管理工作站，并保证所有日常工作均可以在工作站中进行。系统亦须支持其中包括控制终端管理，任务管理，内容管理等。</w:t>
      </w:r>
      <w:r>
        <w:rPr>
          <w:rFonts w:ascii="Times New Roman" w:hAnsi="Times New Roman" w:eastAsia="Times New Roman" w:cs="Times New Roman"/>
          <w:color w:val="auto"/>
          <w:highlight w:val="none"/>
        </w:rPr>
        <w:t xml:space="preserve"> </w:t>
      </w:r>
    </w:p>
    <w:p>
      <w:pPr>
        <w:numPr>
          <w:ilvl w:val="2"/>
          <w:numId w:val="3"/>
        </w:numPr>
        <w:spacing w:after="0" w:line="360" w:lineRule="auto"/>
        <w:ind w:left="948" w:leftChars="105" w:right="12" w:hanging="696" w:hangingChars="290"/>
        <w:rPr>
          <w:color w:val="auto"/>
          <w:highlight w:val="none"/>
        </w:rPr>
      </w:pPr>
      <w:r>
        <w:rPr>
          <w:color w:val="auto"/>
          <w:highlight w:val="none"/>
        </w:rPr>
        <w:t>承包单位须现场视察及覆实显示屏之尺寸及安装位置，并负责有关制造及安装的所有细节，包括系统软件、相关配电及布线。</w:t>
      </w:r>
      <w:r>
        <w:rPr>
          <w:rFonts w:ascii="Times New Roman" w:hAnsi="Times New Roman" w:eastAsia="Times New Roman" w:cs="Times New Roman"/>
          <w:color w:val="auto"/>
          <w:highlight w:val="none"/>
        </w:rPr>
        <w:t xml:space="preserve"> </w:t>
      </w:r>
    </w:p>
    <w:p>
      <w:pPr>
        <w:numPr>
          <w:ilvl w:val="2"/>
          <w:numId w:val="3"/>
        </w:numPr>
        <w:spacing w:after="0" w:line="360" w:lineRule="auto"/>
        <w:ind w:left="948" w:leftChars="105" w:right="12" w:hanging="696" w:hangingChars="290"/>
        <w:rPr>
          <w:color w:val="auto"/>
          <w:highlight w:val="none"/>
        </w:rPr>
      </w:pPr>
      <w:r>
        <w:rPr>
          <w:color w:val="auto"/>
          <w:highlight w:val="none"/>
        </w:rPr>
        <w:t>承包单位须在指定位置提供并安装显示器，并能根据现场环境提供不同的安装支架进行安装；而显示器则需支持相应的显示，包括宽屏显示及竖屏显示等。</w:t>
      </w:r>
      <w:r>
        <w:rPr>
          <w:rFonts w:ascii="Times New Roman" w:hAnsi="Times New Roman" w:eastAsia="Times New Roman" w:cs="Times New Roman"/>
          <w:color w:val="auto"/>
          <w:highlight w:val="none"/>
        </w:rPr>
        <w:t xml:space="preserve"> </w:t>
      </w:r>
    </w:p>
    <w:p>
      <w:pPr>
        <w:numPr>
          <w:ilvl w:val="2"/>
          <w:numId w:val="3"/>
        </w:numPr>
        <w:spacing w:after="0" w:line="360" w:lineRule="auto"/>
        <w:ind w:left="948" w:leftChars="105" w:right="12" w:hanging="696" w:hangingChars="290"/>
        <w:rPr>
          <w:color w:val="auto"/>
          <w:highlight w:val="none"/>
        </w:rPr>
      </w:pPr>
      <w:r>
        <w:rPr>
          <w:color w:val="auto"/>
          <w:highlight w:val="none"/>
        </w:rPr>
        <w:t>承包单位须保证系统在控制系统停止运作或网络中断情况下，所有内容仍能自行按照既定时间和播放列表播放。</w:t>
      </w:r>
      <w:r>
        <w:rPr>
          <w:rFonts w:ascii="Times New Roman" w:hAnsi="Times New Roman" w:eastAsia="Times New Roman" w:cs="Times New Roman"/>
          <w:color w:val="auto"/>
          <w:highlight w:val="none"/>
        </w:rPr>
        <w:t xml:space="preserve"> </w:t>
      </w:r>
    </w:p>
    <w:p>
      <w:pPr>
        <w:numPr>
          <w:ilvl w:val="2"/>
          <w:numId w:val="3"/>
        </w:numPr>
        <w:spacing w:after="0" w:line="360" w:lineRule="auto"/>
        <w:ind w:left="948" w:leftChars="105" w:right="12" w:hanging="696" w:hangingChars="290"/>
        <w:rPr>
          <w:color w:val="auto"/>
          <w:highlight w:val="none"/>
        </w:rPr>
      </w:pPr>
      <w:r>
        <w:rPr>
          <w:color w:val="auto"/>
          <w:highlight w:val="none"/>
        </w:rPr>
        <w:t>承包单位须根据显示屏安装的现场环境，为显示屏提供及安转防尘防潮罩以保证显示屏的正常运作。</w:t>
      </w:r>
      <w:r>
        <w:rPr>
          <w:rFonts w:ascii="Times New Roman" w:hAnsi="Times New Roman" w:eastAsia="Times New Roman" w:cs="Times New Roman"/>
          <w:color w:val="auto"/>
          <w:highlight w:val="none"/>
        </w:rPr>
        <w:t xml:space="preserve"> </w:t>
      </w:r>
    </w:p>
    <w:p>
      <w:pPr>
        <w:numPr>
          <w:ilvl w:val="2"/>
          <w:numId w:val="3"/>
        </w:numPr>
        <w:spacing w:after="0" w:line="360" w:lineRule="auto"/>
        <w:ind w:left="948" w:leftChars="105" w:right="12" w:hanging="696" w:hangingChars="290"/>
        <w:rPr>
          <w:color w:val="auto"/>
          <w:highlight w:val="none"/>
        </w:rPr>
      </w:pPr>
      <w:r>
        <w:rPr>
          <w:color w:val="auto"/>
          <w:highlight w:val="none"/>
        </w:rPr>
        <w:t>图纸上所示的点位及安装方式仅供参考。具体</w:t>
      </w:r>
      <w:r>
        <w:rPr>
          <w:rFonts w:hint="eastAsia"/>
          <w:color w:val="auto"/>
          <w:highlight w:val="none"/>
        </w:rPr>
        <w:t>网络液晶一体机</w:t>
      </w:r>
      <w:r>
        <w:rPr>
          <w:color w:val="auto"/>
          <w:highlight w:val="none"/>
        </w:rPr>
        <w:t>的摆放位置及安装方式须由承包单位与精装单位协调，并协调相关安装孔洞预留。</w:t>
      </w:r>
      <w:r>
        <w:rPr>
          <w:rFonts w:ascii="Times New Roman" w:hAnsi="Times New Roman" w:eastAsia="Times New Roman" w:cs="Times New Roman"/>
          <w:color w:val="auto"/>
          <w:highlight w:val="none"/>
        </w:rPr>
        <w:t xml:space="preserve"> </w:t>
      </w:r>
    </w:p>
    <w:p>
      <w:pPr>
        <w:numPr>
          <w:ilvl w:val="2"/>
          <w:numId w:val="3"/>
        </w:numPr>
        <w:spacing w:after="0" w:line="360" w:lineRule="auto"/>
        <w:ind w:left="948" w:leftChars="105" w:right="12" w:hanging="696" w:hangingChars="290"/>
        <w:rPr>
          <w:color w:val="auto"/>
          <w:highlight w:val="none"/>
        </w:rPr>
      </w:pPr>
      <w:r>
        <w:rPr>
          <w:color w:val="auto"/>
          <w:highlight w:val="none"/>
        </w:rPr>
        <w:t>本承包单位须负责在有关工程施工前复核由其它承包单位为配合本承包合同工程所提供的各项设施和配备是否齐全和适用，并负起相关责任，包括但不限于以下事项：</w:t>
      </w:r>
      <w:r>
        <w:rPr>
          <w:rFonts w:ascii="Times New Roman" w:hAnsi="Times New Roman" w:eastAsia="Times New Roman" w:cs="Times New Roman"/>
          <w:color w:val="auto"/>
          <w:highlight w:val="none"/>
        </w:rPr>
        <w:t xml:space="preserve"> </w:t>
      </w:r>
    </w:p>
    <w:p>
      <w:pPr>
        <w:numPr>
          <w:ilvl w:val="0"/>
          <w:numId w:val="5"/>
        </w:numPr>
        <w:spacing w:after="0" w:line="360" w:lineRule="auto"/>
        <w:ind w:left="948" w:leftChars="105" w:right="12" w:hanging="696" w:hangingChars="290"/>
        <w:rPr>
          <w:color w:val="auto"/>
          <w:highlight w:val="none"/>
        </w:rPr>
      </w:pPr>
      <w:r>
        <w:rPr>
          <w:color w:val="auto"/>
          <w:highlight w:val="none"/>
        </w:rPr>
        <w:t xml:space="preserve">显示屏通风条件 </w:t>
      </w:r>
    </w:p>
    <w:p>
      <w:pPr>
        <w:numPr>
          <w:ilvl w:val="0"/>
          <w:numId w:val="5"/>
        </w:numPr>
        <w:spacing w:after="0" w:line="360" w:lineRule="auto"/>
        <w:ind w:left="948" w:leftChars="105" w:right="12" w:hanging="696" w:hangingChars="290"/>
        <w:rPr>
          <w:color w:val="auto"/>
          <w:highlight w:val="none"/>
        </w:rPr>
      </w:pPr>
      <w:r>
        <w:rPr>
          <w:color w:val="auto"/>
          <w:highlight w:val="none"/>
        </w:rPr>
        <w:t xml:space="preserve">显示屏防潮防尘条件 </w:t>
      </w:r>
    </w:p>
    <w:p>
      <w:pPr>
        <w:numPr>
          <w:ilvl w:val="0"/>
          <w:numId w:val="5"/>
        </w:numPr>
        <w:spacing w:after="0" w:line="360" w:lineRule="auto"/>
        <w:ind w:left="948" w:leftChars="105" w:right="12" w:hanging="696" w:hangingChars="290"/>
        <w:rPr>
          <w:color w:val="auto"/>
          <w:highlight w:val="none"/>
        </w:rPr>
      </w:pPr>
      <w:r>
        <w:rPr>
          <w:rFonts w:hint="eastAsia"/>
          <w:color w:val="auto"/>
          <w:highlight w:val="none"/>
        </w:rPr>
        <w:t>网络液晶一体机</w:t>
      </w:r>
      <w:r>
        <w:rPr>
          <w:color w:val="auto"/>
          <w:highlight w:val="none"/>
        </w:rPr>
        <w:t xml:space="preserve">电源插座 </w:t>
      </w:r>
    </w:p>
    <w:p>
      <w:pPr>
        <w:numPr>
          <w:ilvl w:val="0"/>
          <w:numId w:val="5"/>
        </w:numPr>
        <w:spacing w:after="0" w:line="360" w:lineRule="auto"/>
        <w:ind w:left="948" w:leftChars="105" w:right="12" w:hanging="696" w:hangingChars="290"/>
        <w:rPr>
          <w:color w:val="auto"/>
          <w:highlight w:val="none"/>
        </w:rPr>
      </w:pPr>
      <w:r>
        <w:rPr>
          <w:color w:val="auto"/>
          <w:highlight w:val="none"/>
        </w:rPr>
        <w:t xml:space="preserve">综合布线点位及相关管线预埋 </w:t>
      </w:r>
    </w:p>
    <w:p>
      <w:pPr>
        <w:numPr>
          <w:ilvl w:val="2"/>
          <w:numId w:val="3"/>
        </w:numPr>
        <w:spacing w:after="0" w:line="360" w:lineRule="auto"/>
        <w:ind w:left="948" w:leftChars="105" w:right="12" w:hanging="696" w:hangingChars="290"/>
        <w:rPr>
          <w:color w:val="auto"/>
          <w:highlight w:val="none"/>
        </w:rPr>
      </w:pPr>
      <w:r>
        <w:rPr>
          <w:color w:val="auto"/>
          <w:highlight w:val="none"/>
        </w:rPr>
        <w:t>承包单位须提供系统保修期内的软件系统免费升级。</w:t>
      </w:r>
      <w:r>
        <w:rPr>
          <w:rFonts w:ascii="Times New Roman" w:hAnsi="Times New Roman" w:eastAsia="Times New Roman" w:cs="Times New Roman"/>
          <w:color w:val="auto"/>
          <w:highlight w:val="none"/>
        </w:rPr>
        <w:t xml:space="preserve"> </w:t>
      </w:r>
    </w:p>
    <w:p>
      <w:pPr>
        <w:spacing w:after="0" w:line="360" w:lineRule="auto"/>
        <w:ind w:left="1419" w:right="0" w:firstLine="0"/>
        <w:rPr>
          <w:color w:val="auto"/>
          <w:highlight w:val="none"/>
        </w:rPr>
      </w:pPr>
    </w:p>
    <w:p>
      <w:pPr>
        <w:pStyle w:val="3"/>
        <w:numPr>
          <w:ilvl w:val="1"/>
          <w:numId w:val="3"/>
        </w:numPr>
        <w:spacing w:before="0" w:after="0" w:line="360" w:lineRule="auto"/>
        <w:ind w:left="10" w:right="1593"/>
        <w:rPr>
          <w:rFonts w:ascii="宋体" w:hAnsi="宋体" w:eastAsia="宋体" w:cs="Times New Roman"/>
          <w:color w:val="auto"/>
          <w:sz w:val="24"/>
          <w:szCs w:val="24"/>
          <w:highlight w:val="none"/>
        </w:rPr>
      </w:pPr>
      <w:r>
        <w:rPr>
          <w:rFonts w:hint="eastAsia" w:ascii="宋体" w:hAnsi="宋体" w:eastAsia="宋体" w:cs="Times New Roman"/>
          <w:color w:val="auto"/>
          <w:sz w:val="24"/>
          <w:szCs w:val="24"/>
          <w:highlight w:val="none"/>
        </w:rPr>
        <w:t xml:space="preserve"> </w:t>
      </w:r>
      <w:r>
        <w:rPr>
          <w:rFonts w:ascii="宋体" w:hAnsi="宋体" w:eastAsia="宋体" w:cs="Times New Roman"/>
          <w:color w:val="auto"/>
          <w:sz w:val="24"/>
          <w:szCs w:val="24"/>
          <w:highlight w:val="none"/>
        </w:rPr>
        <w:t xml:space="preserve">系统描述 </w:t>
      </w:r>
    </w:p>
    <w:p>
      <w:pPr>
        <w:numPr>
          <w:ilvl w:val="2"/>
          <w:numId w:val="3"/>
        </w:numPr>
        <w:spacing w:after="0" w:line="360" w:lineRule="auto"/>
        <w:ind w:left="976" w:leftChars="100" w:right="12" w:hanging="736" w:hangingChars="307"/>
        <w:rPr>
          <w:color w:val="auto"/>
          <w:highlight w:val="none"/>
        </w:rPr>
      </w:pPr>
      <w:r>
        <w:rPr>
          <w:color w:val="auto"/>
          <w:highlight w:val="none"/>
        </w:rPr>
        <w:t>信息发布系统</w:t>
      </w:r>
      <w:r>
        <w:rPr>
          <w:rFonts w:hint="eastAsia"/>
          <w:color w:val="auto"/>
          <w:highlight w:val="none"/>
        </w:rPr>
        <w:t>需</w:t>
      </w:r>
      <w:r>
        <w:rPr>
          <w:color w:val="auto"/>
          <w:highlight w:val="none"/>
        </w:rPr>
        <w:t>采用</w:t>
      </w:r>
      <w:r>
        <w:rPr>
          <w:rFonts w:hint="eastAsia"/>
          <w:color w:val="auto"/>
          <w:highlight w:val="none"/>
        </w:rPr>
        <w:t>B/S</w:t>
      </w:r>
      <w:r>
        <w:rPr>
          <w:color w:val="auto"/>
          <w:highlight w:val="none"/>
        </w:rPr>
        <w:t>结构，各控制播放终端（</w:t>
      </w:r>
      <w:r>
        <w:rPr>
          <w:rFonts w:hint="eastAsia"/>
          <w:color w:val="auto"/>
          <w:highlight w:val="none"/>
        </w:rPr>
        <w:t>宣教一体机、信息查询一体机</w:t>
      </w:r>
      <w:r>
        <w:rPr>
          <w:color w:val="auto"/>
          <w:highlight w:val="none"/>
        </w:rPr>
        <w:t xml:space="preserve">）在服务器上登记特定的 </w:t>
      </w:r>
      <w:r>
        <w:rPr>
          <w:rFonts w:ascii="Times New Roman" w:hAnsi="Times New Roman" w:eastAsia="Times New Roman" w:cs="Times New Roman"/>
          <w:color w:val="auto"/>
          <w:highlight w:val="none"/>
        </w:rPr>
        <w:t xml:space="preserve">IP </w:t>
      </w:r>
      <w:r>
        <w:rPr>
          <w:color w:val="auto"/>
          <w:highlight w:val="none"/>
        </w:rPr>
        <w:t>地址，使多媒体内容可直接传送至任一的</w:t>
      </w:r>
      <w:r>
        <w:rPr>
          <w:rFonts w:hint="eastAsia"/>
          <w:color w:val="auto"/>
          <w:highlight w:val="none"/>
        </w:rPr>
        <w:t>终端一体机设备</w:t>
      </w:r>
      <w:r>
        <w:rPr>
          <w:color w:val="auto"/>
          <w:highlight w:val="none"/>
        </w:rPr>
        <w:t>。支持灵活的编排和发布节目，预览播放画面，监控节目及播放状态，定时远程开关机管理维护，定时或紧急插入发布节目或内容等。</w:t>
      </w:r>
      <w:r>
        <w:rPr>
          <w:rFonts w:ascii="Times New Roman" w:hAnsi="Times New Roman" w:eastAsia="Times New Roman" w:cs="Times New Roman"/>
          <w:color w:val="auto"/>
          <w:highlight w:val="none"/>
        </w:rPr>
        <w:t xml:space="preserve"> </w:t>
      </w:r>
    </w:p>
    <w:p>
      <w:pPr>
        <w:numPr>
          <w:ilvl w:val="2"/>
          <w:numId w:val="3"/>
        </w:numPr>
        <w:spacing w:after="0" w:line="360" w:lineRule="auto"/>
        <w:ind w:left="976" w:leftChars="100" w:right="12" w:hanging="736" w:hangingChars="307"/>
        <w:rPr>
          <w:color w:val="auto"/>
          <w:highlight w:val="none"/>
        </w:rPr>
      </w:pPr>
      <w:r>
        <w:rPr>
          <w:rFonts w:hint="eastAsia" w:ascii="Times New Roman" w:hAnsi="Times New Roman" w:cs="Times New Roman"/>
          <w:color w:val="auto"/>
          <w:highlight w:val="none"/>
        </w:rPr>
        <w:t>为方便医院系统维护，排队叫号系统与信息发布系统须支持在同一平台进行管理，软件后台支持一键切换。各终端显示内容（信息发布和排队叫号）也须支持互相切换，实现一屏多用。</w:t>
      </w:r>
    </w:p>
    <w:p>
      <w:pPr>
        <w:numPr>
          <w:ilvl w:val="2"/>
          <w:numId w:val="3"/>
        </w:numPr>
        <w:spacing w:after="0" w:line="360" w:lineRule="auto"/>
        <w:ind w:left="976" w:leftChars="100" w:right="12" w:hanging="736" w:hangingChars="307"/>
        <w:rPr>
          <w:color w:val="auto"/>
          <w:highlight w:val="none"/>
        </w:rPr>
      </w:pPr>
      <w:r>
        <w:rPr>
          <w:color w:val="auto"/>
          <w:highlight w:val="none"/>
        </w:rPr>
        <w:t>系统服务器作为对多媒体信息发布的播出内容、系统设备、系统软件进行监控与管理的中枢，将被设置于</w:t>
      </w:r>
      <w:r>
        <w:rPr>
          <w:rFonts w:hint="eastAsia"/>
          <w:color w:val="auto"/>
          <w:highlight w:val="none"/>
        </w:rPr>
        <w:t>8层数据中心</w:t>
      </w:r>
      <w:r>
        <w:rPr>
          <w:color w:val="auto"/>
          <w:highlight w:val="none"/>
        </w:rPr>
        <w:t>内。</w:t>
      </w:r>
      <w:r>
        <w:rPr>
          <w:rFonts w:ascii="Times New Roman" w:hAnsi="Times New Roman" w:eastAsia="Times New Roman" w:cs="Times New Roman"/>
          <w:color w:val="auto"/>
          <w:highlight w:val="none"/>
        </w:rPr>
        <w:t xml:space="preserve"> </w:t>
      </w:r>
    </w:p>
    <w:p>
      <w:pPr>
        <w:numPr>
          <w:ilvl w:val="2"/>
          <w:numId w:val="3"/>
        </w:numPr>
        <w:spacing w:after="0" w:line="360" w:lineRule="auto"/>
        <w:ind w:left="976" w:leftChars="100" w:right="12" w:hanging="736" w:hangingChars="307"/>
        <w:rPr>
          <w:color w:val="auto"/>
          <w:highlight w:val="none"/>
        </w:rPr>
      </w:pPr>
      <w:r>
        <w:rPr>
          <w:rFonts w:hint="eastAsia" w:ascii="Times New Roman" w:hAnsi="Times New Roman" w:cs="Times New Roman"/>
          <w:color w:val="auto"/>
          <w:highlight w:val="none"/>
        </w:rPr>
        <w:t>在8 层数据中心的办公区域设置一套3*2的拼接电视墙，展示信息中心的数据。</w:t>
      </w:r>
    </w:p>
    <w:p>
      <w:pPr>
        <w:numPr>
          <w:ilvl w:val="2"/>
          <w:numId w:val="3"/>
        </w:numPr>
        <w:spacing w:after="0" w:line="360" w:lineRule="auto"/>
        <w:ind w:left="976" w:leftChars="100" w:right="12" w:hanging="736" w:hangingChars="307"/>
        <w:rPr>
          <w:color w:val="auto"/>
          <w:highlight w:val="none"/>
        </w:rPr>
      </w:pPr>
      <w:r>
        <w:rPr>
          <w:color w:val="auto"/>
          <w:highlight w:val="none"/>
        </w:rPr>
        <w:t>便捷工作界面供操作人员对影音材料进行设计，编排，预览和发布。当中至少包括以下功能：</w:t>
      </w:r>
      <w:r>
        <w:rPr>
          <w:rFonts w:ascii="Times New Roman" w:hAnsi="Times New Roman" w:eastAsia="Times New Roman" w:cs="Times New Roman"/>
          <w:color w:val="auto"/>
          <w:highlight w:val="none"/>
        </w:rPr>
        <w:t xml:space="preserve"> </w:t>
      </w:r>
    </w:p>
    <w:p>
      <w:pPr>
        <w:numPr>
          <w:ilvl w:val="0"/>
          <w:numId w:val="6"/>
        </w:numPr>
        <w:spacing w:after="0" w:line="360" w:lineRule="auto"/>
        <w:ind w:left="976" w:leftChars="100" w:right="12" w:hanging="736" w:hangingChars="307"/>
        <w:rPr>
          <w:color w:val="auto"/>
          <w:highlight w:val="none"/>
        </w:rPr>
      </w:pPr>
      <w:r>
        <w:rPr>
          <w:color w:val="auto"/>
          <w:highlight w:val="none"/>
        </w:rPr>
        <w:t xml:space="preserve">显示模板编辑 </w:t>
      </w:r>
    </w:p>
    <w:p>
      <w:pPr>
        <w:numPr>
          <w:ilvl w:val="0"/>
          <w:numId w:val="6"/>
        </w:numPr>
        <w:spacing w:after="0" w:line="360" w:lineRule="auto"/>
        <w:ind w:left="976" w:leftChars="100" w:right="12" w:hanging="736" w:hangingChars="307"/>
        <w:rPr>
          <w:color w:val="auto"/>
          <w:highlight w:val="none"/>
        </w:rPr>
      </w:pPr>
      <w:r>
        <w:rPr>
          <w:color w:val="auto"/>
          <w:highlight w:val="none"/>
        </w:rPr>
        <w:t xml:space="preserve">多媒体排程 </w:t>
      </w:r>
    </w:p>
    <w:p>
      <w:pPr>
        <w:numPr>
          <w:ilvl w:val="2"/>
          <w:numId w:val="3"/>
        </w:numPr>
        <w:spacing w:after="0" w:line="360" w:lineRule="auto"/>
        <w:ind w:left="976" w:leftChars="100" w:right="12" w:hanging="736" w:hangingChars="307"/>
        <w:rPr>
          <w:color w:val="auto"/>
          <w:highlight w:val="none"/>
        </w:rPr>
      </w:pPr>
      <w:r>
        <w:rPr>
          <w:color w:val="auto"/>
          <w:highlight w:val="none"/>
        </w:rPr>
        <w:t>一般显示器与信息查询机的解码器将网络数据转化为相应显示终端所能支持的播放格式</w:t>
      </w:r>
      <w:r>
        <w:rPr>
          <w:rFonts w:ascii="Times New Roman" w:hAnsi="Times New Roman" w:eastAsia="Times New Roman" w:cs="Times New Roman"/>
          <w:color w:val="auto"/>
          <w:highlight w:val="none"/>
        </w:rPr>
        <w:t>,</w:t>
      </w:r>
      <w:r>
        <w:rPr>
          <w:color w:val="auto"/>
          <w:highlight w:val="none"/>
        </w:rPr>
        <w:t>并能存储预设的多媒体文件。</w:t>
      </w:r>
    </w:p>
    <w:p>
      <w:pPr>
        <w:numPr>
          <w:ilvl w:val="2"/>
          <w:numId w:val="3"/>
        </w:numPr>
        <w:spacing w:after="0" w:line="360" w:lineRule="auto"/>
        <w:ind w:left="976" w:leftChars="100" w:right="12" w:hanging="736" w:hangingChars="307"/>
        <w:rPr>
          <w:color w:val="auto"/>
          <w:highlight w:val="none"/>
        </w:rPr>
      </w:pPr>
      <w:r>
        <w:rPr>
          <w:rFonts w:hint="eastAsia"/>
          <w:color w:val="auto"/>
          <w:highlight w:val="none"/>
        </w:rPr>
        <w:t>前端点位设置</w:t>
      </w:r>
      <w:r>
        <w:rPr>
          <w:color w:val="auto"/>
          <w:highlight w:val="none"/>
        </w:rPr>
        <w:t>：</w:t>
      </w:r>
      <w:r>
        <w:rPr>
          <w:rFonts w:ascii="Times New Roman" w:hAnsi="Times New Roman" w:eastAsia="Times New Roman" w:cs="Times New Roman"/>
          <w:color w:val="auto"/>
          <w:highlight w:val="none"/>
        </w:rPr>
        <w:t xml:space="preserve"> </w:t>
      </w:r>
    </w:p>
    <w:p>
      <w:pPr>
        <w:numPr>
          <w:ilvl w:val="0"/>
          <w:numId w:val="7"/>
        </w:numPr>
        <w:spacing w:after="0" w:line="360" w:lineRule="auto"/>
        <w:ind w:left="976" w:leftChars="100" w:right="12" w:hanging="736" w:hangingChars="307"/>
        <w:rPr>
          <w:color w:val="auto"/>
          <w:highlight w:val="none"/>
        </w:rPr>
      </w:pPr>
      <w:r>
        <w:rPr>
          <w:rFonts w:hint="eastAsia"/>
          <w:color w:val="auto"/>
          <w:highlight w:val="none"/>
        </w:rPr>
        <w:t>每层电梯厅均需设置32寸液晶一体机，具体点位以平面图为准。</w:t>
      </w:r>
    </w:p>
    <w:p>
      <w:pPr>
        <w:numPr>
          <w:ilvl w:val="0"/>
          <w:numId w:val="7"/>
        </w:numPr>
        <w:spacing w:after="0" w:line="360" w:lineRule="auto"/>
        <w:ind w:left="976" w:leftChars="100" w:right="12" w:hanging="736" w:hangingChars="307"/>
        <w:rPr>
          <w:color w:val="auto"/>
          <w:highlight w:val="none"/>
        </w:rPr>
      </w:pPr>
      <w:r>
        <w:rPr>
          <w:rFonts w:hint="eastAsia"/>
          <w:color w:val="auto"/>
          <w:highlight w:val="none"/>
        </w:rPr>
        <w:t>每个等候区相应配置55寸液晶一体机，具体点位以平面图为准。</w:t>
      </w:r>
    </w:p>
    <w:p>
      <w:pPr>
        <w:numPr>
          <w:ilvl w:val="0"/>
          <w:numId w:val="7"/>
        </w:numPr>
        <w:spacing w:after="0" w:line="360" w:lineRule="auto"/>
        <w:ind w:left="976" w:leftChars="100" w:right="12" w:hanging="736" w:hangingChars="307"/>
        <w:rPr>
          <w:color w:val="auto"/>
          <w:highlight w:val="none"/>
        </w:rPr>
      </w:pPr>
      <w:r>
        <w:rPr>
          <w:rFonts w:hint="eastAsia"/>
          <w:color w:val="auto"/>
          <w:highlight w:val="none"/>
        </w:rPr>
        <w:t>三~六层病人电梯的后侧墙面，安装显示屏的位置，设置为两台一组，一共三组信息点（6个），三组信息点位的位置，平均分配。每台显示屏采用55寸的屏幕，一共为3组。</w:t>
      </w:r>
    </w:p>
    <w:p>
      <w:pPr>
        <w:numPr>
          <w:ilvl w:val="0"/>
          <w:numId w:val="7"/>
        </w:numPr>
        <w:spacing w:after="0" w:line="360" w:lineRule="auto"/>
        <w:ind w:left="976" w:leftChars="100" w:right="12" w:hanging="736" w:hangingChars="307"/>
        <w:rPr>
          <w:color w:val="auto"/>
          <w:highlight w:val="none"/>
        </w:rPr>
      </w:pPr>
      <w:r>
        <w:rPr>
          <w:rFonts w:hint="eastAsia"/>
          <w:color w:val="auto"/>
          <w:highlight w:val="none"/>
        </w:rPr>
        <w:t>每层手扶梯旁设置一台电子导航终端。</w:t>
      </w:r>
    </w:p>
    <w:p>
      <w:pPr>
        <w:numPr>
          <w:ilvl w:val="0"/>
          <w:numId w:val="7"/>
        </w:numPr>
        <w:spacing w:after="0" w:line="360" w:lineRule="auto"/>
        <w:ind w:left="976" w:leftChars="100" w:right="12" w:hanging="736" w:hangingChars="307"/>
        <w:rPr>
          <w:color w:val="auto"/>
          <w:highlight w:val="none"/>
        </w:rPr>
      </w:pPr>
      <w:r>
        <w:rPr>
          <w:rFonts w:hint="eastAsia"/>
          <w:color w:val="auto"/>
          <w:highlight w:val="none"/>
        </w:rPr>
        <w:t>等候区根据需求配置相应的医疗自助终端机，病房层的病人电梯厅均配置3台医疗自助终端，具体点位以平面图为准。</w:t>
      </w:r>
    </w:p>
    <w:p>
      <w:pPr>
        <w:numPr>
          <w:ilvl w:val="0"/>
          <w:numId w:val="7"/>
        </w:numPr>
        <w:spacing w:after="0" w:line="360" w:lineRule="auto"/>
        <w:ind w:left="976" w:leftChars="100" w:right="12" w:hanging="736" w:hangingChars="307"/>
        <w:rPr>
          <w:color w:val="auto"/>
          <w:highlight w:val="none"/>
        </w:rPr>
      </w:pPr>
      <w:r>
        <w:rPr>
          <w:rFonts w:hint="eastAsia"/>
          <w:color w:val="auto"/>
          <w:highlight w:val="none"/>
        </w:rPr>
        <w:t>以上信息点仅预留末端点位，设备暂不配置，具体根据科室的要求配置相应的设备。其中6层产科（3台）及9层超声科室（3台）的55寸信息屏，需配置相应的设备。</w:t>
      </w:r>
    </w:p>
    <w:p>
      <w:pPr>
        <w:spacing w:after="0" w:line="360" w:lineRule="auto"/>
        <w:ind w:left="1080" w:right="0" w:firstLine="0"/>
        <w:rPr>
          <w:color w:val="auto"/>
          <w:highlight w:val="none"/>
        </w:rPr>
      </w:pPr>
    </w:p>
    <w:p>
      <w:pPr>
        <w:pStyle w:val="3"/>
        <w:numPr>
          <w:ilvl w:val="1"/>
          <w:numId w:val="3"/>
        </w:numPr>
        <w:spacing w:before="0" w:after="0" w:line="360" w:lineRule="auto"/>
        <w:ind w:left="10" w:right="1593"/>
        <w:rPr>
          <w:rFonts w:ascii="宋体" w:hAnsi="宋体" w:eastAsia="宋体" w:cs="Times New Roman"/>
          <w:color w:val="auto"/>
          <w:sz w:val="24"/>
          <w:szCs w:val="24"/>
          <w:highlight w:val="none"/>
        </w:rPr>
      </w:pPr>
      <w:r>
        <w:rPr>
          <w:rFonts w:hint="eastAsia" w:ascii="宋体" w:hAnsi="宋体" w:eastAsia="宋体" w:cs="Times New Roman"/>
          <w:color w:val="auto"/>
          <w:sz w:val="24"/>
          <w:szCs w:val="24"/>
          <w:highlight w:val="none"/>
        </w:rPr>
        <w:t xml:space="preserve"> </w:t>
      </w:r>
      <w:r>
        <w:rPr>
          <w:rFonts w:ascii="宋体" w:hAnsi="宋体" w:eastAsia="宋体" w:cs="Times New Roman"/>
          <w:color w:val="auto"/>
          <w:sz w:val="24"/>
          <w:szCs w:val="24"/>
          <w:highlight w:val="none"/>
        </w:rPr>
        <w:t xml:space="preserve">系统性能及功能要求 </w:t>
      </w:r>
    </w:p>
    <w:p>
      <w:pPr>
        <w:numPr>
          <w:ilvl w:val="2"/>
          <w:numId w:val="3"/>
        </w:numPr>
        <w:spacing w:after="0" w:line="360" w:lineRule="auto"/>
        <w:ind w:left="976" w:leftChars="100" w:right="12" w:hanging="736" w:hangingChars="307"/>
        <w:rPr>
          <w:color w:val="auto"/>
          <w:highlight w:val="none"/>
        </w:rPr>
      </w:pPr>
      <w:r>
        <w:rPr>
          <w:color w:val="auto"/>
          <w:highlight w:val="none"/>
        </w:rPr>
        <w:t xml:space="preserve">系统须支持以下系统控制管理功能： </w:t>
      </w:r>
    </w:p>
    <w:p>
      <w:pPr>
        <w:numPr>
          <w:ilvl w:val="0"/>
          <w:numId w:val="8"/>
        </w:numPr>
        <w:spacing w:after="0" w:line="360" w:lineRule="auto"/>
        <w:ind w:left="1203" w:right="12" w:hanging="243"/>
        <w:rPr>
          <w:color w:val="auto"/>
          <w:highlight w:val="none"/>
        </w:rPr>
      </w:pPr>
      <w:r>
        <w:rPr>
          <w:color w:val="auto"/>
          <w:highlight w:val="none"/>
        </w:rPr>
        <w:t xml:space="preserve">控制系统应为操作人员提供人性化的使用界面，使所有的编排工作能够通过鼠标和键盘的操作完成 </w:t>
      </w:r>
    </w:p>
    <w:p>
      <w:pPr>
        <w:numPr>
          <w:ilvl w:val="0"/>
          <w:numId w:val="8"/>
        </w:numPr>
        <w:spacing w:after="0" w:line="360" w:lineRule="auto"/>
        <w:ind w:left="1203" w:right="12" w:hanging="243"/>
        <w:rPr>
          <w:color w:val="auto"/>
          <w:highlight w:val="none"/>
        </w:rPr>
      </w:pPr>
      <w:r>
        <w:rPr>
          <w:color w:val="auto"/>
          <w:highlight w:val="none"/>
        </w:rPr>
        <w:t xml:space="preserve">系统终端须支持自动同步时钟服务器时间，以确保节目表执行的时间准确性 </w:t>
      </w:r>
    </w:p>
    <w:p>
      <w:pPr>
        <w:numPr>
          <w:ilvl w:val="0"/>
          <w:numId w:val="8"/>
        </w:numPr>
        <w:spacing w:after="0" w:line="360" w:lineRule="auto"/>
        <w:ind w:left="1203" w:right="12" w:hanging="243"/>
        <w:rPr>
          <w:color w:val="auto"/>
          <w:highlight w:val="none"/>
        </w:rPr>
      </w:pPr>
      <w:r>
        <w:rPr>
          <w:rFonts w:hint="eastAsia"/>
          <w:color w:val="auto"/>
          <w:highlight w:val="none"/>
        </w:rPr>
        <w:t>为保证系统稳定性，以及及时高效的售后服务，系统软、硬件（网络液晶一体机）需为同一厂家；</w:t>
      </w:r>
    </w:p>
    <w:p>
      <w:pPr>
        <w:numPr>
          <w:ilvl w:val="0"/>
          <w:numId w:val="8"/>
        </w:numPr>
        <w:spacing w:after="0" w:line="360" w:lineRule="auto"/>
        <w:ind w:left="1203" w:right="12" w:hanging="243"/>
        <w:rPr>
          <w:color w:val="auto"/>
          <w:highlight w:val="none"/>
        </w:rPr>
      </w:pPr>
      <w:r>
        <w:rPr>
          <w:color w:val="auto"/>
          <w:highlight w:val="none"/>
        </w:rPr>
        <w:t xml:space="preserve">系统的控制系统须实现分组管理，对同一组的终端作统一设置。同时，系统亦需支持对所有或单个显示终端的设置。 </w:t>
      </w:r>
    </w:p>
    <w:p>
      <w:pPr>
        <w:numPr>
          <w:ilvl w:val="0"/>
          <w:numId w:val="8"/>
        </w:numPr>
        <w:spacing w:after="0" w:line="360" w:lineRule="auto"/>
        <w:ind w:left="1203" w:right="12" w:hanging="243"/>
        <w:rPr>
          <w:color w:val="auto"/>
          <w:highlight w:val="none"/>
        </w:rPr>
      </w:pPr>
      <w:r>
        <w:rPr>
          <w:color w:val="auto"/>
          <w:highlight w:val="none"/>
        </w:rPr>
        <w:t xml:space="preserve">系统须支持通过浏览器方式查看任一终端的运作状态，并实时查看某一终端的节目实际页面，进行实时截屏监控 </w:t>
      </w:r>
    </w:p>
    <w:p>
      <w:pPr>
        <w:numPr>
          <w:ilvl w:val="0"/>
          <w:numId w:val="8"/>
        </w:numPr>
        <w:spacing w:after="0" w:line="360" w:lineRule="auto"/>
        <w:ind w:left="1203" w:right="12" w:hanging="243"/>
        <w:rPr>
          <w:color w:val="auto"/>
          <w:highlight w:val="none"/>
        </w:rPr>
      </w:pPr>
      <w:r>
        <w:rPr>
          <w:color w:val="auto"/>
          <w:highlight w:val="none"/>
        </w:rPr>
        <w:t>控制系统权限设置</w:t>
      </w:r>
      <w:r>
        <w:rPr>
          <w:rFonts w:hint="eastAsia"/>
          <w:color w:val="auto"/>
          <w:highlight w:val="none"/>
        </w:rPr>
        <w:t>，</w:t>
      </w:r>
      <w:r>
        <w:rPr>
          <w:color w:val="auto"/>
          <w:highlight w:val="none"/>
        </w:rPr>
        <w:t>系统须定时从中央主机透过网络与各个末端解码器同步信息</w:t>
      </w:r>
      <w:r>
        <w:rPr>
          <w:rFonts w:ascii="Times New Roman" w:hAnsi="Times New Roman" w:eastAsia="Times New Roman" w:cs="Times New Roman"/>
          <w:color w:val="auto"/>
          <w:highlight w:val="none"/>
        </w:rPr>
        <w:t>/</w:t>
      </w:r>
      <w:r>
        <w:rPr>
          <w:color w:val="auto"/>
          <w:highlight w:val="none"/>
        </w:rPr>
        <w:t xml:space="preserve">修改单干，周期时间不可超过 </w:t>
      </w:r>
      <w:r>
        <w:rPr>
          <w:rFonts w:ascii="Times New Roman" w:hAnsi="Times New Roman" w:eastAsia="Times New Roman" w:cs="Times New Roman"/>
          <w:color w:val="auto"/>
          <w:highlight w:val="none"/>
        </w:rPr>
        <w:t xml:space="preserve">30 </w:t>
      </w:r>
      <w:r>
        <w:rPr>
          <w:color w:val="auto"/>
          <w:highlight w:val="none"/>
        </w:rPr>
        <w:t>分钟</w:t>
      </w:r>
      <w:r>
        <w:rPr>
          <w:rFonts w:ascii="Times New Roman" w:hAnsi="Times New Roman" w:eastAsia="Times New Roman" w:cs="Times New Roman"/>
          <w:color w:val="auto"/>
          <w:highlight w:val="none"/>
        </w:rPr>
        <w:t xml:space="preserve"> </w:t>
      </w:r>
    </w:p>
    <w:p>
      <w:pPr>
        <w:numPr>
          <w:ilvl w:val="0"/>
          <w:numId w:val="8"/>
        </w:numPr>
        <w:spacing w:after="0" w:line="360" w:lineRule="auto"/>
        <w:ind w:left="1203" w:right="12" w:hanging="243"/>
        <w:rPr>
          <w:color w:val="auto"/>
          <w:highlight w:val="none"/>
        </w:rPr>
      </w:pPr>
      <w:r>
        <w:rPr>
          <w:rFonts w:hint="eastAsia"/>
          <w:color w:val="auto"/>
          <w:kern w:val="0"/>
          <w:szCs w:val="21"/>
          <w:highlight w:val="none"/>
        </w:rPr>
        <w:t>支持多种播出方式：自动播出、定时播出、即时插播、多时段播出等。即时插播，将插播的内容设定完成，立即派送到指定的单个或多个客户端，系统将插播节目规划及多媒体内容下载到各个指定的客户端，并纪录传送结果；客户端成功接收后立即播放插播节目，插播节目结束后恢复执行原来的节目表。（提供软件功能截图证明）</w:t>
      </w:r>
    </w:p>
    <w:p>
      <w:pPr>
        <w:numPr>
          <w:ilvl w:val="0"/>
          <w:numId w:val="8"/>
        </w:numPr>
        <w:spacing w:after="0" w:line="360" w:lineRule="auto"/>
        <w:ind w:left="1203" w:right="12" w:hanging="243"/>
        <w:rPr>
          <w:color w:val="auto"/>
          <w:highlight w:val="none"/>
        </w:rPr>
      </w:pPr>
      <w:r>
        <w:rPr>
          <w:rFonts w:hint="eastAsia"/>
          <w:color w:val="auto"/>
          <w:highlight w:val="none"/>
        </w:rPr>
        <w:t>为方便医院统一管理，本次所招安卓硬件，需支持与医院原多媒体医疗导引系统软件适配，支持实现远程管理，如: 远程定时开关机，开关屏，远程更换播放内容，远程调节音量，远程截屏，远程升级等等相关功能;</w:t>
      </w:r>
    </w:p>
    <w:p>
      <w:pPr>
        <w:spacing w:after="0" w:line="360" w:lineRule="auto"/>
        <w:ind w:left="1423" w:right="12" w:firstLine="0"/>
        <w:rPr>
          <w:color w:val="auto"/>
          <w:highlight w:val="none"/>
        </w:rPr>
      </w:pPr>
    </w:p>
    <w:p>
      <w:pPr>
        <w:numPr>
          <w:ilvl w:val="2"/>
          <w:numId w:val="3"/>
        </w:numPr>
        <w:spacing w:after="0" w:line="360" w:lineRule="auto"/>
        <w:ind w:left="976" w:leftChars="100" w:right="12" w:hanging="736" w:hangingChars="307"/>
        <w:rPr>
          <w:color w:val="auto"/>
          <w:highlight w:val="none"/>
        </w:rPr>
      </w:pPr>
      <w:r>
        <w:rPr>
          <w:rFonts w:hint="eastAsia"/>
          <w:color w:val="auto"/>
          <w:highlight w:val="none"/>
        </w:rPr>
        <w:t>一体机需支持不限于以下功能：</w:t>
      </w:r>
    </w:p>
    <w:p>
      <w:pPr>
        <w:numPr>
          <w:ilvl w:val="0"/>
          <w:numId w:val="9"/>
        </w:numPr>
        <w:spacing w:after="0" w:line="360" w:lineRule="auto"/>
        <w:ind w:left="1203" w:right="12" w:hanging="243"/>
        <w:rPr>
          <w:color w:val="auto"/>
          <w:szCs w:val="24"/>
          <w:highlight w:val="none"/>
        </w:rPr>
      </w:pPr>
      <w:r>
        <w:rPr>
          <w:color w:val="auto"/>
          <w:szCs w:val="24"/>
          <w:highlight w:val="none"/>
        </w:rPr>
        <w:t xml:space="preserve">当显示屏处于空闲或无任务列表载入状态超过一定时间，须可以自动进入屏幕保护模式 </w:t>
      </w:r>
    </w:p>
    <w:p>
      <w:pPr>
        <w:numPr>
          <w:ilvl w:val="0"/>
          <w:numId w:val="9"/>
        </w:numPr>
        <w:spacing w:after="0" w:line="360" w:lineRule="auto"/>
        <w:ind w:left="1203" w:right="12" w:hanging="243"/>
        <w:rPr>
          <w:color w:val="auto"/>
          <w:szCs w:val="24"/>
          <w:highlight w:val="none"/>
        </w:rPr>
      </w:pPr>
      <w:r>
        <w:rPr>
          <w:color w:val="auto"/>
          <w:szCs w:val="24"/>
          <w:highlight w:val="none"/>
        </w:rPr>
        <w:t xml:space="preserve">显示器需支持横及竖的摆放方法，并确保播放内容的形式无误 </w:t>
      </w:r>
    </w:p>
    <w:p>
      <w:pPr>
        <w:numPr>
          <w:ilvl w:val="0"/>
          <w:numId w:val="9"/>
        </w:numPr>
        <w:spacing w:after="0" w:line="360" w:lineRule="auto"/>
        <w:ind w:left="1203" w:right="12" w:hanging="243"/>
        <w:rPr>
          <w:color w:val="auto"/>
          <w:szCs w:val="24"/>
          <w:highlight w:val="none"/>
        </w:rPr>
      </w:pPr>
      <w:r>
        <w:rPr>
          <w:color w:val="auto"/>
          <w:szCs w:val="24"/>
          <w:highlight w:val="none"/>
        </w:rPr>
        <w:t xml:space="preserve">支持远程控制显示屏电源开关 </w:t>
      </w:r>
    </w:p>
    <w:p>
      <w:pPr>
        <w:numPr>
          <w:ilvl w:val="0"/>
          <w:numId w:val="9"/>
        </w:numPr>
        <w:spacing w:after="0" w:line="360" w:lineRule="auto"/>
        <w:ind w:left="1203" w:right="12" w:hanging="243"/>
        <w:rPr>
          <w:color w:val="auto"/>
          <w:szCs w:val="24"/>
          <w:highlight w:val="none"/>
        </w:rPr>
      </w:pPr>
      <w:r>
        <w:rPr>
          <w:color w:val="auto"/>
          <w:szCs w:val="24"/>
          <w:highlight w:val="none"/>
        </w:rPr>
        <w:t xml:space="preserve">控制播放终端与服务器实时联系，以获取最新任务列表安排以及下载最新播放文件 </w:t>
      </w:r>
    </w:p>
    <w:p>
      <w:pPr>
        <w:numPr>
          <w:ilvl w:val="0"/>
          <w:numId w:val="9"/>
        </w:numPr>
        <w:spacing w:after="0" w:line="360" w:lineRule="auto"/>
        <w:ind w:left="1203" w:right="12" w:hanging="243"/>
        <w:rPr>
          <w:color w:val="auto"/>
          <w:szCs w:val="24"/>
          <w:highlight w:val="none"/>
        </w:rPr>
      </w:pPr>
      <w:r>
        <w:rPr>
          <w:color w:val="auto"/>
          <w:szCs w:val="24"/>
          <w:highlight w:val="none"/>
        </w:rPr>
        <w:t>当控制播放终端与主服务器之间的网络发生故障，控制播放终端需能够继续按照当前任务列表继续播放</w:t>
      </w:r>
    </w:p>
    <w:p>
      <w:pPr>
        <w:spacing w:after="0" w:line="360" w:lineRule="auto"/>
        <w:ind w:left="1423" w:right="12" w:firstLine="0"/>
        <w:rPr>
          <w:color w:val="auto"/>
          <w:highlight w:val="none"/>
        </w:rPr>
      </w:pPr>
    </w:p>
    <w:p>
      <w:pPr>
        <w:numPr>
          <w:ilvl w:val="2"/>
          <w:numId w:val="3"/>
        </w:numPr>
        <w:spacing w:after="0" w:line="360" w:lineRule="auto"/>
        <w:ind w:left="976" w:leftChars="100" w:right="12" w:hanging="736" w:hangingChars="307"/>
        <w:rPr>
          <w:color w:val="auto"/>
          <w:highlight w:val="none"/>
        </w:rPr>
      </w:pPr>
      <w:r>
        <w:rPr>
          <w:color w:val="auto"/>
          <w:highlight w:val="none"/>
        </w:rPr>
        <w:t xml:space="preserve">系统须满足以下播放功能： </w:t>
      </w:r>
    </w:p>
    <w:p>
      <w:pPr>
        <w:numPr>
          <w:ilvl w:val="0"/>
          <w:numId w:val="10"/>
        </w:numPr>
        <w:spacing w:after="0" w:line="360" w:lineRule="auto"/>
        <w:ind w:left="1203" w:right="12" w:hanging="243"/>
        <w:rPr>
          <w:color w:val="auto"/>
          <w:highlight w:val="none"/>
        </w:rPr>
      </w:pPr>
      <w:r>
        <w:rPr>
          <w:color w:val="auto"/>
          <w:highlight w:val="none"/>
        </w:rPr>
        <w:t xml:space="preserve">系统的播放列表须支持手动及自动生成，可按日、周、月指定播放计划。需支持播放列表的预览 </w:t>
      </w:r>
    </w:p>
    <w:p>
      <w:pPr>
        <w:numPr>
          <w:ilvl w:val="0"/>
          <w:numId w:val="10"/>
        </w:numPr>
        <w:spacing w:after="0" w:line="360" w:lineRule="auto"/>
        <w:ind w:left="1203" w:right="12" w:hanging="243"/>
        <w:rPr>
          <w:color w:val="auto"/>
          <w:highlight w:val="none"/>
        </w:rPr>
      </w:pPr>
      <w:r>
        <w:rPr>
          <w:color w:val="auto"/>
          <w:highlight w:val="none"/>
        </w:rPr>
        <w:t xml:space="preserve">系统能为每个上传到文件库的文件自动设定文件索引号码。用户可通过上传时间、类别、索引号码、关键字、文件格式等方式对文件库中的文件进行检索 </w:t>
      </w:r>
    </w:p>
    <w:p>
      <w:pPr>
        <w:numPr>
          <w:ilvl w:val="0"/>
          <w:numId w:val="10"/>
        </w:numPr>
        <w:spacing w:after="0" w:line="360" w:lineRule="auto"/>
        <w:ind w:left="1203" w:right="12" w:hanging="243"/>
        <w:rPr>
          <w:color w:val="auto"/>
          <w:highlight w:val="none"/>
        </w:rPr>
      </w:pPr>
      <w:r>
        <w:rPr>
          <w:color w:val="auto"/>
          <w:highlight w:val="none"/>
        </w:rPr>
        <w:t xml:space="preserve">在各控制播放终端中存储的播放任务列表或媒体文件可通过控制系统进行手动删除，也能够在闲置指定时间后自动删除 </w:t>
      </w:r>
    </w:p>
    <w:p>
      <w:pPr>
        <w:numPr>
          <w:ilvl w:val="0"/>
          <w:numId w:val="10"/>
        </w:numPr>
        <w:spacing w:after="0" w:line="360" w:lineRule="auto"/>
        <w:ind w:left="1203" w:right="12" w:hanging="243"/>
        <w:rPr>
          <w:color w:val="auto"/>
          <w:highlight w:val="none"/>
        </w:rPr>
      </w:pPr>
      <w:r>
        <w:rPr>
          <w:color w:val="auto"/>
          <w:highlight w:val="none"/>
        </w:rPr>
        <w:t xml:space="preserve">系统须支持节目的排程、预览、审核、分配及发布 </w:t>
      </w:r>
    </w:p>
    <w:p>
      <w:pPr>
        <w:numPr>
          <w:ilvl w:val="0"/>
          <w:numId w:val="10"/>
        </w:numPr>
        <w:spacing w:after="0" w:line="360" w:lineRule="auto"/>
        <w:ind w:left="1203" w:right="12" w:hanging="243"/>
        <w:rPr>
          <w:color w:val="auto"/>
          <w:highlight w:val="none"/>
        </w:rPr>
      </w:pPr>
      <w:r>
        <w:rPr>
          <w:color w:val="auto"/>
          <w:highlight w:val="none"/>
        </w:rPr>
        <w:t xml:space="preserve">在系统进行任务编排时，节目的开始时间、结束时间、播放方式、播放次数、播放节目数及播放顺序都必须可自定义 </w:t>
      </w:r>
    </w:p>
    <w:p>
      <w:pPr>
        <w:numPr>
          <w:ilvl w:val="0"/>
          <w:numId w:val="10"/>
        </w:numPr>
        <w:spacing w:after="0" w:line="360" w:lineRule="auto"/>
        <w:ind w:left="1203" w:right="12" w:hanging="243"/>
        <w:rPr>
          <w:color w:val="auto"/>
          <w:highlight w:val="none"/>
        </w:rPr>
      </w:pPr>
      <w:r>
        <w:rPr>
          <w:color w:val="auto"/>
          <w:highlight w:val="none"/>
        </w:rPr>
        <w:t xml:space="preserve">以可视化编辑及制作播放列表，并通过服务器端发送给终端 </w:t>
      </w:r>
    </w:p>
    <w:p>
      <w:pPr>
        <w:numPr>
          <w:ilvl w:val="0"/>
          <w:numId w:val="10"/>
        </w:numPr>
        <w:spacing w:after="0" w:line="360" w:lineRule="auto"/>
        <w:ind w:left="1203" w:right="12" w:hanging="243"/>
        <w:rPr>
          <w:color w:val="auto"/>
          <w:highlight w:val="none"/>
        </w:rPr>
      </w:pPr>
      <w:r>
        <w:rPr>
          <w:color w:val="auto"/>
          <w:highlight w:val="none"/>
        </w:rPr>
        <w:t xml:space="preserve">支持循环、定时、插播等节目播放模式 </w:t>
      </w:r>
    </w:p>
    <w:p>
      <w:pPr>
        <w:numPr>
          <w:ilvl w:val="0"/>
          <w:numId w:val="10"/>
        </w:numPr>
        <w:spacing w:after="0" w:line="360" w:lineRule="auto"/>
        <w:ind w:left="1203" w:right="12" w:hanging="243"/>
        <w:rPr>
          <w:color w:val="auto"/>
          <w:highlight w:val="none"/>
        </w:rPr>
      </w:pPr>
      <w:r>
        <w:rPr>
          <w:color w:val="auto"/>
          <w:highlight w:val="none"/>
        </w:rPr>
        <w:t xml:space="preserve">支持紧急的信息插播，包括文字、视频 </w:t>
      </w:r>
    </w:p>
    <w:p>
      <w:pPr>
        <w:numPr>
          <w:ilvl w:val="0"/>
          <w:numId w:val="10"/>
        </w:numPr>
        <w:spacing w:after="0" w:line="360" w:lineRule="auto"/>
        <w:ind w:left="1203" w:right="12" w:hanging="243"/>
        <w:rPr>
          <w:color w:val="auto"/>
          <w:highlight w:val="none"/>
        </w:rPr>
      </w:pPr>
      <w:r>
        <w:rPr>
          <w:color w:val="auto"/>
          <w:highlight w:val="none"/>
        </w:rPr>
        <w:t xml:space="preserve">支持实时信息的自动发布及更新，包括天气信息等 </w:t>
      </w:r>
    </w:p>
    <w:p>
      <w:pPr>
        <w:numPr>
          <w:ilvl w:val="0"/>
          <w:numId w:val="8"/>
        </w:numPr>
        <w:spacing w:after="0" w:line="360" w:lineRule="auto"/>
        <w:ind w:left="1203" w:right="12" w:hanging="243"/>
        <w:rPr>
          <w:color w:val="auto"/>
          <w:highlight w:val="none"/>
        </w:rPr>
      </w:pPr>
      <w:r>
        <w:rPr>
          <w:rFonts w:hint="eastAsia"/>
          <w:color w:val="auto"/>
          <w:kern w:val="0"/>
          <w:szCs w:val="21"/>
          <w:highlight w:val="none"/>
        </w:rPr>
        <w:t>对系统的用户及用户组、发布点及发布组、多级管理等功能进行权限的设置，以方便系统的管理及维护。（提供软件功能截图证明）</w:t>
      </w:r>
    </w:p>
    <w:p>
      <w:pPr>
        <w:spacing w:after="0" w:line="360" w:lineRule="auto"/>
        <w:ind w:left="1423" w:right="12" w:firstLine="0"/>
        <w:rPr>
          <w:color w:val="auto"/>
          <w:highlight w:val="none"/>
        </w:rPr>
      </w:pPr>
    </w:p>
    <w:p>
      <w:pPr>
        <w:numPr>
          <w:ilvl w:val="2"/>
          <w:numId w:val="3"/>
        </w:numPr>
        <w:spacing w:after="0" w:line="360" w:lineRule="auto"/>
        <w:ind w:left="976" w:leftChars="100" w:right="12" w:hanging="736" w:hangingChars="307"/>
        <w:rPr>
          <w:color w:val="auto"/>
          <w:highlight w:val="none"/>
        </w:rPr>
      </w:pPr>
      <w:r>
        <w:rPr>
          <w:color w:val="auto"/>
          <w:highlight w:val="none"/>
        </w:rPr>
        <w:t xml:space="preserve">系统须支持以下文件传输的功能： </w:t>
      </w:r>
    </w:p>
    <w:p>
      <w:pPr>
        <w:numPr>
          <w:ilvl w:val="0"/>
          <w:numId w:val="11"/>
        </w:numPr>
        <w:spacing w:after="0" w:line="360" w:lineRule="auto"/>
        <w:ind w:left="1200" w:leftChars="400" w:right="12" w:hanging="240" w:hangingChars="100"/>
        <w:rPr>
          <w:color w:val="auto"/>
          <w:highlight w:val="none"/>
        </w:rPr>
      </w:pPr>
      <w:r>
        <w:rPr>
          <w:color w:val="auto"/>
          <w:highlight w:val="none"/>
        </w:rPr>
        <w:t xml:space="preserve">可通过网络传送节目文件到显示终端，并实现单个或多个终端作传输 </w:t>
      </w:r>
    </w:p>
    <w:p>
      <w:pPr>
        <w:numPr>
          <w:ilvl w:val="0"/>
          <w:numId w:val="11"/>
        </w:numPr>
        <w:spacing w:after="0" w:line="360" w:lineRule="auto"/>
        <w:ind w:left="1200" w:leftChars="400" w:right="12" w:hanging="240" w:hangingChars="100"/>
        <w:rPr>
          <w:color w:val="auto"/>
          <w:highlight w:val="none"/>
        </w:rPr>
      </w:pPr>
      <w:r>
        <w:rPr>
          <w:color w:val="auto"/>
          <w:highlight w:val="none"/>
        </w:rPr>
        <w:t xml:space="preserve">需支持立即传输、定时传输、周期传输及计划传输 </w:t>
      </w:r>
    </w:p>
    <w:p>
      <w:pPr>
        <w:numPr>
          <w:ilvl w:val="0"/>
          <w:numId w:val="11"/>
        </w:numPr>
        <w:spacing w:after="0" w:line="360" w:lineRule="auto"/>
        <w:ind w:left="1200" w:leftChars="400" w:right="12" w:hanging="240" w:hangingChars="100"/>
        <w:rPr>
          <w:color w:val="auto"/>
          <w:highlight w:val="none"/>
        </w:rPr>
      </w:pPr>
      <w:r>
        <w:rPr>
          <w:color w:val="auto"/>
          <w:highlight w:val="none"/>
        </w:rPr>
        <w:t xml:space="preserve">在文件传输时，系统须支持节目名称、播放终端 IP、传输方向、开始时间、结束时间及传输状态的查看，并支持自动断点续传 </w:t>
      </w:r>
    </w:p>
    <w:p>
      <w:pPr>
        <w:numPr>
          <w:ilvl w:val="0"/>
          <w:numId w:val="11"/>
        </w:numPr>
        <w:spacing w:after="0" w:line="360" w:lineRule="auto"/>
        <w:ind w:left="1200" w:leftChars="400" w:right="12" w:hanging="240" w:hangingChars="100"/>
        <w:rPr>
          <w:color w:val="auto"/>
          <w:highlight w:val="none"/>
        </w:rPr>
      </w:pPr>
      <w:r>
        <w:rPr>
          <w:color w:val="auto"/>
          <w:highlight w:val="none"/>
        </w:rPr>
        <w:t xml:space="preserve">当文件由主服务器发送到各控制播放终端时，若该文件已经存有相同的文件，则不会重新下载 </w:t>
      </w:r>
    </w:p>
    <w:p>
      <w:pPr>
        <w:numPr>
          <w:ilvl w:val="0"/>
          <w:numId w:val="11"/>
        </w:numPr>
        <w:spacing w:after="0" w:line="360" w:lineRule="auto"/>
        <w:ind w:left="1200" w:leftChars="400" w:right="12" w:hanging="240" w:hangingChars="100"/>
        <w:rPr>
          <w:color w:val="auto"/>
          <w:highlight w:val="none"/>
        </w:rPr>
      </w:pPr>
      <w:r>
        <w:rPr>
          <w:color w:val="auto"/>
          <w:highlight w:val="none"/>
        </w:rPr>
        <w:t xml:space="preserve">系统须支持节目下载时间设定，实现节目源的即时传输或周期传输。 </w:t>
      </w:r>
    </w:p>
    <w:p>
      <w:pPr>
        <w:spacing w:after="0" w:line="360" w:lineRule="auto"/>
        <w:ind w:left="1423" w:right="12" w:firstLine="0"/>
        <w:rPr>
          <w:color w:val="auto"/>
          <w:highlight w:val="none"/>
        </w:rPr>
      </w:pPr>
    </w:p>
    <w:p>
      <w:pPr>
        <w:numPr>
          <w:ilvl w:val="2"/>
          <w:numId w:val="3"/>
        </w:numPr>
        <w:spacing w:after="0" w:line="360" w:lineRule="auto"/>
        <w:ind w:left="976" w:leftChars="100" w:right="12" w:hanging="736" w:hangingChars="307"/>
        <w:rPr>
          <w:color w:val="auto"/>
          <w:highlight w:val="none"/>
        </w:rPr>
      </w:pPr>
      <w:r>
        <w:rPr>
          <w:color w:val="auto"/>
          <w:highlight w:val="none"/>
        </w:rPr>
        <w:t xml:space="preserve">系统须支持以下系统控制管理功能： </w:t>
      </w:r>
    </w:p>
    <w:p>
      <w:pPr>
        <w:numPr>
          <w:ilvl w:val="0"/>
          <w:numId w:val="12"/>
        </w:numPr>
        <w:spacing w:after="0" w:line="360" w:lineRule="auto"/>
        <w:ind w:left="1203" w:right="12" w:hanging="243"/>
        <w:rPr>
          <w:color w:val="auto"/>
          <w:highlight w:val="none"/>
        </w:rPr>
      </w:pPr>
      <w:r>
        <w:rPr>
          <w:color w:val="auto"/>
          <w:highlight w:val="none"/>
        </w:rPr>
        <w:t xml:space="preserve">控制系统应为操作人员提供人性化的使用界面，使所有的编排工作能够通过鼠标和键盘的操作完成 </w:t>
      </w:r>
    </w:p>
    <w:p>
      <w:pPr>
        <w:numPr>
          <w:ilvl w:val="0"/>
          <w:numId w:val="12"/>
        </w:numPr>
        <w:spacing w:after="0" w:line="360" w:lineRule="auto"/>
        <w:ind w:left="1203" w:right="12" w:hanging="243"/>
        <w:rPr>
          <w:color w:val="auto"/>
          <w:highlight w:val="none"/>
        </w:rPr>
      </w:pPr>
      <w:r>
        <w:rPr>
          <w:color w:val="auto"/>
          <w:highlight w:val="none"/>
        </w:rPr>
        <w:t xml:space="preserve">系统终端须支持自动同步时钟服务器时间，以确保节目表执行的时间准确性 </w:t>
      </w:r>
    </w:p>
    <w:p>
      <w:pPr>
        <w:numPr>
          <w:ilvl w:val="0"/>
          <w:numId w:val="12"/>
        </w:numPr>
        <w:spacing w:after="0" w:line="360" w:lineRule="auto"/>
        <w:ind w:left="1203" w:right="12" w:hanging="243"/>
        <w:rPr>
          <w:color w:val="auto"/>
          <w:highlight w:val="none"/>
        </w:rPr>
      </w:pPr>
      <w:r>
        <w:rPr>
          <w:color w:val="auto"/>
          <w:highlight w:val="none"/>
        </w:rPr>
        <w:t xml:space="preserve">系统的控制系统须实现分组管理，对同一组的终端作统一设置。同时，系统亦需支持对所有或单个显示终端的设置。 </w:t>
      </w:r>
    </w:p>
    <w:p>
      <w:pPr>
        <w:numPr>
          <w:ilvl w:val="0"/>
          <w:numId w:val="12"/>
        </w:numPr>
        <w:spacing w:after="0" w:line="360" w:lineRule="auto"/>
        <w:ind w:left="1203" w:right="12" w:hanging="243"/>
        <w:rPr>
          <w:color w:val="auto"/>
          <w:highlight w:val="none"/>
        </w:rPr>
      </w:pPr>
      <w:r>
        <w:rPr>
          <w:color w:val="auto"/>
          <w:highlight w:val="none"/>
        </w:rPr>
        <w:t xml:space="preserve">系统须支持通过 WEB 方式查看任一终端的运作状态，并实时查看某一终端的节目实际页面，进行实时截屏监控 </w:t>
      </w:r>
    </w:p>
    <w:p>
      <w:pPr>
        <w:numPr>
          <w:ilvl w:val="0"/>
          <w:numId w:val="12"/>
        </w:numPr>
        <w:spacing w:after="0" w:line="360" w:lineRule="auto"/>
        <w:ind w:left="1203" w:right="12" w:hanging="243"/>
        <w:rPr>
          <w:color w:val="auto"/>
          <w:highlight w:val="none"/>
        </w:rPr>
      </w:pPr>
      <w:r>
        <w:rPr>
          <w:color w:val="auto"/>
          <w:highlight w:val="none"/>
        </w:rPr>
        <w:t xml:space="preserve">系统须支持远端设置，当终端出现异常时，系统可远程重启终端 </w:t>
      </w:r>
    </w:p>
    <w:p>
      <w:pPr>
        <w:numPr>
          <w:ilvl w:val="0"/>
          <w:numId w:val="12"/>
        </w:numPr>
        <w:spacing w:after="0" w:line="360" w:lineRule="auto"/>
        <w:ind w:left="1203" w:right="12" w:hanging="243"/>
        <w:rPr>
          <w:color w:val="auto"/>
          <w:highlight w:val="none"/>
        </w:rPr>
      </w:pPr>
      <w:r>
        <w:rPr>
          <w:color w:val="auto"/>
          <w:highlight w:val="none"/>
        </w:rPr>
        <w:t xml:space="preserve">系统须支持通过网络进行软件升级 </w:t>
      </w:r>
    </w:p>
    <w:p>
      <w:pPr>
        <w:numPr>
          <w:ilvl w:val="0"/>
          <w:numId w:val="12"/>
        </w:numPr>
        <w:spacing w:after="0" w:line="360" w:lineRule="auto"/>
        <w:ind w:left="1203" w:right="12" w:hanging="243"/>
        <w:rPr>
          <w:color w:val="auto"/>
          <w:highlight w:val="none"/>
        </w:rPr>
      </w:pPr>
      <w:r>
        <w:rPr>
          <w:color w:val="auto"/>
          <w:highlight w:val="none"/>
        </w:rPr>
        <w:t xml:space="preserve">系统须支持系统重要信息(包括用户登陆、系统变更、节目发布时间等)的记录，并可以 EXCEL 形式导出 </w:t>
      </w:r>
    </w:p>
    <w:p>
      <w:pPr>
        <w:numPr>
          <w:ilvl w:val="0"/>
          <w:numId w:val="12"/>
        </w:numPr>
        <w:spacing w:after="0" w:line="360" w:lineRule="auto"/>
        <w:ind w:left="1203" w:right="12" w:hanging="243"/>
        <w:rPr>
          <w:color w:val="auto"/>
          <w:highlight w:val="none"/>
        </w:rPr>
      </w:pPr>
      <w:r>
        <w:rPr>
          <w:color w:val="auto"/>
          <w:highlight w:val="none"/>
        </w:rPr>
        <w:t xml:space="preserve">控制系统权限设置 </w:t>
      </w:r>
    </w:p>
    <w:p>
      <w:pPr>
        <w:numPr>
          <w:ilvl w:val="0"/>
          <w:numId w:val="12"/>
        </w:numPr>
        <w:spacing w:after="0" w:line="360" w:lineRule="auto"/>
        <w:ind w:left="1203" w:right="12" w:hanging="243"/>
        <w:rPr>
          <w:color w:val="auto"/>
          <w:highlight w:val="none"/>
        </w:rPr>
      </w:pPr>
      <w:r>
        <w:rPr>
          <w:rFonts w:hint="eastAsia"/>
          <w:color w:val="auto"/>
          <w:highlight w:val="none"/>
        </w:rPr>
        <w:t>支持对接现医院平台接口。</w:t>
      </w:r>
    </w:p>
    <w:p>
      <w:pPr>
        <w:numPr>
          <w:ilvl w:val="0"/>
          <w:numId w:val="12"/>
        </w:numPr>
        <w:spacing w:after="0" w:line="360" w:lineRule="auto"/>
        <w:ind w:left="1203" w:right="12" w:hanging="243"/>
        <w:rPr>
          <w:rFonts w:hint="eastAsia"/>
          <w:color w:val="auto"/>
          <w:highlight w:val="none"/>
        </w:rPr>
      </w:pPr>
      <w:r>
        <w:rPr>
          <w:rFonts w:hint="eastAsia"/>
          <w:color w:val="auto"/>
          <w:highlight w:val="none"/>
        </w:rPr>
        <w:t>支持审核发布功能。</w:t>
      </w:r>
    </w:p>
    <w:p>
      <w:pPr>
        <w:spacing w:after="0" w:line="360" w:lineRule="auto"/>
        <w:ind w:left="1423" w:right="12" w:firstLine="0"/>
        <w:rPr>
          <w:color w:val="auto"/>
          <w:highlight w:val="none"/>
        </w:rPr>
      </w:pPr>
    </w:p>
    <w:p>
      <w:pPr>
        <w:numPr>
          <w:ilvl w:val="2"/>
          <w:numId w:val="3"/>
        </w:numPr>
        <w:spacing w:after="0" w:line="360" w:lineRule="auto"/>
        <w:ind w:left="976" w:leftChars="100" w:right="12" w:hanging="736" w:hangingChars="307"/>
        <w:rPr>
          <w:color w:val="auto"/>
          <w:highlight w:val="none"/>
        </w:rPr>
      </w:pPr>
      <w:r>
        <w:rPr>
          <w:color w:val="auto"/>
          <w:highlight w:val="none"/>
        </w:rPr>
        <w:t xml:space="preserve">显示器须支持不限于以下功能： </w:t>
      </w:r>
    </w:p>
    <w:p>
      <w:pPr>
        <w:numPr>
          <w:ilvl w:val="0"/>
          <w:numId w:val="13"/>
        </w:numPr>
        <w:spacing w:after="0" w:line="360" w:lineRule="auto"/>
        <w:ind w:left="1203" w:right="12" w:hanging="243"/>
        <w:rPr>
          <w:color w:val="auto"/>
          <w:highlight w:val="none"/>
        </w:rPr>
      </w:pPr>
      <w:r>
        <w:rPr>
          <w:color w:val="auto"/>
          <w:highlight w:val="none"/>
        </w:rPr>
        <w:t>须支持在同一显示器上划分多个独立显示区域，并且提供不少于</w:t>
      </w:r>
    </w:p>
    <w:p>
      <w:pPr>
        <w:numPr>
          <w:ilvl w:val="0"/>
          <w:numId w:val="13"/>
        </w:numPr>
        <w:spacing w:after="0" w:line="360" w:lineRule="auto"/>
        <w:ind w:left="1203" w:right="12" w:hanging="243"/>
        <w:rPr>
          <w:color w:val="auto"/>
          <w:highlight w:val="none"/>
        </w:rPr>
      </w:pPr>
      <w:r>
        <w:rPr>
          <w:rFonts w:hint="eastAsia"/>
          <w:color w:val="auto"/>
          <w:highlight w:val="none"/>
        </w:rPr>
        <w:t>2</w:t>
      </w:r>
      <w:r>
        <w:rPr>
          <w:color w:val="auto"/>
          <w:highlight w:val="none"/>
        </w:rPr>
        <w:t xml:space="preserve">种不同的排版设计。显示器须能显示统一信息，也能显示独立信息 </w:t>
      </w:r>
    </w:p>
    <w:p>
      <w:pPr>
        <w:numPr>
          <w:ilvl w:val="0"/>
          <w:numId w:val="13"/>
        </w:numPr>
        <w:spacing w:after="0" w:line="360" w:lineRule="auto"/>
        <w:ind w:left="1203" w:right="12" w:hanging="243"/>
        <w:rPr>
          <w:color w:val="auto"/>
          <w:highlight w:val="none"/>
        </w:rPr>
      </w:pPr>
      <w:r>
        <w:rPr>
          <w:color w:val="auto"/>
          <w:highlight w:val="none"/>
        </w:rPr>
        <w:t xml:space="preserve">当显示屏处于空闲或无任务列表载入状态超过一定时间，须可以自动进入屏幕保护模式 </w:t>
      </w:r>
    </w:p>
    <w:p>
      <w:pPr>
        <w:numPr>
          <w:ilvl w:val="0"/>
          <w:numId w:val="13"/>
        </w:numPr>
        <w:spacing w:after="0" w:line="360" w:lineRule="auto"/>
        <w:ind w:left="1203" w:right="12" w:hanging="243"/>
        <w:rPr>
          <w:color w:val="auto"/>
          <w:highlight w:val="none"/>
        </w:rPr>
      </w:pPr>
      <w:r>
        <w:rPr>
          <w:color w:val="auto"/>
          <w:highlight w:val="none"/>
        </w:rPr>
        <w:t xml:space="preserve">显示器需支持横及竖的摆放方法，并确保播放内容的形式无误 </w:t>
      </w:r>
    </w:p>
    <w:p>
      <w:pPr>
        <w:spacing w:after="0" w:line="360" w:lineRule="auto"/>
        <w:ind w:left="1423" w:right="12" w:firstLine="0"/>
        <w:rPr>
          <w:color w:val="auto"/>
          <w:highlight w:val="none"/>
        </w:rPr>
      </w:pPr>
    </w:p>
    <w:p>
      <w:pPr>
        <w:numPr>
          <w:ilvl w:val="2"/>
          <w:numId w:val="3"/>
        </w:numPr>
        <w:spacing w:after="0" w:line="360" w:lineRule="auto"/>
        <w:ind w:left="976" w:leftChars="100" w:right="12" w:hanging="736" w:hangingChars="307"/>
        <w:rPr>
          <w:color w:val="auto"/>
          <w:highlight w:val="none"/>
        </w:rPr>
      </w:pPr>
      <w:r>
        <w:rPr>
          <w:color w:val="auto"/>
          <w:highlight w:val="none"/>
        </w:rPr>
        <w:t xml:space="preserve">高清解码器须支持不限于以下功能： </w:t>
      </w:r>
    </w:p>
    <w:p>
      <w:pPr>
        <w:numPr>
          <w:ilvl w:val="0"/>
          <w:numId w:val="14"/>
        </w:numPr>
        <w:spacing w:after="0" w:line="360" w:lineRule="auto"/>
        <w:ind w:left="1200" w:leftChars="400" w:right="12" w:hanging="240" w:hangingChars="100"/>
        <w:rPr>
          <w:color w:val="auto"/>
          <w:highlight w:val="none"/>
        </w:rPr>
      </w:pPr>
      <w:r>
        <w:rPr>
          <w:color w:val="auto"/>
          <w:highlight w:val="none"/>
        </w:rPr>
        <w:t xml:space="preserve">支持远程控制显示屏电源开关 </w:t>
      </w:r>
    </w:p>
    <w:p>
      <w:pPr>
        <w:numPr>
          <w:ilvl w:val="0"/>
          <w:numId w:val="14"/>
        </w:numPr>
        <w:spacing w:after="0" w:line="360" w:lineRule="auto"/>
        <w:ind w:left="1200" w:leftChars="400" w:right="12" w:hanging="240" w:hangingChars="100"/>
        <w:rPr>
          <w:color w:val="auto"/>
          <w:highlight w:val="none"/>
        </w:rPr>
      </w:pPr>
      <w:r>
        <w:rPr>
          <w:color w:val="auto"/>
          <w:highlight w:val="none"/>
        </w:rPr>
        <w:t xml:space="preserve">控制播放终端与服务器实时联系，以获取最新任务列表安排以及下载最新播放文件 </w:t>
      </w:r>
    </w:p>
    <w:p>
      <w:pPr>
        <w:numPr>
          <w:ilvl w:val="0"/>
          <w:numId w:val="14"/>
        </w:numPr>
        <w:spacing w:after="0" w:line="360" w:lineRule="auto"/>
        <w:ind w:left="1200" w:leftChars="400" w:right="12" w:hanging="240" w:hangingChars="100"/>
        <w:rPr>
          <w:color w:val="auto"/>
          <w:highlight w:val="none"/>
        </w:rPr>
      </w:pPr>
      <w:r>
        <w:rPr>
          <w:color w:val="auto"/>
          <w:highlight w:val="none"/>
        </w:rPr>
        <w:t xml:space="preserve">当控制播放终端与主服务器之间的网络发生故障，控制播放终端需能够继续按照当前任务列表继续播放 </w:t>
      </w:r>
    </w:p>
    <w:p>
      <w:pPr>
        <w:spacing w:after="0" w:line="360" w:lineRule="auto"/>
        <w:ind w:left="1423" w:right="12" w:firstLine="0"/>
        <w:rPr>
          <w:color w:val="auto"/>
          <w:highlight w:val="none"/>
        </w:rPr>
      </w:pPr>
    </w:p>
    <w:p>
      <w:pPr>
        <w:numPr>
          <w:ilvl w:val="2"/>
          <w:numId w:val="3"/>
        </w:numPr>
        <w:spacing w:after="0" w:line="360" w:lineRule="auto"/>
        <w:ind w:left="976" w:leftChars="100" w:right="12" w:hanging="736" w:hangingChars="307"/>
        <w:rPr>
          <w:color w:val="auto"/>
          <w:highlight w:val="none"/>
        </w:rPr>
      </w:pPr>
      <w:r>
        <w:rPr>
          <w:color w:val="auto"/>
          <w:highlight w:val="none"/>
        </w:rPr>
        <w:t xml:space="preserve">系统兼容性 </w:t>
      </w:r>
    </w:p>
    <w:p>
      <w:pPr>
        <w:numPr>
          <w:ilvl w:val="0"/>
          <w:numId w:val="15"/>
        </w:numPr>
        <w:spacing w:after="0" w:line="360" w:lineRule="auto"/>
        <w:ind w:left="1203" w:right="12" w:hanging="243"/>
        <w:rPr>
          <w:color w:val="auto"/>
          <w:highlight w:val="none"/>
        </w:rPr>
      </w:pPr>
      <w:r>
        <w:rPr>
          <w:color w:val="auto"/>
          <w:highlight w:val="none"/>
        </w:rPr>
        <w:t xml:space="preserve">对于静态媒体文件，系统应能兼容 BMP、JPG、JPEG、GIF、TIFF、PNG </w:t>
      </w:r>
    </w:p>
    <w:p>
      <w:pPr>
        <w:numPr>
          <w:ilvl w:val="0"/>
          <w:numId w:val="15"/>
        </w:numPr>
        <w:spacing w:after="0" w:line="360" w:lineRule="auto"/>
        <w:ind w:left="1203" w:right="12" w:hanging="243"/>
        <w:rPr>
          <w:color w:val="auto"/>
          <w:highlight w:val="none"/>
        </w:rPr>
      </w:pPr>
      <w:r>
        <w:rPr>
          <w:color w:val="auto"/>
          <w:highlight w:val="none"/>
        </w:rPr>
        <w:t xml:space="preserve">对于动态媒体文件，系统应能兼容 Flash(SWF 格式)、GIF、HTML、WORD(能实现自动翻页显示)及 PPT(须保持文件原有动画样式)、PDF、EXCEL。 </w:t>
      </w:r>
    </w:p>
    <w:p>
      <w:pPr>
        <w:numPr>
          <w:ilvl w:val="0"/>
          <w:numId w:val="15"/>
        </w:numPr>
        <w:spacing w:after="0" w:line="360" w:lineRule="auto"/>
        <w:ind w:left="1203" w:right="12" w:hanging="243"/>
        <w:rPr>
          <w:color w:val="auto"/>
          <w:highlight w:val="none"/>
        </w:rPr>
      </w:pPr>
      <w:r>
        <w:rPr>
          <w:color w:val="auto"/>
          <w:highlight w:val="none"/>
        </w:rPr>
        <w:t xml:space="preserve">对于音/视频文件，系统应能兼容 MPEG1、MPEG2、MPEG4、MP3 、 AVI 、 WMV 、 RMVB 、 ASF 、 WAV 、WMVAAC ，QuickTime、RA、DIVX、MKV 等 </w:t>
      </w:r>
    </w:p>
    <w:p>
      <w:pPr>
        <w:numPr>
          <w:ilvl w:val="0"/>
          <w:numId w:val="15"/>
        </w:numPr>
        <w:spacing w:after="0" w:line="360" w:lineRule="auto"/>
        <w:ind w:left="1203" w:right="12" w:hanging="243"/>
        <w:rPr>
          <w:color w:val="auto"/>
          <w:highlight w:val="none"/>
        </w:rPr>
      </w:pPr>
      <w:r>
        <w:rPr>
          <w:color w:val="auto"/>
          <w:highlight w:val="none"/>
        </w:rPr>
        <w:t>对于网络文件，系统应能兼容 HTML 格式文件</w:t>
      </w:r>
      <w:r>
        <w:rPr>
          <w:rFonts w:hint="eastAsia"/>
          <w:color w:val="auto"/>
          <w:highlight w:val="none"/>
        </w:rPr>
        <w:t>。</w:t>
      </w:r>
    </w:p>
    <w:p>
      <w:pPr>
        <w:spacing w:after="0" w:line="360" w:lineRule="auto"/>
        <w:ind w:left="1423" w:right="12" w:firstLine="0"/>
        <w:rPr>
          <w:color w:val="auto"/>
          <w:highlight w:val="none"/>
        </w:rPr>
      </w:pPr>
    </w:p>
    <w:p>
      <w:pPr>
        <w:numPr>
          <w:ilvl w:val="2"/>
          <w:numId w:val="3"/>
        </w:numPr>
        <w:spacing w:after="0" w:line="360" w:lineRule="auto"/>
        <w:ind w:left="976" w:leftChars="100" w:right="12" w:hanging="736" w:hangingChars="307"/>
        <w:rPr>
          <w:color w:val="auto"/>
          <w:highlight w:val="none"/>
        </w:rPr>
      </w:pPr>
      <w:r>
        <w:rPr>
          <w:color w:val="auto"/>
          <w:highlight w:val="none"/>
        </w:rPr>
        <w:t xml:space="preserve">系统安全性 </w:t>
      </w:r>
    </w:p>
    <w:p>
      <w:pPr>
        <w:numPr>
          <w:ilvl w:val="0"/>
          <w:numId w:val="16"/>
        </w:numPr>
        <w:spacing w:after="0" w:line="360" w:lineRule="auto"/>
        <w:ind w:left="1203" w:right="12" w:hanging="243"/>
        <w:rPr>
          <w:color w:val="auto"/>
          <w:highlight w:val="none"/>
        </w:rPr>
      </w:pPr>
      <w:r>
        <w:rPr>
          <w:color w:val="auto"/>
          <w:highlight w:val="none"/>
        </w:rPr>
        <w:t xml:space="preserve">系统各功能模块应能防止各类网络攻击，保证系统运作安全，媒体文件在发布过程中不被复制和改变 </w:t>
      </w:r>
    </w:p>
    <w:p>
      <w:pPr>
        <w:numPr>
          <w:ilvl w:val="0"/>
          <w:numId w:val="16"/>
        </w:numPr>
        <w:spacing w:after="0" w:line="360" w:lineRule="auto"/>
        <w:ind w:left="1203" w:right="12" w:hanging="243"/>
        <w:rPr>
          <w:color w:val="auto"/>
          <w:highlight w:val="none"/>
        </w:rPr>
      </w:pPr>
      <w:r>
        <w:rPr>
          <w:color w:val="auto"/>
          <w:highlight w:val="none"/>
        </w:rPr>
        <w:t xml:space="preserve">文件传输须支持端对端的信息安全加密 </w:t>
      </w:r>
    </w:p>
    <w:p>
      <w:pPr>
        <w:numPr>
          <w:ilvl w:val="0"/>
          <w:numId w:val="16"/>
        </w:numPr>
        <w:spacing w:after="0" w:line="360" w:lineRule="auto"/>
        <w:ind w:left="1203" w:right="12" w:hanging="243"/>
        <w:rPr>
          <w:color w:val="auto"/>
          <w:highlight w:val="none"/>
        </w:rPr>
      </w:pPr>
      <w:r>
        <w:rPr>
          <w:color w:val="auto"/>
          <w:highlight w:val="none"/>
        </w:rPr>
        <w:t xml:space="preserve">系统能对管理工作站以及各控制播放终端实现用户权限设定  </w:t>
      </w:r>
    </w:p>
    <w:p>
      <w:pPr>
        <w:spacing w:after="0" w:line="360" w:lineRule="auto"/>
        <w:ind w:left="1843" w:right="12" w:firstLine="0"/>
        <w:rPr>
          <w:color w:val="auto"/>
          <w:highlight w:val="none"/>
        </w:rPr>
      </w:pPr>
    </w:p>
    <w:p>
      <w:pPr>
        <w:pStyle w:val="3"/>
        <w:numPr>
          <w:ilvl w:val="1"/>
          <w:numId w:val="3"/>
        </w:numPr>
        <w:spacing w:before="0" w:after="0" w:line="360" w:lineRule="auto"/>
        <w:ind w:left="10" w:right="1593"/>
        <w:rPr>
          <w:rFonts w:ascii="宋体" w:hAnsi="宋体" w:eastAsia="宋体" w:cs="Times New Roman"/>
          <w:color w:val="auto"/>
          <w:sz w:val="24"/>
          <w:szCs w:val="24"/>
          <w:highlight w:val="none"/>
        </w:rPr>
      </w:pPr>
      <w:r>
        <w:rPr>
          <w:rFonts w:hint="eastAsia" w:ascii="宋体" w:hAnsi="宋体" w:eastAsia="宋体" w:cs="Times New Roman"/>
          <w:color w:val="auto"/>
          <w:sz w:val="24"/>
          <w:szCs w:val="24"/>
          <w:highlight w:val="none"/>
        </w:rPr>
        <w:t xml:space="preserve"> </w:t>
      </w:r>
      <w:r>
        <w:rPr>
          <w:rFonts w:ascii="宋体" w:hAnsi="宋体" w:eastAsia="宋体" w:cs="Times New Roman"/>
          <w:color w:val="auto"/>
          <w:sz w:val="24"/>
          <w:szCs w:val="24"/>
          <w:highlight w:val="none"/>
        </w:rPr>
        <w:t xml:space="preserve">设备规格要求 </w:t>
      </w:r>
    </w:p>
    <w:p>
      <w:pPr>
        <w:numPr>
          <w:ilvl w:val="2"/>
          <w:numId w:val="3"/>
        </w:numPr>
        <w:spacing w:after="0" w:line="360" w:lineRule="auto"/>
        <w:ind w:left="976" w:leftChars="100" w:right="12" w:hanging="736" w:hangingChars="307"/>
        <w:rPr>
          <w:color w:val="auto"/>
          <w:highlight w:val="none"/>
        </w:rPr>
      </w:pPr>
      <w:r>
        <w:rPr>
          <w:color w:val="auto"/>
          <w:highlight w:val="none"/>
        </w:rPr>
        <w:t>32英寸网络液晶一体机技术要求</w:t>
      </w:r>
    </w:p>
    <w:p>
      <w:pPr>
        <w:numPr>
          <w:ilvl w:val="0"/>
          <w:numId w:val="17"/>
        </w:numPr>
        <w:ind w:left="1203" w:right="12" w:hanging="243"/>
        <w:rPr>
          <w:color w:val="auto"/>
          <w:highlight w:val="none"/>
        </w:rPr>
      </w:pPr>
      <w:r>
        <w:rPr>
          <w:rFonts w:hint="eastAsia"/>
          <w:color w:val="auto"/>
          <w:highlight w:val="none"/>
        </w:rPr>
        <w:t>尺寸：</w:t>
      </w:r>
      <w:r>
        <w:rPr>
          <w:color w:val="auto"/>
          <w:highlight w:val="none"/>
        </w:rPr>
        <w:t xml:space="preserve"> 32英寸，</w:t>
      </w:r>
    </w:p>
    <w:p>
      <w:pPr>
        <w:numPr>
          <w:ilvl w:val="0"/>
          <w:numId w:val="17"/>
        </w:numPr>
        <w:ind w:left="1203" w:right="12" w:hanging="243"/>
        <w:rPr>
          <w:color w:val="auto"/>
          <w:highlight w:val="none"/>
        </w:rPr>
      </w:pPr>
      <w:r>
        <w:rPr>
          <w:color w:val="auto"/>
          <w:highlight w:val="none"/>
        </w:rPr>
        <w:t>CPU：A64，不低于四核 ARM Cortex A53，1.3GHZ ，GPU：不低于2核Mali400 ，内存：不低于1GB，</w:t>
      </w:r>
      <w:r>
        <w:rPr>
          <w:rFonts w:hint="eastAsia"/>
          <w:color w:val="auto"/>
          <w:highlight w:val="none"/>
        </w:rPr>
        <w:t>外存储：不低于eMMC 8GB</w:t>
      </w:r>
    </w:p>
    <w:p>
      <w:pPr>
        <w:numPr>
          <w:ilvl w:val="0"/>
          <w:numId w:val="17"/>
        </w:numPr>
        <w:ind w:left="1203" w:right="12" w:hanging="243"/>
        <w:rPr>
          <w:color w:val="auto"/>
          <w:highlight w:val="none"/>
        </w:rPr>
      </w:pPr>
      <w:r>
        <w:rPr>
          <w:color w:val="auto"/>
          <w:highlight w:val="none"/>
        </w:rPr>
        <w:t>屏显比例：16：9，</w:t>
      </w:r>
      <w:r>
        <w:rPr>
          <w:rFonts w:hint="eastAsia"/>
          <w:color w:val="auto"/>
          <w:highlight w:val="none"/>
        </w:rPr>
        <w:t>支持1080P</w:t>
      </w:r>
      <w:r>
        <w:rPr>
          <w:color w:val="auto"/>
          <w:highlight w:val="none"/>
        </w:rPr>
        <w:t>，</w:t>
      </w:r>
    </w:p>
    <w:p>
      <w:pPr>
        <w:numPr>
          <w:ilvl w:val="0"/>
          <w:numId w:val="17"/>
        </w:numPr>
        <w:ind w:left="1203" w:right="12" w:hanging="243"/>
        <w:rPr>
          <w:color w:val="auto"/>
          <w:highlight w:val="none"/>
        </w:rPr>
      </w:pPr>
      <w:r>
        <w:rPr>
          <w:color w:val="auto"/>
          <w:highlight w:val="none"/>
        </w:rPr>
        <w:t>亮度：不低于</w:t>
      </w:r>
      <w:r>
        <w:rPr>
          <w:rFonts w:hint="eastAsia"/>
          <w:color w:val="auto"/>
          <w:highlight w:val="none"/>
          <w:lang w:val="en-US" w:eastAsia="zh-CN"/>
        </w:rPr>
        <w:t>35</w:t>
      </w:r>
      <w:r>
        <w:rPr>
          <w:color w:val="auto"/>
          <w:highlight w:val="none"/>
        </w:rPr>
        <w:t>0cd/m²，</w:t>
      </w:r>
    </w:p>
    <w:p>
      <w:pPr>
        <w:numPr>
          <w:ilvl w:val="0"/>
          <w:numId w:val="17"/>
        </w:numPr>
        <w:ind w:left="1203" w:right="12" w:hanging="243"/>
        <w:rPr>
          <w:color w:val="auto"/>
          <w:highlight w:val="none"/>
        </w:rPr>
      </w:pPr>
      <w:r>
        <w:rPr>
          <w:rFonts w:hint="eastAsia"/>
          <w:color w:val="auto"/>
          <w:highlight w:val="none"/>
        </w:rPr>
        <w:t>系统：不低于Android 6.0</w:t>
      </w:r>
    </w:p>
    <w:p>
      <w:pPr>
        <w:numPr>
          <w:ilvl w:val="0"/>
          <w:numId w:val="17"/>
        </w:numPr>
        <w:ind w:left="1203" w:right="12" w:hanging="243"/>
        <w:rPr>
          <w:color w:val="auto"/>
          <w:highlight w:val="none"/>
        </w:rPr>
      </w:pPr>
      <w:r>
        <w:rPr>
          <w:rFonts w:hint="eastAsia"/>
          <w:color w:val="auto"/>
          <w:highlight w:val="none"/>
        </w:rPr>
        <w:t>数据接口：USB2.0*2 、TFcard*1</w:t>
      </w:r>
    </w:p>
    <w:p>
      <w:pPr>
        <w:numPr>
          <w:ilvl w:val="0"/>
          <w:numId w:val="17"/>
        </w:numPr>
        <w:ind w:left="1203" w:right="12" w:hanging="243"/>
        <w:rPr>
          <w:color w:val="auto"/>
          <w:highlight w:val="none"/>
        </w:rPr>
      </w:pPr>
      <w:r>
        <w:rPr>
          <w:color w:val="auto"/>
          <w:highlight w:val="none"/>
        </w:rPr>
        <w:t>音频格式需支持：MP3/WMA/AAC，</w:t>
      </w:r>
    </w:p>
    <w:p>
      <w:pPr>
        <w:numPr>
          <w:ilvl w:val="0"/>
          <w:numId w:val="17"/>
        </w:numPr>
        <w:ind w:left="1203" w:right="12" w:hanging="243"/>
        <w:rPr>
          <w:color w:val="auto"/>
          <w:highlight w:val="none"/>
        </w:rPr>
      </w:pPr>
      <w:r>
        <w:rPr>
          <w:color w:val="auto"/>
          <w:highlight w:val="none"/>
        </w:rPr>
        <w:t>高清视频格式需支持：RMVB/AVI/MPG/MKV/VOB/MP4，</w:t>
      </w:r>
    </w:p>
    <w:p>
      <w:pPr>
        <w:numPr>
          <w:ilvl w:val="0"/>
          <w:numId w:val="17"/>
        </w:numPr>
        <w:ind w:left="1203" w:right="12" w:hanging="243"/>
        <w:rPr>
          <w:color w:val="auto"/>
          <w:highlight w:val="none"/>
        </w:rPr>
      </w:pPr>
      <w:r>
        <w:rPr>
          <w:color w:val="auto"/>
          <w:highlight w:val="none"/>
        </w:rPr>
        <w:t>图片格式需支持：JPEG/BMP/PNG</w:t>
      </w:r>
    </w:p>
    <w:p>
      <w:pPr>
        <w:numPr>
          <w:ilvl w:val="0"/>
          <w:numId w:val="17"/>
        </w:numPr>
        <w:ind w:left="1203" w:right="12" w:hanging="243"/>
        <w:rPr>
          <w:color w:val="auto"/>
          <w:highlight w:val="none"/>
        </w:rPr>
      </w:pPr>
      <w:r>
        <w:rPr>
          <w:rFonts w:hint="eastAsia"/>
          <w:color w:val="auto"/>
          <w:highlight w:val="none"/>
        </w:rPr>
        <w:t>内置RTC时钟，支持全天多时段定时开关机</w:t>
      </w:r>
    </w:p>
    <w:p>
      <w:pPr>
        <w:spacing w:after="0" w:line="360" w:lineRule="auto"/>
        <w:ind w:left="1423" w:right="12" w:firstLine="0"/>
        <w:rPr>
          <w:color w:val="auto"/>
          <w:highlight w:val="none"/>
        </w:rPr>
      </w:pPr>
    </w:p>
    <w:p>
      <w:pPr>
        <w:numPr>
          <w:ilvl w:val="2"/>
          <w:numId w:val="3"/>
        </w:numPr>
        <w:spacing w:after="0" w:line="360" w:lineRule="auto"/>
        <w:ind w:left="976" w:leftChars="100" w:right="12" w:hanging="736" w:hangingChars="307"/>
        <w:rPr>
          <w:color w:val="auto"/>
          <w:highlight w:val="none"/>
        </w:rPr>
      </w:pPr>
      <w:r>
        <w:rPr>
          <w:color w:val="auto"/>
          <w:highlight w:val="none"/>
        </w:rPr>
        <w:t>55寸网络液晶一体机技术要求</w:t>
      </w:r>
    </w:p>
    <w:p>
      <w:pPr>
        <w:numPr>
          <w:ilvl w:val="0"/>
          <w:numId w:val="18"/>
        </w:numPr>
        <w:spacing w:after="0" w:line="360" w:lineRule="auto"/>
        <w:ind w:left="1203" w:right="12" w:hanging="243"/>
        <w:rPr>
          <w:color w:val="auto"/>
          <w:highlight w:val="none"/>
        </w:rPr>
      </w:pPr>
      <w:r>
        <w:rPr>
          <w:rFonts w:hint="eastAsia"/>
          <w:color w:val="auto"/>
          <w:highlight w:val="none"/>
        </w:rPr>
        <w:t>尺寸： 55英寸，</w:t>
      </w:r>
    </w:p>
    <w:p>
      <w:pPr>
        <w:numPr>
          <w:ilvl w:val="0"/>
          <w:numId w:val="18"/>
        </w:numPr>
        <w:spacing w:after="0" w:line="360" w:lineRule="auto"/>
        <w:ind w:left="1203" w:right="12" w:hanging="243"/>
        <w:rPr>
          <w:color w:val="auto"/>
          <w:highlight w:val="none"/>
        </w:rPr>
      </w:pPr>
      <w:r>
        <w:rPr>
          <w:rFonts w:hint="eastAsia"/>
          <w:color w:val="auto"/>
          <w:highlight w:val="none"/>
        </w:rPr>
        <w:t>CPU：不低于Dual-core A73 and dual-core A53，GPU：不低于Quad-core MaliG51，内存：不低于2GB，外存储：不低于eMMC 8G，</w:t>
      </w:r>
    </w:p>
    <w:p>
      <w:pPr>
        <w:numPr>
          <w:ilvl w:val="0"/>
          <w:numId w:val="18"/>
        </w:numPr>
        <w:spacing w:after="0" w:line="360" w:lineRule="auto"/>
        <w:ind w:left="1203" w:right="12" w:hanging="243"/>
        <w:rPr>
          <w:color w:val="auto"/>
          <w:highlight w:val="none"/>
        </w:rPr>
      </w:pPr>
      <w:r>
        <w:rPr>
          <w:rFonts w:hint="eastAsia"/>
          <w:color w:val="auto"/>
          <w:highlight w:val="none"/>
        </w:rPr>
        <w:t>屏显比例：16：9，分辨率：不低于3840*2160</w:t>
      </w:r>
    </w:p>
    <w:p>
      <w:pPr>
        <w:numPr>
          <w:ilvl w:val="0"/>
          <w:numId w:val="18"/>
        </w:numPr>
        <w:spacing w:after="0" w:line="360" w:lineRule="auto"/>
        <w:ind w:left="1203" w:right="12" w:hanging="243"/>
        <w:rPr>
          <w:color w:val="auto"/>
          <w:highlight w:val="none"/>
        </w:rPr>
      </w:pPr>
      <w:r>
        <w:rPr>
          <w:rFonts w:hint="eastAsia"/>
          <w:color w:val="auto"/>
          <w:highlight w:val="none"/>
        </w:rPr>
        <w:t>系统：不低于</w:t>
      </w:r>
      <w:r>
        <w:rPr>
          <w:color w:val="auto"/>
          <w:highlight w:val="none"/>
        </w:rPr>
        <w:t xml:space="preserve">Android </w:t>
      </w:r>
      <w:r>
        <w:rPr>
          <w:rFonts w:hint="eastAsia"/>
          <w:color w:val="auto"/>
          <w:highlight w:val="none"/>
          <w:lang w:val="en-US" w:eastAsia="zh-CN"/>
        </w:rPr>
        <w:t>8</w:t>
      </w:r>
      <w:r>
        <w:rPr>
          <w:rFonts w:hint="eastAsia"/>
          <w:color w:val="auto"/>
          <w:highlight w:val="none"/>
        </w:rPr>
        <w:t>.0</w:t>
      </w:r>
    </w:p>
    <w:p>
      <w:pPr>
        <w:numPr>
          <w:ilvl w:val="0"/>
          <w:numId w:val="18"/>
        </w:numPr>
        <w:spacing w:after="0" w:line="360" w:lineRule="auto"/>
        <w:ind w:left="1203" w:right="12" w:hanging="243"/>
        <w:rPr>
          <w:color w:val="auto"/>
          <w:highlight w:val="none"/>
        </w:rPr>
      </w:pPr>
      <w:r>
        <w:rPr>
          <w:rFonts w:hint="eastAsia"/>
          <w:color w:val="auto"/>
          <w:highlight w:val="none"/>
        </w:rPr>
        <w:t>亮度：不低于350cd/m²，</w:t>
      </w:r>
    </w:p>
    <w:p>
      <w:pPr>
        <w:numPr>
          <w:ilvl w:val="0"/>
          <w:numId w:val="18"/>
        </w:numPr>
        <w:spacing w:after="0" w:line="360" w:lineRule="auto"/>
        <w:ind w:left="1203" w:right="12" w:hanging="243"/>
        <w:rPr>
          <w:rFonts w:hint="eastAsia"/>
          <w:color w:val="auto"/>
          <w:highlight w:val="none"/>
        </w:rPr>
      </w:pPr>
      <w:r>
        <w:rPr>
          <w:rFonts w:hint="eastAsia"/>
          <w:color w:val="auto"/>
          <w:highlight w:val="none"/>
        </w:rPr>
        <w:t>视频接口：HDMI IN，</w:t>
      </w:r>
    </w:p>
    <w:p>
      <w:pPr>
        <w:numPr>
          <w:ilvl w:val="0"/>
          <w:numId w:val="18"/>
        </w:numPr>
        <w:spacing w:after="0" w:line="360" w:lineRule="auto"/>
        <w:ind w:left="1203" w:right="12" w:hanging="243"/>
        <w:rPr>
          <w:rFonts w:hint="eastAsia"/>
          <w:color w:val="auto"/>
          <w:highlight w:val="none"/>
        </w:rPr>
      </w:pPr>
      <w:r>
        <w:rPr>
          <w:rFonts w:hint="eastAsia"/>
          <w:color w:val="auto"/>
          <w:highlight w:val="none"/>
        </w:rPr>
        <w:t>音频接口：Ear Out，</w:t>
      </w:r>
    </w:p>
    <w:p>
      <w:pPr>
        <w:numPr>
          <w:ilvl w:val="0"/>
          <w:numId w:val="18"/>
        </w:numPr>
        <w:spacing w:after="0" w:line="360" w:lineRule="auto"/>
        <w:ind w:left="1203" w:right="12" w:hanging="243"/>
        <w:rPr>
          <w:rFonts w:hint="eastAsia"/>
          <w:color w:val="auto"/>
          <w:highlight w:val="none"/>
        </w:rPr>
      </w:pPr>
      <w:r>
        <w:rPr>
          <w:rFonts w:hint="eastAsia"/>
          <w:color w:val="auto"/>
          <w:highlight w:val="none"/>
        </w:rPr>
        <w:t>数据接口：USB3.0*2/SD卡，</w:t>
      </w:r>
    </w:p>
    <w:p>
      <w:pPr>
        <w:numPr>
          <w:ilvl w:val="0"/>
          <w:numId w:val="18"/>
        </w:numPr>
        <w:spacing w:after="0" w:line="360" w:lineRule="auto"/>
        <w:ind w:left="1203" w:right="12" w:hanging="243"/>
        <w:rPr>
          <w:color w:val="auto"/>
          <w:highlight w:val="none"/>
        </w:rPr>
      </w:pPr>
      <w:r>
        <w:rPr>
          <w:rFonts w:hint="eastAsia"/>
          <w:color w:val="auto"/>
          <w:highlight w:val="none"/>
        </w:rPr>
        <w:t>通信接口：10/100Mbps，</w:t>
      </w:r>
    </w:p>
    <w:p>
      <w:pPr>
        <w:numPr>
          <w:ilvl w:val="0"/>
          <w:numId w:val="18"/>
        </w:numPr>
        <w:tabs>
          <w:tab w:val="left" w:pos="1440"/>
        </w:tabs>
        <w:spacing w:after="0" w:line="360" w:lineRule="auto"/>
        <w:ind w:left="1203" w:right="12" w:hanging="243"/>
        <w:rPr>
          <w:rFonts w:hint="eastAsia"/>
          <w:color w:val="auto"/>
          <w:highlight w:val="none"/>
        </w:rPr>
      </w:pPr>
      <w:r>
        <w:rPr>
          <w:rFonts w:hint="eastAsia"/>
          <w:color w:val="auto"/>
          <w:highlight w:val="none"/>
        </w:rPr>
        <w:t>音频格式需支持：MP3/WMA/AAC/OGG，</w:t>
      </w:r>
    </w:p>
    <w:p>
      <w:pPr>
        <w:numPr>
          <w:ilvl w:val="0"/>
          <w:numId w:val="18"/>
        </w:numPr>
        <w:tabs>
          <w:tab w:val="left" w:pos="1440"/>
        </w:tabs>
        <w:spacing w:after="0" w:line="360" w:lineRule="auto"/>
        <w:ind w:left="1203" w:right="12" w:hanging="243"/>
        <w:rPr>
          <w:rFonts w:hint="eastAsia"/>
          <w:color w:val="auto"/>
          <w:highlight w:val="none"/>
        </w:rPr>
      </w:pPr>
      <w:r>
        <w:rPr>
          <w:rFonts w:hint="eastAsia"/>
          <w:color w:val="auto"/>
          <w:highlight w:val="none"/>
        </w:rPr>
        <w:t>高清视频格式需支持：RMVB/AVI/MPG/MKV/TS/ASF/FLV/WebM</w:t>
      </w:r>
      <w:r>
        <w:rPr>
          <w:rFonts w:hint="eastAsia"/>
          <w:color w:val="auto"/>
          <w:highlight w:val="none"/>
          <w:lang w:val="en-US" w:eastAsia="zh-CN"/>
        </w:rPr>
        <w:t>/VOB/MP4</w:t>
      </w:r>
      <w:r>
        <w:rPr>
          <w:rFonts w:hint="eastAsia"/>
          <w:color w:val="auto"/>
          <w:highlight w:val="none"/>
        </w:rPr>
        <w:t>，</w:t>
      </w:r>
    </w:p>
    <w:p>
      <w:pPr>
        <w:numPr>
          <w:ilvl w:val="0"/>
          <w:numId w:val="18"/>
        </w:numPr>
        <w:tabs>
          <w:tab w:val="left" w:pos="1440"/>
        </w:tabs>
        <w:spacing w:after="0" w:line="360" w:lineRule="auto"/>
        <w:ind w:left="1203" w:right="12" w:hanging="243"/>
        <w:rPr>
          <w:rFonts w:hint="eastAsia"/>
          <w:color w:val="auto"/>
          <w:highlight w:val="none"/>
        </w:rPr>
      </w:pPr>
      <w:r>
        <w:rPr>
          <w:rFonts w:hint="eastAsia"/>
          <w:color w:val="auto"/>
          <w:highlight w:val="none"/>
        </w:rPr>
        <w:t>图片格式需支持：JPEG/BMP/PNG.</w:t>
      </w:r>
    </w:p>
    <w:p>
      <w:pPr>
        <w:numPr>
          <w:ilvl w:val="0"/>
          <w:numId w:val="18"/>
        </w:numPr>
        <w:tabs>
          <w:tab w:val="left" w:pos="1440"/>
        </w:tabs>
        <w:spacing w:after="0" w:line="360" w:lineRule="auto"/>
        <w:ind w:left="1203" w:right="12" w:hanging="243"/>
        <w:rPr>
          <w:rFonts w:hint="eastAsia"/>
          <w:color w:val="auto"/>
          <w:highlight w:val="none"/>
        </w:rPr>
      </w:pPr>
      <w:r>
        <w:rPr>
          <w:rFonts w:hint="eastAsia"/>
          <w:color w:val="auto"/>
          <w:highlight w:val="none"/>
        </w:rPr>
        <w:t>内置RTC时钟，支持全天多时段定时开关机</w:t>
      </w:r>
    </w:p>
    <w:p>
      <w:pPr>
        <w:numPr>
          <w:ilvl w:val="0"/>
          <w:numId w:val="0"/>
        </w:numPr>
        <w:tabs>
          <w:tab w:val="left" w:pos="1440"/>
        </w:tabs>
        <w:spacing w:after="0" w:line="360" w:lineRule="auto"/>
        <w:ind w:left="960" w:leftChars="0" w:right="12" w:rightChars="0"/>
        <w:rPr>
          <w:rFonts w:hint="eastAsia"/>
          <w:color w:val="auto"/>
          <w:highlight w:val="none"/>
        </w:rPr>
      </w:pPr>
    </w:p>
    <w:p>
      <w:pPr>
        <w:pStyle w:val="3"/>
        <w:numPr>
          <w:ilvl w:val="1"/>
          <w:numId w:val="3"/>
        </w:numPr>
        <w:spacing w:before="0" w:after="0" w:line="360" w:lineRule="auto"/>
        <w:ind w:left="10" w:right="1593"/>
        <w:rPr>
          <w:rFonts w:ascii="宋体" w:hAnsi="宋体" w:eastAsia="宋体" w:cs="Times New Roman"/>
          <w:color w:val="auto"/>
          <w:sz w:val="24"/>
          <w:szCs w:val="24"/>
          <w:highlight w:val="none"/>
        </w:rPr>
      </w:pPr>
      <w:r>
        <w:rPr>
          <w:rFonts w:hint="eastAsia" w:ascii="宋体" w:hAnsi="宋体" w:eastAsia="宋体" w:cs="Times New Roman"/>
          <w:color w:val="auto"/>
          <w:sz w:val="24"/>
          <w:szCs w:val="24"/>
          <w:highlight w:val="none"/>
        </w:rPr>
        <w:t xml:space="preserve"> </w:t>
      </w:r>
      <w:r>
        <w:rPr>
          <w:rFonts w:ascii="宋体" w:hAnsi="宋体" w:eastAsia="宋体" w:cs="Times New Roman"/>
          <w:color w:val="auto"/>
          <w:sz w:val="24"/>
          <w:szCs w:val="24"/>
          <w:highlight w:val="none"/>
        </w:rPr>
        <w:t xml:space="preserve">系统测试检验 </w:t>
      </w:r>
    </w:p>
    <w:p>
      <w:pPr>
        <w:numPr>
          <w:ilvl w:val="2"/>
          <w:numId w:val="3"/>
        </w:numPr>
        <w:spacing w:after="0" w:line="360" w:lineRule="auto"/>
        <w:ind w:left="976" w:leftChars="100" w:right="12" w:hanging="736" w:hangingChars="307"/>
        <w:rPr>
          <w:color w:val="auto"/>
          <w:highlight w:val="none"/>
        </w:rPr>
      </w:pPr>
      <w:r>
        <w:rPr>
          <w:color w:val="auto"/>
          <w:highlight w:val="none"/>
        </w:rPr>
        <w:t>检测和验收的范围根据设计要求确定。</w:t>
      </w:r>
      <w:r>
        <w:rPr>
          <w:rFonts w:ascii="Arial" w:hAnsi="Arial" w:eastAsia="Arial" w:cs="Arial"/>
          <w:color w:val="auto"/>
          <w:highlight w:val="none"/>
        </w:rPr>
        <w:t xml:space="preserve"> </w:t>
      </w:r>
    </w:p>
    <w:p>
      <w:pPr>
        <w:numPr>
          <w:ilvl w:val="2"/>
          <w:numId w:val="3"/>
        </w:numPr>
        <w:spacing w:after="0" w:line="360" w:lineRule="auto"/>
        <w:ind w:left="720" w:right="12" w:hanging="480"/>
        <w:rPr>
          <w:color w:val="auto"/>
          <w:highlight w:val="none"/>
        </w:rPr>
      </w:pPr>
      <w:r>
        <w:rPr>
          <w:color w:val="auto"/>
          <w:highlight w:val="none"/>
        </w:rPr>
        <w:t xml:space="preserve">系统检验应符合现行标准《智能建筑工程质量验收规范》（GB50339-2013）、《智能建筑工程施工规范》（GB50606-2010）、《信息查询自动终端通用规范》（SJ_T 11381-2008）等标准规范以及当地相关部门的要求。 </w:t>
      </w:r>
      <w:r>
        <w:rPr>
          <w:color w:val="auto"/>
          <w:highlight w:val="none"/>
        </w:rPr>
        <w:br w:type="page"/>
      </w:r>
    </w:p>
    <w:p>
      <w:pPr>
        <w:pStyle w:val="2"/>
        <w:numPr>
          <w:ilvl w:val="0"/>
          <w:numId w:val="2"/>
        </w:numPr>
        <w:spacing w:after="0" w:line="360" w:lineRule="auto"/>
        <w:ind w:left="490" w:leftChars="0" w:right="0" w:hanging="490" w:firstLineChars="0"/>
        <w:rPr>
          <w:b/>
          <w:color w:val="auto"/>
          <w:sz w:val="30"/>
          <w:szCs w:val="30"/>
          <w:highlight w:val="none"/>
        </w:rPr>
      </w:pPr>
      <w:bookmarkStart w:id="50" w:name="_Toc1021"/>
      <w:bookmarkStart w:id="51" w:name="_Toc8590"/>
      <w:bookmarkStart w:id="52" w:name="_Toc25953"/>
      <w:bookmarkStart w:id="53" w:name="_Toc22536"/>
      <w:bookmarkStart w:id="54" w:name="_Toc22247"/>
      <w:bookmarkStart w:id="55" w:name="_Toc16848"/>
      <w:bookmarkStart w:id="56" w:name="_Toc23856"/>
      <w:bookmarkStart w:id="57" w:name="_Toc30585"/>
      <w:bookmarkStart w:id="58" w:name="_Toc16122"/>
      <w:bookmarkStart w:id="59" w:name="_Toc30559"/>
      <w:bookmarkStart w:id="60" w:name="_Toc2823"/>
      <w:bookmarkStart w:id="61" w:name="_Toc14623"/>
      <w:bookmarkStart w:id="62" w:name="_Toc3061"/>
      <w:bookmarkStart w:id="63" w:name="_Toc8378"/>
      <w:bookmarkStart w:id="64" w:name="_Toc79151135"/>
      <w:bookmarkStart w:id="65" w:name="_Toc27664"/>
      <w:bookmarkStart w:id="66" w:name="_Toc7997"/>
      <w:bookmarkStart w:id="67" w:name="_Toc3422"/>
      <w:bookmarkStart w:id="68" w:name="_Toc9840"/>
      <w:bookmarkStart w:id="69" w:name="_Toc3911"/>
      <w:bookmarkStart w:id="70" w:name="_Toc9652"/>
      <w:bookmarkStart w:id="71" w:name="_Toc5611"/>
      <w:bookmarkStart w:id="72" w:name="_Toc28553"/>
      <w:bookmarkStart w:id="73" w:name="_Toc6104"/>
      <w:bookmarkStart w:id="74" w:name="_Toc9733"/>
      <w:bookmarkStart w:id="75" w:name="_Toc14719"/>
      <w:bookmarkStart w:id="76" w:name="_Toc79151137"/>
      <w:bookmarkStart w:id="77" w:name="_Toc30864"/>
      <w:bookmarkStart w:id="78" w:name="_Toc6951"/>
      <w:bookmarkStart w:id="79" w:name="_Toc23496"/>
      <w:bookmarkStart w:id="80" w:name="_Toc27963"/>
      <w:bookmarkStart w:id="81" w:name="_Toc14543"/>
      <w:bookmarkStart w:id="82" w:name="_Toc1374"/>
      <w:r>
        <w:rPr>
          <w:rFonts w:hint="eastAsia"/>
          <w:b/>
          <w:color w:val="auto"/>
          <w:sz w:val="30"/>
          <w:szCs w:val="30"/>
          <w:highlight w:val="none"/>
        </w:rPr>
        <w:t>候诊呼叫信号系统（设备及系统平台）</w:t>
      </w:r>
      <w:bookmarkEnd w:id="50"/>
      <w:bookmarkEnd w:id="51"/>
      <w:bookmarkEnd w:id="52"/>
      <w:bookmarkEnd w:id="53"/>
      <w:bookmarkEnd w:id="54"/>
      <w:bookmarkEnd w:id="55"/>
      <w:bookmarkEnd w:id="56"/>
      <w:bookmarkEnd w:id="57"/>
      <w:bookmarkEnd w:id="58"/>
      <w:bookmarkEnd w:id="59"/>
      <w:bookmarkEnd w:id="60"/>
      <w:r>
        <w:rPr>
          <w:rFonts w:hint="eastAsia"/>
          <w:b/>
          <w:color w:val="auto"/>
          <w:sz w:val="30"/>
          <w:szCs w:val="30"/>
          <w:highlight w:val="none"/>
        </w:rPr>
        <w:t xml:space="preserve"> </w:t>
      </w:r>
    </w:p>
    <w:p>
      <w:pPr>
        <w:pStyle w:val="30"/>
        <w:keepNext/>
        <w:keepLines/>
        <w:numPr>
          <w:ilvl w:val="0"/>
          <w:numId w:val="3"/>
        </w:numPr>
        <w:spacing w:after="0" w:line="360" w:lineRule="auto"/>
        <w:ind w:right="1593" w:hanging="10" w:firstLineChars="0"/>
        <w:outlineLvl w:val="1"/>
        <w:rPr>
          <w:rFonts w:cs="Times New Roman"/>
          <w:b/>
          <w:bCs/>
          <w:vanish/>
          <w:color w:val="auto"/>
          <w:szCs w:val="24"/>
          <w:highlight w:val="none"/>
        </w:rPr>
      </w:pPr>
    </w:p>
    <w:p>
      <w:pPr>
        <w:pStyle w:val="3"/>
        <w:numPr>
          <w:ilvl w:val="1"/>
          <w:numId w:val="3"/>
        </w:numPr>
        <w:spacing w:before="0" w:after="0" w:line="360" w:lineRule="auto"/>
        <w:ind w:left="10" w:right="1593"/>
        <w:rPr>
          <w:rFonts w:ascii="宋体" w:hAnsi="宋体" w:eastAsia="宋体" w:cs="Times New Roman"/>
          <w:color w:val="auto"/>
          <w:sz w:val="24"/>
          <w:szCs w:val="24"/>
          <w:highlight w:val="none"/>
        </w:rPr>
      </w:pPr>
      <w:r>
        <w:rPr>
          <w:rFonts w:ascii="宋体" w:hAnsi="宋体" w:eastAsia="宋体" w:cs="Times New Roman"/>
          <w:color w:val="auto"/>
          <w:sz w:val="24"/>
          <w:szCs w:val="24"/>
          <w:highlight w:val="none"/>
        </w:rPr>
        <w:t xml:space="preserve"> 概述 </w:t>
      </w:r>
    </w:p>
    <w:p>
      <w:pPr>
        <w:numPr>
          <w:ilvl w:val="2"/>
          <w:numId w:val="3"/>
        </w:numPr>
        <w:spacing w:after="0" w:line="360" w:lineRule="auto"/>
        <w:ind w:left="736" w:leftChars="100" w:right="12" w:hanging="496" w:hangingChars="207"/>
        <w:rPr>
          <w:color w:val="auto"/>
          <w:szCs w:val="21"/>
          <w:highlight w:val="none"/>
        </w:rPr>
      </w:pPr>
      <w:r>
        <w:rPr>
          <w:rFonts w:hint="eastAsia"/>
          <w:color w:val="auto"/>
          <w:highlight w:val="none"/>
        </w:rPr>
        <w:t>本项目应用于门诊候诊区、抽血区、放射科、超声科、层间收费处、药房等区域，以电子排队叫号方式，解决患者就诊流程无序、就医环境杂等问题，帮助护士智能分流、引导患者有序就诊。</w:t>
      </w:r>
    </w:p>
    <w:p>
      <w:pPr>
        <w:numPr>
          <w:ilvl w:val="2"/>
          <w:numId w:val="3"/>
        </w:numPr>
        <w:spacing w:after="0" w:line="360" w:lineRule="auto"/>
        <w:ind w:left="736" w:leftChars="100" w:right="12" w:hanging="496" w:hangingChars="207"/>
        <w:rPr>
          <w:color w:val="auto"/>
          <w:highlight w:val="none"/>
        </w:rPr>
      </w:pPr>
      <w:r>
        <w:rPr>
          <w:rFonts w:hint="eastAsia" w:ascii="Arial" w:hAnsi="Arial" w:cs="Arial"/>
          <w:color w:val="auto"/>
          <w:szCs w:val="21"/>
          <w:highlight w:val="none"/>
        </w:rPr>
        <w:t>投标单位须保证所采用的系统品牌无条件开放数据接口，</w:t>
      </w:r>
      <w:r>
        <w:rPr>
          <w:rFonts w:hint="eastAsia"/>
          <w:color w:val="auto"/>
          <w:highlight w:val="none"/>
        </w:rPr>
        <w:t>支持接入原医院的候诊呼叫平台，且硬件设备满足医院的协议、接口、加密等要求，</w:t>
      </w:r>
      <w:r>
        <w:rPr>
          <w:rFonts w:hint="eastAsia" w:ascii="Arial" w:hAnsi="Arial" w:cs="Arial"/>
          <w:color w:val="auto"/>
          <w:szCs w:val="21"/>
          <w:highlight w:val="none"/>
        </w:rPr>
        <w:t>并且承担对接所需要的设备费、服务费。</w:t>
      </w:r>
      <w:r>
        <w:rPr>
          <w:rFonts w:hint="eastAsia"/>
          <w:color w:val="auto"/>
          <w:highlight w:val="none"/>
        </w:rPr>
        <w:t>放射、超声等检查科室为独立系统，需按原医院的系统配置，接回原来的系统。</w:t>
      </w:r>
    </w:p>
    <w:p>
      <w:pPr>
        <w:numPr>
          <w:ilvl w:val="2"/>
          <w:numId w:val="3"/>
        </w:numPr>
        <w:spacing w:after="0" w:line="360" w:lineRule="auto"/>
        <w:ind w:left="736" w:leftChars="100" w:right="12" w:hanging="496" w:hangingChars="207"/>
        <w:rPr>
          <w:color w:val="auto"/>
          <w:szCs w:val="21"/>
          <w:highlight w:val="none"/>
        </w:rPr>
      </w:pPr>
      <w:r>
        <w:rPr>
          <w:color w:val="auto"/>
          <w:szCs w:val="21"/>
          <w:highlight w:val="none"/>
        </w:rPr>
        <w:t>系统应进行模块化设计，便于日后系统拓展及整合。同时实行统一管理，以保证各模块配合顺畅。</w:t>
      </w:r>
    </w:p>
    <w:p>
      <w:pPr>
        <w:numPr>
          <w:ilvl w:val="2"/>
          <w:numId w:val="3"/>
        </w:numPr>
        <w:spacing w:after="0" w:line="360" w:lineRule="auto"/>
        <w:ind w:left="736" w:leftChars="100" w:right="12" w:hanging="496" w:hangingChars="207"/>
        <w:rPr>
          <w:color w:val="auto"/>
          <w:szCs w:val="21"/>
          <w:highlight w:val="none"/>
        </w:rPr>
      </w:pPr>
      <w:r>
        <w:rPr>
          <w:color w:val="auto"/>
          <w:szCs w:val="21"/>
          <w:highlight w:val="none"/>
        </w:rPr>
        <w:t xml:space="preserve">本系统与其他专业系统协调配合，以达到整体协调无障碍运行。 </w:t>
      </w:r>
    </w:p>
    <w:p>
      <w:pPr>
        <w:numPr>
          <w:ilvl w:val="2"/>
          <w:numId w:val="3"/>
        </w:numPr>
        <w:spacing w:after="0" w:line="360" w:lineRule="auto"/>
        <w:ind w:left="736" w:leftChars="100" w:right="12" w:hanging="496" w:hangingChars="207"/>
        <w:rPr>
          <w:color w:val="auto"/>
          <w:szCs w:val="21"/>
          <w:highlight w:val="none"/>
        </w:rPr>
      </w:pPr>
      <w:r>
        <w:rPr>
          <w:rFonts w:hint="eastAsia"/>
          <w:color w:val="auto"/>
          <w:highlight w:val="none"/>
        </w:rPr>
        <w:t>系统从交换机至末端的管线、长高清跳线以及部分设备（天花喇叭、功放、话筒）以及由其他标段提供，本项目负责系统设备的供货、安装、调试</w:t>
      </w:r>
      <w:r>
        <w:rPr>
          <w:color w:val="auto"/>
          <w:szCs w:val="21"/>
          <w:highlight w:val="none"/>
        </w:rPr>
        <w:t xml:space="preserve">。 </w:t>
      </w:r>
    </w:p>
    <w:p>
      <w:pPr>
        <w:numPr>
          <w:ilvl w:val="2"/>
          <w:numId w:val="3"/>
        </w:numPr>
        <w:spacing w:after="0" w:line="360" w:lineRule="auto"/>
        <w:ind w:left="736" w:leftChars="100" w:right="12" w:hanging="496" w:hangingChars="207"/>
        <w:rPr>
          <w:color w:val="auto"/>
          <w:szCs w:val="21"/>
          <w:highlight w:val="none"/>
        </w:rPr>
      </w:pPr>
      <w:r>
        <w:rPr>
          <w:color w:val="auto"/>
          <w:szCs w:val="21"/>
          <w:highlight w:val="none"/>
        </w:rPr>
        <w:t xml:space="preserve">本系统主要设备须包括,但不限于下列项目: </w:t>
      </w:r>
    </w:p>
    <w:p>
      <w:pPr>
        <w:numPr>
          <w:ilvl w:val="0"/>
          <w:numId w:val="19"/>
        </w:numPr>
        <w:spacing w:after="0" w:line="360" w:lineRule="auto"/>
        <w:ind w:left="736" w:leftChars="100" w:right="12" w:hanging="496" w:hangingChars="207"/>
        <w:rPr>
          <w:color w:val="auto"/>
          <w:highlight w:val="none"/>
        </w:rPr>
      </w:pPr>
      <w:r>
        <w:rPr>
          <w:rFonts w:hint="eastAsia"/>
          <w:color w:val="auto"/>
          <w:highlight w:val="none"/>
        </w:rPr>
        <w:t>服务器（使用超融合服务器，由其他标段提供）及</w:t>
      </w:r>
      <w:r>
        <w:rPr>
          <w:color w:val="auto"/>
          <w:highlight w:val="none"/>
        </w:rPr>
        <w:t xml:space="preserve">工作站 </w:t>
      </w:r>
    </w:p>
    <w:p>
      <w:pPr>
        <w:numPr>
          <w:ilvl w:val="0"/>
          <w:numId w:val="19"/>
        </w:numPr>
        <w:spacing w:after="0" w:line="360" w:lineRule="auto"/>
        <w:ind w:left="736" w:leftChars="100" w:right="12" w:hanging="496" w:hangingChars="207"/>
        <w:rPr>
          <w:color w:val="auto"/>
          <w:highlight w:val="none"/>
        </w:rPr>
      </w:pPr>
      <w:r>
        <w:rPr>
          <w:rFonts w:hint="eastAsia"/>
          <w:color w:val="auto"/>
          <w:highlight w:val="none"/>
        </w:rPr>
        <w:t>呼叫器</w:t>
      </w:r>
      <w:r>
        <w:rPr>
          <w:color w:val="auto"/>
          <w:highlight w:val="none"/>
        </w:rPr>
        <w:t xml:space="preserve"> </w:t>
      </w:r>
    </w:p>
    <w:p>
      <w:pPr>
        <w:numPr>
          <w:ilvl w:val="0"/>
          <w:numId w:val="19"/>
        </w:numPr>
        <w:spacing w:after="0" w:line="360" w:lineRule="auto"/>
        <w:ind w:left="736" w:leftChars="100" w:right="12" w:hanging="496" w:hangingChars="207"/>
        <w:rPr>
          <w:color w:val="auto"/>
          <w:highlight w:val="none"/>
        </w:rPr>
      </w:pPr>
      <w:r>
        <w:rPr>
          <w:rFonts w:hint="eastAsia"/>
          <w:color w:val="auto"/>
          <w:highlight w:val="none"/>
        </w:rPr>
        <w:t>网络液晶一体机</w:t>
      </w:r>
    </w:p>
    <w:p>
      <w:pPr>
        <w:numPr>
          <w:ilvl w:val="2"/>
          <w:numId w:val="3"/>
        </w:numPr>
        <w:spacing w:after="0" w:line="360" w:lineRule="auto"/>
        <w:ind w:left="736" w:leftChars="100" w:right="12" w:hanging="496" w:hangingChars="207"/>
        <w:rPr>
          <w:color w:val="auto"/>
          <w:szCs w:val="21"/>
          <w:highlight w:val="none"/>
        </w:rPr>
      </w:pPr>
      <w:r>
        <w:rPr>
          <w:rFonts w:hint="eastAsia"/>
          <w:color w:val="auto"/>
          <w:szCs w:val="21"/>
          <w:highlight w:val="none"/>
        </w:rPr>
        <w:t>所有的候诊呼叫显示屏的数量，需以业主使</w:t>
      </w:r>
      <w:r>
        <w:rPr>
          <w:rFonts w:hint="eastAsia"/>
          <w:color w:val="auto"/>
          <w:szCs w:val="21"/>
          <w:highlight w:val="none"/>
          <w:lang w:val="en-US" w:eastAsia="zh-CN"/>
        </w:rPr>
        <w:t>用</w:t>
      </w:r>
      <w:r>
        <w:rPr>
          <w:rFonts w:hint="eastAsia"/>
          <w:color w:val="auto"/>
          <w:szCs w:val="21"/>
          <w:highlight w:val="none"/>
        </w:rPr>
        <w:t>科室确认所需的数量为准。</w:t>
      </w:r>
      <w:r>
        <w:rPr>
          <w:color w:val="auto"/>
          <w:szCs w:val="21"/>
          <w:highlight w:val="none"/>
        </w:rPr>
        <w:t xml:space="preserve"> </w:t>
      </w:r>
    </w:p>
    <w:p>
      <w:pPr>
        <w:spacing w:after="0" w:line="360" w:lineRule="auto"/>
        <w:ind w:left="1843" w:right="12" w:firstLine="0"/>
        <w:rPr>
          <w:color w:val="auto"/>
          <w:highlight w:val="none"/>
        </w:rPr>
      </w:pPr>
    </w:p>
    <w:p>
      <w:pPr>
        <w:pStyle w:val="3"/>
        <w:numPr>
          <w:ilvl w:val="1"/>
          <w:numId w:val="3"/>
        </w:numPr>
        <w:spacing w:before="0" w:after="0" w:line="360" w:lineRule="auto"/>
        <w:ind w:left="10" w:right="1593"/>
        <w:rPr>
          <w:rFonts w:ascii="宋体" w:hAnsi="宋体" w:eastAsia="宋体" w:cs="Times New Roman"/>
          <w:color w:val="auto"/>
          <w:sz w:val="24"/>
          <w:szCs w:val="24"/>
          <w:highlight w:val="none"/>
        </w:rPr>
      </w:pPr>
      <w:r>
        <w:rPr>
          <w:rFonts w:hint="eastAsia" w:ascii="宋体" w:hAnsi="宋体" w:eastAsia="宋体" w:cs="Times New Roman"/>
          <w:color w:val="auto"/>
          <w:sz w:val="24"/>
          <w:szCs w:val="24"/>
          <w:highlight w:val="none"/>
        </w:rPr>
        <w:t xml:space="preserve"> 工作</w:t>
      </w:r>
      <w:r>
        <w:rPr>
          <w:rFonts w:ascii="宋体" w:hAnsi="宋体" w:eastAsia="宋体" w:cs="Times New Roman"/>
          <w:color w:val="auto"/>
          <w:sz w:val="24"/>
          <w:szCs w:val="24"/>
          <w:highlight w:val="none"/>
        </w:rPr>
        <w:t xml:space="preserve">范围 </w:t>
      </w:r>
    </w:p>
    <w:p>
      <w:pPr>
        <w:numPr>
          <w:ilvl w:val="2"/>
          <w:numId w:val="3"/>
        </w:numPr>
        <w:spacing w:after="0" w:line="360" w:lineRule="auto"/>
        <w:ind w:left="739" w:right="12" w:hanging="499"/>
        <w:rPr>
          <w:rFonts w:hint="eastAsia"/>
          <w:color w:val="auto"/>
          <w:szCs w:val="21"/>
          <w:highlight w:val="none"/>
        </w:rPr>
      </w:pPr>
      <w:r>
        <w:rPr>
          <w:rFonts w:hint="eastAsia"/>
          <w:color w:val="auto"/>
          <w:szCs w:val="21"/>
          <w:highlight w:val="none"/>
        </w:rPr>
        <w:t xml:space="preserve">承包单位须负责深化设计、供应、安装、接线、试验和试运转一套候诊呼叫信号系统。 </w:t>
      </w:r>
    </w:p>
    <w:p>
      <w:pPr>
        <w:spacing w:after="0" w:line="360" w:lineRule="auto"/>
        <w:ind w:left="1419" w:right="12" w:firstLine="0"/>
        <w:rPr>
          <w:color w:val="auto"/>
          <w:szCs w:val="21"/>
          <w:highlight w:val="none"/>
        </w:rPr>
      </w:pPr>
    </w:p>
    <w:p>
      <w:pPr>
        <w:pStyle w:val="3"/>
        <w:numPr>
          <w:ilvl w:val="1"/>
          <w:numId w:val="3"/>
        </w:numPr>
        <w:spacing w:before="0" w:after="0" w:line="360" w:lineRule="auto"/>
        <w:ind w:left="10" w:right="1593"/>
        <w:rPr>
          <w:rFonts w:ascii="宋体" w:hAnsi="宋体" w:eastAsia="宋体" w:cs="Times New Roman"/>
          <w:color w:val="auto"/>
          <w:sz w:val="24"/>
          <w:szCs w:val="24"/>
          <w:highlight w:val="none"/>
        </w:rPr>
      </w:pPr>
      <w:r>
        <w:rPr>
          <w:rFonts w:ascii="宋体" w:hAnsi="宋体" w:eastAsia="宋体" w:cs="Times New Roman"/>
          <w:color w:val="auto"/>
          <w:sz w:val="24"/>
          <w:szCs w:val="24"/>
          <w:highlight w:val="none"/>
        </w:rPr>
        <w:t xml:space="preserve"> 系统描述 </w:t>
      </w:r>
    </w:p>
    <w:p>
      <w:pPr>
        <w:numPr>
          <w:ilvl w:val="2"/>
          <w:numId w:val="3"/>
        </w:numPr>
        <w:spacing w:after="0" w:line="360" w:lineRule="auto"/>
        <w:ind w:left="739" w:right="12" w:hanging="499"/>
        <w:rPr>
          <w:color w:val="auto"/>
          <w:szCs w:val="21"/>
          <w:highlight w:val="none"/>
        </w:rPr>
      </w:pPr>
      <w:r>
        <w:rPr>
          <w:rFonts w:hint="eastAsia"/>
          <w:color w:val="auto"/>
          <w:szCs w:val="21"/>
          <w:highlight w:val="none"/>
        </w:rPr>
        <w:t>候诊呼叫信号系统需与医院的HIS系统对接，无需再单独取号，患者的挂号单就是号票，从HIS系统读取到病人的挂号数据后，根据病人挂号时所挂的科室或者专家名称，进入排队系统中相对应的队列排队。</w:t>
      </w:r>
    </w:p>
    <w:p>
      <w:pPr>
        <w:numPr>
          <w:ilvl w:val="2"/>
          <w:numId w:val="3"/>
        </w:numPr>
        <w:spacing w:after="0" w:line="360" w:lineRule="auto"/>
        <w:ind w:left="736" w:leftChars="100" w:right="12" w:hanging="496" w:hangingChars="207"/>
        <w:rPr>
          <w:color w:val="auto"/>
          <w:szCs w:val="21"/>
          <w:highlight w:val="none"/>
        </w:rPr>
      </w:pPr>
      <w:r>
        <w:rPr>
          <w:rFonts w:hint="eastAsia"/>
          <w:color w:val="auto"/>
          <w:szCs w:val="21"/>
          <w:highlight w:val="none"/>
        </w:rPr>
        <w:t>分诊系统的分诊台软件模块安装在每一台护士站电脑上，用来管理、统计、监控对应科室所有诊室的患者就诊及排队情况。</w:t>
      </w:r>
    </w:p>
    <w:p>
      <w:pPr>
        <w:numPr>
          <w:ilvl w:val="2"/>
          <w:numId w:val="3"/>
        </w:numPr>
        <w:spacing w:after="0" w:line="360" w:lineRule="auto"/>
        <w:ind w:left="736" w:leftChars="100" w:right="12" w:hanging="496" w:hangingChars="207"/>
        <w:rPr>
          <w:color w:val="auto"/>
          <w:szCs w:val="21"/>
          <w:highlight w:val="none"/>
        </w:rPr>
      </w:pPr>
      <w:r>
        <w:rPr>
          <w:rFonts w:hint="eastAsia"/>
          <w:color w:val="auto"/>
          <w:szCs w:val="21"/>
          <w:highlight w:val="none"/>
        </w:rPr>
        <w:t>为方便医院系统维护，排队叫号与信息发布系统支持在同一平台进行管理，软件后台支持一键切换。各终端显示内容（信息发布和排队叫）也须支持相互切换，实现一屏多用。</w:t>
      </w:r>
    </w:p>
    <w:p>
      <w:pPr>
        <w:numPr>
          <w:ilvl w:val="2"/>
          <w:numId w:val="3"/>
        </w:numPr>
        <w:spacing w:after="0" w:line="360" w:lineRule="auto"/>
        <w:ind w:left="736" w:leftChars="100" w:right="12" w:hanging="496" w:hangingChars="207"/>
        <w:rPr>
          <w:color w:val="auto"/>
          <w:szCs w:val="21"/>
          <w:highlight w:val="none"/>
        </w:rPr>
      </w:pPr>
      <w:r>
        <w:rPr>
          <w:rFonts w:hint="eastAsia"/>
          <w:color w:val="auto"/>
          <w:szCs w:val="21"/>
          <w:highlight w:val="none"/>
        </w:rPr>
        <w:t>9层超声科室候诊大厅使用视频矩阵，将信号分配至各信息屏，其中电梯后的信息屏，竖向拼接，每两个一组，采用两路的拼接控制器。同时整个超声科室门口机使用WINDOWS一体机，使用原科室软件。</w:t>
      </w:r>
    </w:p>
    <w:p>
      <w:pPr>
        <w:numPr>
          <w:ilvl w:val="2"/>
          <w:numId w:val="3"/>
        </w:numPr>
        <w:spacing w:after="0" w:line="360" w:lineRule="auto"/>
        <w:ind w:left="736" w:leftChars="100" w:right="12" w:hanging="496" w:hangingChars="207"/>
        <w:rPr>
          <w:color w:val="auto"/>
          <w:szCs w:val="21"/>
          <w:highlight w:val="none"/>
        </w:rPr>
      </w:pPr>
      <w:r>
        <w:rPr>
          <w:rFonts w:hint="eastAsia"/>
          <w:color w:val="auto"/>
          <w:szCs w:val="21"/>
          <w:highlight w:val="none"/>
        </w:rPr>
        <w:t>相关检查的放射科室使用原叫号系统，使用视频分配器，将信号分配置末端点位，末端设备使用普通的显示屏，不需带操作系统。</w:t>
      </w:r>
    </w:p>
    <w:p>
      <w:pPr>
        <w:numPr>
          <w:ilvl w:val="2"/>
          <w:numId w:val="3"/>
        </w:numPr>
        <w:spacing w:after="0" w:line="360" w:lineRule="auto"/>
        <w:ind w:left="736" w:leftChars="100" w:right="12" w:hanging="496" w:hangingChars="207"/>
        <w:rPr>
          <w:color w:val="auto"/>
          <w:szCs w:val="21"/>
          <w:highlight w:val="none"/>
        </w:rPr>
      </w:pPr>
      <w:r>
        <w:rPr>
          <w:rFonts w:hint="eastAsia"/>
          <w:color w:val="auto"/>
          <w:szCs w:val="21"/>
          <w:highlight w:val="none"/>
        </w:rPr>
        <w:t>系统需兼容LED单双基色屏、全彩屏并入系统管理。</w:t>
      </w:r>
    </w:p>
    <w:p>
      <w:pPr>
        <w:numPr>
          <w:ilvl w:val="2"/>
          <w:numId w:val="3"/>
        </w:numPr>
        <w:spacing w:after="0" w:line="360" w:lineRule="auto"/>
        <w:ind w:left="736" w:leftChars="100" w:right="12" w:hanging="496" w:hangingChars="207"/>
        <w:rPr>
          <w:color w:val="auto"/>
          <w:szCs w:val="21"/>
          <w:highlight w:val="none"/>
        </w:rPr>
      </w:pPr>
      <w:r>
        <w:rPr>
          <w:rFonts w:hint="eastAsia"/>
          <w:color w:val="auto"/>
          <w:szCs w:val="21"/>
          <w:highlight w:val="none"/>
        </w:rPr>
        <w:t>前端点位设置</w:t>
      </w:r>
    </w:p>
    <w:p>
      <w:pPr>
        <w:numPr>
          <w:ilvl w:val="0"/>
          <w:numId w:val="20"/>
        </w:numPr>
        <w:spacing w:after="0" w:line="360" w:lineRule="auto"/>
        <w:ind w:left="736" w:leftChars="100" w:right="12" w:hanging="496" w:hangingChars="207"/>
        <w:rPr>
          <w:color w:val="auto"/>
          <w:highlight w:val="none"/>
        </w:rPr>
      </w:pPr>
      <w:r>
        <w:rPr>
          <w:rFonts w:hint="eastAsia"/>
          <w:color w:val="auto"/>
          <w:highlight w:val="none"/>
        </w:rPr>
        <w:t>每个诊室、检查室、治疗室等配置1块32寸液晶终端，最终点位以平面图为准。</w:t>
      </w:r>
    </w:p>
    <w:p>
      <w:pPr>
        <w:numPr>
          <w:ilvl w:val="0"/>
          <w:numId w:val="20"/>
        </w:numPr>
        <w:spacing w:after="0" w:line="360" w:lineRule="auto"/>
        <w:ind w:left="736" w:leftChars="100" w:right="12" w:hanging="496" w:hangingChars="207"/>
        <w:rPr>
          <w:color w:val="auto"/>
          <w:highlight w:val="none"/>
        </w:rPr>
      </w:pPr>
      <w:r>
        <w:rPr>
          <w:rFonts w:hint="eastAsia"/>
          <w:color w:val="auto"/>
          <w:highlight w:val="none"/>
        </w:rPr>
        <w:t>每个护士站均配置一套分诊排队叫号系统。</w:t>
      </w:r>
    </w:p>
    <w:p>
      <w:pPr>
        <w:numPr>
          <w:ilvl w:val="0"/>
          <w:numId w:val="20"/>
        </w:numPr>
        <w:spacing w:after="0" w:line="360" w:lineRule="auto"/>
        <w:ind w:left="736" w:leftChars="100" w:right="12" w:hanging="496" w:hangingChars="207"/>
        <w:rPr>
          <w:color w:val="auto"/>
          <w:highlight w:val="none"/>
        </w:rPr>
      </w:pPr>
      <w:r>
        <w:rPr>
          <w:rFonts w:hint="eastAsia"/>
          <w:color w:val="auto"/>
          <w:highlight w:val="none"/>
        </w:rPr>
        <w:t>触摸屏取号机根据需求相应设置，具体位置以平面图为准。取号机仅预留信息点位，设备由业主配置。</w:t>
      </w:r>
    </w:p>
    <w:p>
      <w:pPr>
        <w:spacing w:after="0" w:line="360" w:lineRule="auto"/>
        <w:ind w:left="1843" w:right="12" w:firstLine="0"/>
        <w:rPr>
          <w:color w:val="auto"/>
          <w:highlight w:val="none"/>
        </w:rPr>
      </w:pPr>
    </w:p>
    <w:p>
      <w:pPr>
        <w:pStyle w:val="3"/>
        <w:numPr>
          <w:ilvl w:val="1"/>
          <w:numId w:val="3"/>
        </w:numPr>
        <w:spacing w:before="0" w:after="0" w:line="360" w:lineRule="auto"/>
        <w:ind w:left="10" w:right="1593"/>
        <w:rPr>
          <w:rFonts w:ascii="宋体" w:hAnsi="宋体" w:eastAsia="宋体" w:cs="Times New Roman"/>
          <w:color w:val="auto"/>
          <w:sz w:val="24"/>
          <w:szCs w:val="24"/>
          <w:highlight w:val="none"/>
        </w:rPr>
      </w:pPr>
      <w:r>
        <w:rPr>
          <w:rFonts w:ascii="宋体" w:hAnsi="宋体" w:eastAsia="宋体" w:cs="Times New Roman"/>
          <w:color w:val="auto"/>
          <w:sz w:val="24"/>
          <w:szCs w:val="24"/>
          <w:highlight w:val="none"/>
        </w:rPr>
        <w:t xml:space="preserve">    系统性能及功能要求 </w:t>
      </w:r>
    </w:p>
    <w:p>
      <w:pPr>
        <w:numPr>
          <w:ilvl w:val="2"/>
          <w:numId w:val="3"/>
        </w:numPr>
        <w:spacing w:after="0" w:line="360" w:lineRule="auto"/>
        <w:ind w:left="1219" w:right="12" w:hanging="979"/>
        <w:rPr>
          <w:rFonts w:hint="eastAsia"/>
          <w:color w:val="auto"/>
          <w:szCs w:val="21"/>
          <w:highlight w:val="none"/>
        </w:rPr>
      </w:pPr>
      <w:r>
        <w:rPr>
          <w:rFonts w:hint="eastAsia"/>
          <w:color w:val="auto"/>
          <w:szCs w:val="21"/>
          <w:highlight w:val="none"/>
        </w:rPr>
        <w:t>检索查询：可实时按医生或专科查看当天或某一时段内就诊情况，包括诊区内当天各候诊队列的候诊人数、已就诊人数，医生工作时长等信息。</w:t>
      </w:r>
    </w:p>
    <w:p>
      <w:pPr>
        <w:numPr>
          <w:ilvl w:val="2"/>
          <w:numId w:val="3"/>
        </w:numPr>
        <w:spacing w:after="0" w:line="360" w:lineRule="auto"/>
        <w:ind w:left="1219" w:right="12" w:hanging="979"/>
        <w:rPr>
          <w:rFonts w:hint="eastAsia"/>
          <w:color w:val="auto"/>
          <w:szCs w:val="21"/>
          <w:highlight w:val="none"/>
        </w:rPr>
      </w:pPr>
      <w:r>
        <w:rPr>
          <w:rFonts w:hint="eastAsia"/>
          <w:color w:val="auto"/>
          <w:szCs w:val="21"/>
          <w:highlight w:val="none"/>
        </w:rPr>
        <w:t>队列监控：可实时查看各个队列的排队情况，包括：等候队列、已就诊队列、专家号队列、普通号队列、过号队列等，便于为患者咨询。</w:t>
      </w:r>
    </w:p>
    <w:p>
      <w:pPr>
        <w:numPr>
          <w:ilvl w:val="2"/>
          <w:numId w:val="3"/>
        </w:numPr>
        <w:spacing w:after="0" w:line="360" w:lineRule="auto"/>
        <w:ind w:left="1219" w:right="12" w:hanging="979"/>
        <w:rPr>
          <w:rFonts w:hint="eastAsia"/>
          <w:color w:val="auto"/>
          <w:szCs w:val="21"/>
          <w:highlight w:val="none"/>
        </w:rPr>
      </w:pPr>
      <w:r>
        <w:rPr>
          <w:rFonts w:hint="eastAsia"/>
          <w:color w:val="auto"/>
          <w:szCs w:val="21"/>
          <w:highlight w:val="none"/>
        </w:rPr>
        <w:t>复诊处理：病人做完医技检查或其它项目后，可回到门诊处签到再次进入队列功能，同时可根据需求设置复诊插队策略，如：优先插队、间隔插队。</w:t>
      </w:r>
    </w:p>
    <w:p>
      <w:pPr>
        <w:numPr>
          <w:ilvl w:val="2"/>
          <w:numId w:val="3"/>
        </w:numPr>
        <w:spacing w:after="0" w:line="360" w:lineRule="auto"/>
        <w:ind w:left="1219" w:right="12" w:hanging="979"/>
        <w:rPr>
          <w:rFonts w:hint="eastAsia"/>
          <w:color w:val="auto"/>
          <w:szCs w:val="21"/>
          <w:highlight w:val="none"/>
        </w:rPr>
      </w:pPr>
      <w:r>
        <w:rPr>
          <w:rFonts w:hint="eastAsia"/>
          <w:color w:val="auto"/>
          <w:szCs w:val="21"/>
          <w:highlight w:val="none"/>
        </w:rPr>
        <w:t>选医生：如果患者需要选医生不需要重新挂号，可以把要选择的医生告诉护士，护士将患者安排在指定的医生队列当中。</w:t>
      </w:r>
    </w:p>
    <w:p>
      <w:pPr>
        <w:numPr>
          <w:ilvl w:val="2"/>
          <w:numId w:val="3"/>
        </w:numPr>
        <w:spacing w:after="0" w:line="360" w:lineRule="auto"/>
        <w:ind w:left="1219" w:right="12" w:hanging="979"/>
        <w:rPr>
          <w:rFonts w:hint="eastAsia"/>
          <w:color w:val="auto"/>
          <w:szCs w:val="21"/>
          <w:highlight w:val="none"/>
        </w:rPr>
      </w:pPr>
      <w:r>
        <w:rPr>
          <w:rFonts w:hint="eastAsia"/>
          <w:color w:val="auto"/>
          <w:szCs w:val="21"/>
          <w:highlight w:val="none"/>
        </w:rPr>
        <w:t>绿色通道：主要是针对特殊病人、老年人、残疾人等需照顾的，可实现优先就诊操作。</w:t>
      </w:r>
    </w:p>
    <w:p>
      <w:pPr>
        <w:numPr>
          <w:ilvl w:val="2"/>
          <w:numId w:val="3"/>
        </w:numPr>
        <w:spacing w:after="0" w:line="360" w:lineRule="auto"/>
        <w:ind w:left="1219" w:right="12" w:hanging="979"/>
        <w:rPr>
          <w:rFonts w:hint="eastAsia"/>
          <w:color w:val="auto"/>
          <w:szCs w:val="21"/>
          <w:highlight w:val="none"/>
        </w:rPr>
      </w:pPr>
      <w:r>
        <w:rPr>
          <w:rFonts w:hint="eastAsia"/>
          <w:color w:val="auto"/>
          <w:szCs w:val="21"/>
          <w:highlight w:val="none"/>
        </w:rPr>
        <w:t>过号处理：医生呼叫未应诊的患者回来就诊时，由护士将患者重新加入到队列当中。分诊护士可以对其进行优先、延后和删除等操作。</w:t>
      </w:r>
    </w:p>
    <w:p>
      <w:pPr>
        <w:numPr>
          <w:ilvl w:val="2"/>
          <w:numId w:val="3"/>
        </w:numPr>
        <w:spacing w:after="0" w:line="360" w:lineRule="auto"/>
        <w:ind w:left="1219" w:right="12" w:hanging="979"/>
        <w:rPr>
          <w:rFonts w:hint="eastAsia"/>
          <w:color w:val="auto"/>
          <w:szCs w:val="21"/>
          <w:highlight w:val="none"/>
        </w:rPr>
      </w:pPr>
      <w:r>
        <w:rPr>
          <w:rFonts w:hint="eastAsia"/>
          <w:color w:val="auto"/>
          <w:szCs w:val="21"/>
          <w:highlight w:val="none"/>
        </w:rPr>
        <w:t>手工录入：对于特殊患者，例如挂错号免费就诊患者，可通过护士分诊台软件将此患者信息手工录入至叫号系统，进行排队。</w:t>
      </w:r>
    </w:p>
    <w:p>
      <w:pPr>
        <w:numPr>
          <w:ilvl w:val="2"/>
          <w:numId w:val="3"/>
        </w:numPr>
        <w:spacing w:after="0" w:line="360" w:lineRule="auto"/>
        <w:ind w:left="1219" w:right="12" w:hanging="979"/>
        <w:rPr>
          <w:rFonts w:hint="eastAsia"/>
          <w:color w:val="auto"/>
          <w:szCs w:val="21"/>
          <w:highlight w:val="none"/>
        </w:rPr>
      </w:pPr>
      <w:r>
        <w:rPr>
          <w:rFonts w:hint="eastAsia"/>
          <w:color w:val="auto"/>
          <w:szCs w:val="21"/>
          <w:highlight w:val="none"/>
        </w:rPr>
        <w:t>重新取号：对于检查科室需要二次排队的情况，可通过护士分诊台进行报到，打印排队小票。</w:t>
      </w:r>
    </w:p>
    <w:p>
      <w:pPr>
        <w:numPr>
          <w:ilvl w:val="2"/>
          <w:numId w:val="3"/>
        </w:numPr>
        <w:spacing w:after="0" w:line="360" w:lineRule="auto"/>
        <w:ind w:left="1219" w:right="12" w:hanging="979"/>
        <w:rPr>
          <w:rFonts w:hint="eastAsia"/>
          <w:color w:val="auto"/>
          <w:szCs w:val="21"/>
          <w:highlight w:val="none"/>
        </w:rPr>
      </w:pPr>
      <w:r>
        <w:rPr>
          <w:rFonts w:hint="eastAsia"/>
          <w:color w:val="auto"/>
          <w:szCs w:val="21"/>
          <w:highlight w:val="none"/>
        </w:rPr>
        <w:t>医生排班：在诊区分诊台下的所有医生，可经分诊台软件对其坐诊时间进行排班，也可支持HIS医生排班表导入。</w:t>
      </w:r>
    </w:p>
    <w:p>
      <w:pPr>
        <w:numPr>
          <w:ilvl w:val="2"/>
          <w:numId w:val="3"/>
        </w:numPr>
        <w:spacing w:after="0" w:line="360" w:lineRule="auto"/>
        <w:ind w:left="1219" w:right="12" w:hanging="979"/>
        <w:rPr>
          <w:rFonts w:hint="eastAsia"/>
          <w:color w:val="auto"/>
          <w:szCs w:val="21"/>
          <w:highlight w:val="none"/>
        </w:rPr>
      </w:pPr>
      <w:r>
        <w:rPr>
          <w:rFonts w:hint="eastAsia"/>
          <w:color w:val="auto"/>
          <w:szCs w:val="21"/>
          <w:highlight w:val="none"/>
        </w:rPr>
        <w:t>在患者不具备检查条件时，护士工作站软件可设置为挂起状态，待具备检查条件时，方可呼叫。</w:t>
      </w:r>
    </w:p>
    <w:p>
      <w:pPr>
        <w:numPr>
          <w:ilvl w:val="2"/>
          <w:numId w:val="3"/>
        </w:numPr>
        <w:spacing w:after="0" w:line="360" w:lineRule="auto"/>
        <w:ind w:left="1219" w:right="12" w:hanging="979"/>
        <w:rPr>
          <w:rFonts w:hint="eastAsia"/>
          <w:color w:val="auto"/>
          <w:szCs w:val="21"/>
          <w:highlight w:val="none"/>
        </w:rPr>
      </w:pPr>
      <w:r>
        <w:rPr>
          <w:rFonts w:hint="eastAsia"/>
          <w:color w:val="auto"/>
          <w:szCs w:val="21"/>
          <w:highlight w:val="none"/>
        </w:rPr>
        <w:t>文本语音发布：通过分诊台软件，护士可手工录入或导入文本信息，并指定诊区信息屏进行语音播放。</w:t>
      </w:r>
    </w:p>
    <w:p>
      <w:pPr>
        <w:numPr>
          <w:ilvl w:val="2"/>
          <w:numId w:val="3"/>
        </w:numPr>
        <w:spacing w:after="0" w:line="360" w:lineRule="auto"/>
        <w:ind w:left="1219" w:right="12" w:hanging="979"/>
        <w:rPr>
          <w:rFonts w:hint="eastAsia"/>
          <w:color w:val="auto"/>
          <w:szCs w:val="21"/>
          <w:highlight w:val="none"/>
        </w:rPr>
      </w:pPr>
      <w:r>
        <w:rPr>
          <w:rFonts w:hint="eastAsia"/>
          <w:color w:val="auto"/>
          <w:szCs w:val="21"/>
          <w:highlight w:val="none"/>
        </w:rPr>
        <w:t>院内预约：系统需支持预约功能，可按照未来某一天某个时段对患者进行预约，有效分散患者就诊时间；具备预约时段管理，时段跨度可根据采购人情况进行调整；具备预约人数管理，要求时段内预约人数峰值可以自由设定；具备预警功能，当时段内预约人数临近或超出设定峰值，系统要有提醒功能，通过警示色或者拒绝预约等方式提示。</w:t>
      </w:r>
    </w:p>
    <w:p>
      <w:pPr>
        <w:numPr>
          <w:ilvl w:val="2"/>
          <w:numId w:val="3"/>
        </w:numPr>
        <w:spacing w:after="0" w:line="360" w:lineRule="auto"/>
        <w:ind w:left="1219" w:right="12" w:hanging="979"/>
        <w:rPr>
          <w:rFonts w:hint="eastAsia"/>
          <w:color w:val="auto"/>
          <w:szCs w:val="21"/>
          <w:highlight w:val="none"/>
        </w:rPr>
      </w:pPr>
      <w:r>
        <w:rPr>
          <w:rFonts w:hint="eastAsia"/>
          <w:color w:val="auto"/>
          <w:szCs w:val="21"/>
          <w:highlight w:val="none"/>
        </w:rPr>
        <w:t>辅助决策：系统需支持门诊辅助决策功能，系统支持收集与门诊医疗服务有关的数据资料，并进行整理和分析，反映门诊医疗服务的数量和质量，为加强门诊科学管理提供依据的活动，根据院内门诊数据，通过分类和统计，以图表形式呈现，以数据内容支撑院内门诊的决策。</w:t>
      </w:r>
    </w:p>
    <w:p>
      <w:pPr>
        <w:numPr>
          <w:ilvl w:val="2"/>
          <w:numId w:val="3"/>
        </w:numPr>
        <w:spacing w:after="0" w:line="360" w:lineRule="auto"/>
        <w:ind w:left="1219" w:right="12" w:hanging="979"/>
        <w:rPr>
          <w:rFonts w:hint="eastAsia"/>
          <w:color w:val="auto"/>
          <w:szCs w:val="21"/>
          <w:highlight w:val="none"/>
        </w:rPr>
      </w:pPr>
      <w:r>
        <w:rPr>
          <w:rFonts w:hint="eastAsia"/>
          <w:color w:val="auto"/>
          <w:szCs w:val="21"/>
          <w:highlight w:val="none"/>
        </w:rPr>
        <w:t>新冠预检：根据我院实际使用需求，分诊台软件需增加新冠预分诊功能，跟满意度系统做接口，展示调查结果。</w:t>
      </w:r>
    </w:p>
    <w:p>
      <w:pPr>
        <w:numPr>
          <w:ilvl w:val="2"/>
          <w:numId w:val="3"/>
        </w:numPr>
        <w:spacing w:after="0" w:line="360" w:lineRule="auto"/>
        <w:ind w:left="1219" w:right="12" w:hanging="979"/>
        <w:rPr>
          <w:rFonts w:hint="eastAsia"/>
          <w:color w:val="auto"/>
          <w:szCs w:val="21"/>
          <w:highlight w:val="none"/>
        </w:rPr>
      </w:pPr>
      <w:r>
        <w:rPr>
          <w:rFonts w:hint="eastAsia"/>
          <w:color w:val="auto"/>
          <w:szCs w:val="21"/>
          <w:highlight w:val="none"/>
        </w:rPr>
        <w:t>优先级别：根据我院实际使用需求，系统需满足排队叫号的7个级别的排队优先顺序，且可根据不同科室的需求，自定义设置个优先级别患者的插队规则；</w:t>
      </w:r>
    </w:p>
    <w:p>
      <w:pPr>
        <w:numPr>
          <w:ilvl w:val="2"/>
          <w:numId w:val="3"/>
        </w:numPr>
        <w:spacing w:after="0" w:line="360" w:lineRule="auto"/>
        <w:ind w:left="1219" w:right="12" w:hanging="979"/>
        <w:rPr>
          <w:rFonts w:hint="eastAsia"/>
          <w:color w:val="auto"/>
          <w:szCs w:val="21"/>
          <w:highlight w:val="none"/>
        </w:rPr>
      </w:pPr>
      <w:r>
        <w:rPr>
          <w:rFonts w:hint="eastAsia"/>
          <w:color w:val="auto"/>
          <w:szCs w:val="21"/>
          <w:highlight w:val="none"/>
        </w:rPr>
        <w:t>复诊（返诊）处理：根据我院实际使用需求，对于检后患者看诊情况，只能在分诊台由工作人员判断符合条件，才能报道；系统需按照当次班源，且与初诊医生为同一个医生；</w:t>
      </w:r>
    </w:p>
    <w:p>
      <w:pPr>
        <w:numPr>
          <w:ilvl w:val="2"/>
          <w:numId w:val="3"/>
        </w:numPr>
        <w:spacing w:after="0" w:line="360" w:lineRule="auto"/>
        <w:ind w:left="1219" w:right="12" w:hanging="979"/>
        <w:rPr>
          <w:color w:val="auto"/>
          <w:szCs w:val="21"/>
          <w:highlight w:val="none"/>
        </w:rPr>
      </w:pPr>
      <w:r>
        <w:rPr>
          <w:rFonts w:hint="eastAsia"/>
          <w:color w:val="auto"/>
          <w:szCs w:val="21"/>
          <w:highlight w:val="none"/>
        </w:rPr>
        <w:t>过号处理：</w:t>
      </w:r>
      <w:r>
        <w:rPr>
          <w:rFonts w:hint="eastAsia"/>
          <w:color w:val="auto"/>
          <w:highlight w:val="none"/>
        </w:rPr>
        <w:t>根据我院实际使用需求，</w:t>
      </w:r>
      <w:r>
        <w:rPr>
          <w:color w:val="auto"/>
          <w:highlight w:val="none"/>
        </w:rPr>
        <w:t>系统</w:t>
      </w:r>
      <w:r>
        <w:rPr>
          <w:rFonts w:hint="eastAsia"/>
          <w:color w:val="auto"/>
          <w:highlight w:val="none"/>
        </w:rPr>
        <w:t>需支持</w:t>
      </w:r>
      <w:r>
        <w:rPr>
          <w:color w:val="auto"/>
          <w:highlight w:val="none"/>
        </w:rPr>
        <w:t>自动判断该患者是否首次过号，如果是首次过号将直接安排在门口等候患者</w:t>
      </w:r>
      <w:r>
        <w:rPr>
          <w:rFonts w:hint="eastAsia"/>
          <w:color w:val="auto"/>
          <w:highlight w:val="none"/>
        </w:rPr>
        <w:t>的</w:t>
      </w:r>
      <w:r>
        <w:rPr>
          <w:color w:val="auto"/>
          <w:highlight w:val="none"/>
        </w:rPr>
        <w:t>后面排队等候。</w:t>
      </w:r>
      <w:r>
        <w:rPr>
          <w:rFonts w:hint="eastAsia"/>
          <w:color w:val="auto"/>
          <w:highlight w:val="none"/>
        </w:rPr>
        <w:t>第二次及以上的过号患者，需到分诊台由护士人工报道，且可根据不同科室需求，设置不同的过号惩罚；</w:t>
      </w:r>
    </w:p>
    <w:p>
      <w:pPr>
        <w:numPr>
          <w:ilvl w:val="2"/>
          <w:numId w:val="3"/>
        </w:numPr>
        <w:spacing w:after="0" w:line="360" w:lineRule="auto"/>
        <w:ind w:left="1219" w:right="12" w:hanging="979"/>
        <w:rPr>
          <w:color w:val="auto"/>
          <w:szCs w:val="21"/>
          <w:highlight w:val="none"/>
        </w:rPr>
      </w:pPr>
      <w:r>
        <w:rPr>
          <w:rFonts w:hint="eastAsia"/>
          <w:color w:val="auto"/>
          <w:highlight w:val="none"/>
        </w:rPr>
        <w:t>统计模块：根据我院实际使用需求，系统需具备患者平均就诊时长、平均候诊时长的统计，且可提供一套符合院方实际使用需求的算法，比如迟到报道患者、提前报道患者。</w:t>
      </w:r>
    </w:p>
    <w:p>
      <w:pPr>
        <w:numPr>
          <w:ilvl w:val="2"/>
          <w:numId w:val="3"/>
        </w:numPr>
        <w:spacing w:after="0" w:line="360" w:lineRule="auto"/>
        <w:ind w:left="1219" w:right="12" w:hanging="979"/>
        <w:rPr>
          <w:color w:val="auto"/>
          <w:highlight w:val="none"/>
        </w:rPr>
      </w:pPr>
      <w:r>
        <w:rPr>
          <w:rFonts w:hint="eastAsia"/>
          <w:color w:val="auto"/>
          <w:highlight w:val="none"/>
        </w:rPr>
        <w:t>虚拟叫号器内嵌：根据实际使用需求，医生端虚拟叫号器需支持内嵌到现有的医生工作站，满足医生的使用需求，且包含一切对接所需费用。</w:t>
      </w:r>
    </w:p>
    <w:p>
      <w:pPr>
        <w:numPr>
          <w:ilvl w:val="2"/>
          <w:numId w:val="3"/>
        </w:numPr>
        <w:spacing w:after="0" w:line="360" w:lineRule="auto"/>
        <w:ind w:left="1219" w:right="12" w:hanging="979"/>
        <w:rPr>
          <w:color w:val="auto"/>
          <w:highlight w:val="none"/>
        </w:rPr>
      </w:pPr>
      <w:r>
        <w:rPr>
          <w:rFonts w:hint="eastAsia"/>
          <w:color w:val="auto"/>
          <w:kern w:val="0"/>
          <w:szCs w:val="21"/>
          <w:highlight w:val="none"/>
        </w:rPr>
        <w:t>可开放叫号器功能接口，允许第三方系统调用。</w:t>
      </w:r>
    </w:p>
    <w:p>
      <w:pPr>
        <w:numPr>
          <w:ilvl w:val="2"/>
          <w:numId w:val="3"/>
        </w:numPr>
        <w:spacing w:after="0" w:line="360" w:lineRule="auto"/>
        <w:ind w:left="1219" w:right="12" w:hanging="979"/>
        <w:rPr>
          <w:color w:val="auto"/>
          <w:highlight w:val="none"/>
        </w:rPr>
      </w:pPr>
      <w:r>
        <w:rPr>
          <w:rFonts w:hint="eastAsia"/>
          <w:color w:val="auto"/>
          <w:szCs w:val="21"/>
          <w:highlight w:val="none"/>
        </w:rPr>
        <w:t>需提供具有无版权争议的健康宣教视频不少于100部，覆盖不少于25个科室，每部时长约3-6分钟，包括但不限于病症、病因、诊断、预防等内容。</w:t>
      </w:r>
    </w:p>
    <w:p>
      <w:pPr>
        <w:numPr>
          <w:ilvl w:val="2"/>
          <w:numId w:val="3"/>
        </w:numPr>
        <w:spacing w:after="0" w:line="360" w:lineRule="auto"/>
        <w:ind w:left="1219" w:right="12" w:hanging="979"/>
        <w:rPr>
          <w:color w:val="auto"/>
          <w:highlight w:val="none"/>
        </w:rPr>
      </w:pPr>
      <w:r>
        <w:rPr>
          <w:rFonts w:hint="eastAsia"/>
          <w:color w:val="auto"/>
          <w:szCs w:val="21"/>
          <w:highlight w:val="none"/>
        </w:rPr>
        <w:t>需支持呼救功能；</w:t>
      </w:r>
    </w:p>
    <w:p>
      <w:pPr>
        <w:numPr>
          <w:ilvl w:val="2"/>
          <w:numId w:val="3"/>
        </w:numPr>
        <w:spacing w:after="0" w:line="360" w:lineRule="auto"/>
        <w:ind w:left="1219" w:right="12" w:hanging="979"/>
        <w:rPr>
          <w:color w:val="auto"/>
          <w:highlight w:val="none"/>
        </w:rPr>
      </w:pPr>
      <w:r>
        <w:rPr>
          <w:rFonts w:hint="eastAsia"/>
          <w:color w:val="auto"/>
          <w:szCs w:val="21"/>
          <w:highlight w:val="none"/>
        </w:rPr>
        <w:t>系统需具备与微信公众号对接能力，</w:t>
      </w:r>
      <w:r>
        <w:rPr>
          <w:color w:val="auto"/>
          <w:highlight w:val="none"/>
        </w:rPr>
        <w:t>系统应具备扫一扫二维码查询排队进度功能</w:t>
      </w:r>
      <w:r>
        <w:rPr>
          <w:rFonts w:hint="eastAsia"/>
          <w:color w:val="auto"/>
          <w:highlight w:val="none"/>
        </w:rPr>
        <w:t>，应具备患者主动查询排队信息功能；</w:t>
      </w:r>
      <w:r>
        <w:rPr>
          <w:color w:val="auto"/>
          <w:highlight w:val="none"/>
        </w:rPr>
        <w:t>应具备叫号预备推送功能</w:t>
      </w:r>
      <w:r>
        <w:rPr>
          <w:rFonts w:hint="eastAsia"/>
          <w:color w:val="auto"/>
          <w:highlight w:val="none"/>
        </w:rPr>
        <w:t>，让用户提前准备的功能。</w:t>
      </w:r>
    </w:p>
    <w:p>
      <w:pPr>
        <w:numPr>
          <w:ilvl w:val="2"/>
          <w:numId w:val="3"/>
        </w:numPr>
        <w:spacing w:after="0" w:line="360" w:lineRule="auto"/>
        <w:ind w:left="1219" w:right="12" w:hanging="979"/>
        <w:rPr>
          <w:color w:val="auto"/>
          <w:highlight w:val="none"/>
        </w:rPr>
      </w:pPr>
      <w:r>
        <w:rPr>
          <w:rFonts w:hint="eastAsia"/>
          <w:color w:val="auto"/>
          <w:kern w:val="0"/>
          <w:szCs w:val="21"/>
          <w:highlight w:val="none"/>
        </w:rPr>
        <w:t>投标人需提供智能化、视频化的门诊健康教育功能，可实现通过本次招标中的任意终端设备，提供门诊患者健康教育视频服务功能，支持患者移动端设备如手机访问及使用，可访问云端服务器实现宣教内容的交互式点播查看。系统可单独运行或与医院互联网医院系统进行对接后供患者使用。系统后台的操作内容主要包括：视频编辑、视频管理、分类管理、科室管理、播放量统计等相关功能。</w:t>
      </w:r>
    </w:p>
    <w:p>
      <w:pPr>
        <w:numPr>
          <w:ilvl w:val="2"/>
          <w:numId w:val="3"/>
        </w:numPr>
        <w:spacing w:after="0" w:line="360" w:lineRule="auto"/>
        <w:ind w:left="1219" w:right="12" w:hanging="979"/>
        <w:rPr>
          <w:color w:val="auto"/>
          <w:highlight w:val="none"/>
        </w:rPr>
      </w:pPr>
      <w:r>
        <w:rPr>
          <w:rFonts w:hint="eastAsia"/>
          <w:color w:val="auto"/>
          <w:kern w:val="0"/>
          <w:szCs w:val="21"/>
          <w:highlight w:val="none"/>
        </w:rPr>
        <w:t>系统需支持由护士操作为患者做批量报到的功能。</w:t>
      </w:r>
    </w:p>
    <w:p>
      <w:pPr>
        <w:numPr>
          <w:ilvl w:val="2"/>
          <w:numId w:val="3"/>
        </w:numPr>
        <w:spacing w:after="0" w:line="360" w:lineRule="auto"/>
        <w:ind w:left="1219" w:right="12" w:hanging="979"/>
        <w:rPr>
          <w:rFonts w:hint="eastAsia"/>
          <w:color w:val="auto"/>
          <w:szCs w:val="21"/>
          <w:highlight w:val="none"/>
        </w:rPr>
      </w:pPr>
      <w:r>
        <w:rPr>
          <w:rFonts w:hint="eastAsia"/>
          <w:color w:val="auto"/>
          <w:szCs w:val="21"/>
          <w:highlight w:val="none"/>
        </w:rPr>
        <w:t>需满足医院对于多媒体医疗导引系统平台的定制化需求，可进行软件二次开发。</w:t>
      </w:r>
    </w:p>
    <w:p>
      <w:pPr>
        <w:numPr>
          <w:ilvl w:val="2"/>
          <w:numId w:val="3"/>
        </w:numPr>
        <w:spacing w:after="0" w:line="360" w:lineRule="auto"/>
        <w:ind w:left="1219" w:right="12" w:hanging="979"/>
        <w:rPr>
          <w:color w:val="auto"/>
          <w:highlight w:val="none"/>
        </w:rPr>
      </w:pPr>
      <w:r>
        <w:rPr>
          <w:rFonts w:hint="eastAsia"/>
          <w:color w:val="auto"/>
          <w:szCs w:val="21"/>
          <w:highlight w:val="none"/>
        </w:rPr>
        <w:t>为方便医院统一管理，本次所招安卓硬件，需支持与医院原多媒体医疗导引系统软件适配，支持实现远程管理，如: 远程定时开关机，开关屏，远程更换播放内容，远程调节音量，远程截屏，远程升级等等相关功能;</w:t>
      </w:r>
    </w:p>
    <w:p>
      <w:pPr>
        <w:spacing w:after="0" w:line="360" w:lineRule="auto"/>
        <w:ind w:left="240" w:right="12" w:firstLine="0"/>
        <w:rPr>
          <w:color w:val="auto"/>
          <w:highlight w:val="none"/>
        </w:rPr>
      </w:pPr>
    </w:p>
    <w:p>
      <w:pPr>
        <w:pStyle w:val="3"/>
        <w:numPr>
          <w:ilvl w:val="1"/>
          <w:numId w:val="3"/>
        </w:numPr>
        <w:spacing w:before="0" w:after="0" w:line="360" w:lineRule="auto"/>
        <w:ind w:left="10" w:right="1593"/>
        <w:rPr>
          <w:rFonts w:ascii="宋体" w:hAnsi="宋体" w:eastAsia="宋体" w:cs="Times New Roman"/>
          <w:color w:val="auto"/>
          <w:sz w:val="24"/>
          <w:szCs w:val="24"/>
          <w:highlight w:val="none"/>
        </w:rPr>
      </w:pPr>
      <w:r>
        <w:rPr>
          <w:rFonts w:ascii="宋体" w:hAnsi="宋体" w:eastAsia="宋体" w:cs="Times New Roman"/>
          <w:color w:val="auto"/>
          <w:sz w:val="24"/>
          <w:szCs w:val="24"/>
          <w:highlight w:val="none"/>
        </w:rPr>
        <w:t xml:space="preserve"> </w:t>
      </w:r>
      <w:r>
        <w:rPr>
          <w:rFonts w:hint="eastAsia" w:ascii="宋体" w:hAnsi="宋体" w:eastAsia="宋体" w:cs="Times New Roman"/>
          <w:color w:val="auto"/>
          <w:sz w:val="24"/>
          <w:szCs w:val="24"/>
          <w:highlight w:val="none"/>
        </w:rPr>
        <w:t xml:space="preserve"> </w:t>
      </w:r>
      <w:r>
        <w:rPr>
          <w:rFonts w:ascii="宋体" w:hAnsi="宋体" w:eastAsia="宋体" w:cs="Times New Roman"/>
          <w:color w:val="auto"/>
          <w:sz w:val="24"/>
          <w:szCs w:val="24"/>
          <w:highlight w:val="none"/>
        </w:rPr>
        <w:t xml:space="preserve">  设备规格要求 </w:t>
      </w:r>
    </w:p>
    <w:p>
      <w:pPr>
        <w:numPr>
          <w:ilvl w:val="2"/>
          <w:numId w:val="3"/>
        </w:numPr>
        <w:spacing w:after="0" w:line="360" w:lineRule="auto"/>
        <w:ind w:left="976" w:leftChars="100" w:right="12" w:hanging="736" w:hangingChars="307"/>
        <w:rPr>
          <w:color w:val="auto"/>
          <w:highlight w:val="none"/>
        </w:rPr>
      </w:pPr>
      <w:r>
        <w:rPr>
          <w:color w:val="auto"/>
          <w:highlight w:val="none"/>
        </w:rPr>
        <w:t>32英寸网络液晶一体机</w:t>
      </w:r>
      <w:r>
        <w:rPr>
          <w:rFonts w:hint="eastAsia"/>
          <w:color w:val="auto"/>
          <w:highlight w:val="none"/>
        </w:rPr>
        <w:t>技术要求</w:t>
      </w:r>
    </w:p>
    <w:p>
      <w:pPr>
        <w:numPr>
          <w:ilvl w:val="0"/>
          <w:numId w:val="21"/>
        </w:numPr>
        <w:spacing w:after="0" w:line="360" w:lineRule="auto"/>
        <w:ind w:left="1203" w:right="12" w:hanging="3"/>
        <w:rPr>
          <w:color w:val="auto"/>
          <w:highlight w:val="none"/>
        </w:rPr>
      </w:pPr>
      <w:r>
        <w:rPr>
          <w:rFonts w:hint="eastAsia"/>
          <w:color w:val="auto"/>
          <w:highlight w:val="none"/>
        </w:rPr>
        <w:t>尺寸：约</w:t>
      </w:r>
      <w:r>
        <w:rPr>
          <w:color w:val="auto"/>
          <w:highlight w:val="none"/>
        </w:rPr>
        <w:t>32英寸，</w:t>
      </w:r>
    </w:p>
    <w:p>
      <w:pPr>
        <w:numPr>
          <w:ilvl w:val="0"/>
          <w:numId w:val="21"/>
        </w:numPr>
        <w:spacing w:after="0" w:line="360" w:lineRule="auto"/>
        <w:ind w:left="1203" w:right="12" w:hanging="3"/>
        <w:rPr>
          <w:color w:val="auto"/>
          <w:highlight w:val="none"/>
        </w:rPr>
      </w:pPr>
      <w:r>
        <w:rPr>
          <w:rFonts w:hint="eastAsia"/>
          <w:color w:val="auto"/>
          <w:highlight w:val="none"/>
        </w:rPr>
        <w:t>CPU：A64，不低于ARM Cortex A53，1.5GHZ ，GPU：不低于4核Mali400 ，内存：不低于1GB，外存储：不低于eMMC 8GB</w:t>
      </w:r>
      <w:r>
        <w:rPr>
          <w:color w:val="auto"/>
          <w:highlight w:val="none"/>
        </w:rPr>
        <w:t>，</w:t>
      </w:r>
    </w:p>
    <w:p>
      <w:pPr>
        <w:numPr>
          <w:ilvl w:val="0"/>
          <w:numId w:val="21"/>
        </w:numPr>
        <w:spacing w:after="0" w:line="360" w:lineRule="auto"/>
        <w:ind w:left="1203" w:right="12" w:hanging="3"/>
        <w:rPr>
          <w:color w:val="auto"/>
          <w:highlight w:val="none"/>
        </w:rPr>
      </w:pPr>
      <w:r>
        <w:rPr>
          <w:color w:val="auto"/>
          <w:highlight w:val="none"/>
        </w:rPr>
        <w:t>屏显比例：16：9</w:t>
      </w:r>
      <w:r>
        <w:rPr>
          <w:rFonts w:hint="eastAsia"/>
          <w:color w:val="auto"/>
          <w:highlight w:val="none"/>
        </w:rPr>
        <w:t>，支持1080P</w:t>
      </w:r>
    </w:p>
    <w:p>
      <w:pPr>
        <w:numPr>
          <w:ilvl w:val="0"/>
          <w:numId w:val="21"/>
        </w:numPr>
        <w:spacing w:after="0" w:line="360" w:lineRule="auto"/>
        <w:ind w:left="1203" w:right="12" w:hanging="3"/>
        <w:rPr>
          <w:color w:val="auto"/>
          <w:highlight w:val="none"/>
        </w:rPr>
      </w:pPr>
      <w:r>
        <w:rPr>
          <w:color w:val="auto"/>
          <w:highlight w:val="none"/>
        </w:rPr>
        <w:t>亮度：不低于</w:t>
      </w:r>
      <w:r>
        <w:rPr>
          <w:rFonts w:hint="eastAsia"/>
          <w:color w:val="auto"/>
          <w:highlight w:val="none"/>
          <w:lang w:val="en-US" w:eastAsia="zh-CN"/>
        </w:rPr>
        <w:t>35</w:t>
      </w:r>
      <w:r>
        <w:rPr>
          <w:color w:val="auto"/>
          <w:highlight w:val="none"/>
        </w:rPr>
        <w:t>0cd/m²，</w:t>
      </w:r>
    </w:p>
    <w:p>
      <w:pPr>
        <w:numPr>
          <w:ilvl w:val="0"/>
          <w:numId w:val="21"/>
        </w:numPr>
        <w:spacing w:after="0" w:line="360" w:lineRule="auto"/>
        <w:ind w:left="1203" w:right="12" w:hanging="3"/>
        <w:rPr>
          <w:color w:val="auto"/>
          <w:highlight w:val="none"/>
        </w:rPr>
      </w:pPr>
      <w:r>
        <w:rPr>
          <w:rFonts w:hint="eastAsia"/>
          <w:color w:val="auto"/>
          <w:highlight w:val="none"/>
        </w:rPr>
        <w:t>系统：不低于Android 6.0</w:t>
      </w:r>
    </w:p>
    <w:p>
      <w:pPr>
        <w:numPr>
          <w:ilvl w:val="0"/>
          <w:numId w:val="21"/>
        </w:numPr>
        <w:spacing w:after="0" w:line="360" w:lineRule="auto"/>
        <w:ind w:left="1203" w:right="12" w:hanging="3"/>
        <w:rPr>
          <w:color w:val="auto"/>
          <w:highlight w:val="none"/>
        </w:rPr>
      </w:pPr>
      <w:r>
        <w:rPr>
          <w:rFonts w:hint="eastAsia"/>
          <w:color w:val="auto"/>
          <w:highlight w:val="none"/>
        </w:rPr>
        <w:t>数据接口：USB2.0*2 、TFcard*1</w:t>
      </w:r>
    </w:p>
    <w:p>
      <w:pPr>
        <w:numPr>
          <w:ilvl w:val="0"/>
          <w:numId w:val="21"/>
        </w:numPr>
        <w:spacing w:after="0" w:line="360" w:lineRule="auto"/>
        <w:ind w:left="1203" w:right="12" w:hanging="3"/>
        <w:rPr>
          <w:color w:val="auto"/>
          <w:highlight w:val="none"/>
        </w:rPr>
      </w:pPr>
      <w:r>
        <w:rPr>
          <w:color w:val="auto"/>
          <w:highlight w:val="none"/>
        </w:rPr>
        <w:t>通信接口：10/100Mbps，</w:t>
      </w:r>
    </w:p>
    <w:p>
      <w:pPr>
        <w:numPr>
          <w:ilvl w:val="0"/>
          <w:numId w:val="21"/>
        </w:numPr>
        <w:spacing w:after="0" w:line="360" w:lineRule="auto"/>
        <w:ind w:left="1203" w:right="12" w:hanging="3"/>
        <w:rPr>
          <w:color w:val="auto"/>
          <w:highlight w:val="none"/>
        </w:rPr>
      </w:pPr>
      <w:r>
        <w:rPr>
          <w:rFonts w:hint="eastAsia"/>
          <w:color w:val="auto"/>
          <w:highlight w:val="none"/>
        </w:rPr>
        <w:t>音频格式需支持：</w:t>
      </w:r>
      <w:r>
        <w:rPr>
          <w:color w:val="auto"/>
          <w:highlight w:val="none"/>
        </w:rPr>
        <w:t>MP3/WMA/AAC，</w:t>
      </w:r>
    </w:p>
    <w:p>
      <w:pPr>
        <w:numPr>
          <w:ilvl w:val="0"/>
          <w:numId w:val="21"/>
        </w:numPr>
        <w:spacing w:after="0" w:line="360" w:lineRule="auto"/>
        <w:ind w:left="1203" w:right="12" w:hanging="3"/>
        <w:rPr>
          <w:color w:val="auto"/>
          <w:highlight w:val="none"/>
        </w:rPr>
      </w:pPr>
      <w:r>
        <w:rPr>
          <w:color w:val="auto"/>
          <w:highlight w:val="none"/>
        </w:rPr>
        <w:t>高清视频格式需支持：RMVB/AVI/MPG/MKV/VOB/MP4，</w:t>
      </w:r>
    </w:p>
    <w:p>
      <w:pPr>
        <w:numPr>
          <w:ilvl w:val="0"/>
          <w:numId w:val="21"/>
        </w:numPr>
        <w:spacing w:after="0" w:line="360" w:lineRule="auto"/>
        <w:ind w:left="1203" w:right="12" w:hanging="3"/>
        <w:rPr>
          <w:color w:val="auto"/>
          <w:highlight w:val="none"/>
        </w:rPr>
      </w:pPr>
      <w:r>
        <w:rPr>
          <w:color w:val="auto"/>
          <w:highlight w:val="none"/>
        </w:rPr>
        <w:t>图片格式需支持：JPEG/BMP/PNG</w:t>
      </w:r>
    </w:p>
    <w:p>
      <w:pPr>
        <w:numPr>
          <w:ilvl w:val="0"/>
          <w:numId w:val="21"/>
        </w:numPr>
        <w:spacing w:after="0" w:line="360" w:lineRule="auto"/>
        <w:ind w:left="1203" w:right="12" w:hanging="3"/>
        <w:rPr>
          <w:color w:val="auto"/>
          <w:highlight w:val="none"/>
        </w:rPr>
      </w:pPr>
      <w:r>
        <w:rPr>
          <w:rFonts w:hint="eastAsia"/>
          <w:color w:val="auto"/>
          <w:szCs w:val="21"/>
          <w:highlight w:val="none"/>
        </w:rPr>
        <w:t>内置RTC时钟，支持全天多时段定时开关机</w:t>
      </w:r>
    </w:p>
    <w:p>
      <w:pPr>
        <w:numPr>
          <w:ilvl w:val="255"/>
          <w:numId w:val="0"/>
        </w:numPr>
        <w:spacing w:after="0" w:line="360" w:lineRule="auto"/>
        <w:ind w:left="1423" w:right="12"/>
        <w:rPr>
          <w:color w:val="auto"/>
          <w:highlight w:val="none"/>
        </w:rPr>
      </w:pPr>
    </w:p>
    <w:p>
      <w:pPr>
        <w:numPr>
          <w:ilvl w:val="2"/>
          <w:numId w:val="3"/>
        </w:numPr>
        <w:spacing w:after="0" w:line="360" w:lineRule="auto"/>
        <w:ind w:left="976" w:leftChars="100" w:right="12" w:hanging="736" w:hangingChars="307"/>
        <w:rPr>
          <w:color w:val="auto"/>
          <w:highlight w:val="none"/>
        </w:rPr>
      </w:pPr>
      <w:r>
        <w:rPr>
          <w:color w:val="auto"/>
          <w:highlight w:val="none"/>
        </w:rPr>
        <w:t>32英寸网络液晶一体机</w:t>
      </w:r>
      <w:r>
        <w:rPr>
          <w:rFonts w:hint="eastAsia"/>
          <w:color w:val="auto"/>
          <w:highlight w:val="none"/>
        </w:rPr>
        <w:t>技术要求（超声科门诊使用）</w:t>
      </w:r>
    </w:p>
    <w:p>
      <w:pPr>
        <w:numPr>
          <w:ilvl w:val="0"/>
          <w:numId w:val="22"/>
        </w:numPr>
        <w:spacing w:after="0" w:line="360" w:lineRule="auto"/>
        <w:ind w:leftChars="177" w:right="12" w:firstLine="772" w:firstLineChars="322"/>
        <w:rPr>
          <w:color w:val="auto"/>
          <w:highlight w:val="none"/>
        </w:rPr>
      </w:pPr>
      <w:r>
        <w:rPr>
          <w:rFonts w:hint="eastAsia"/>
          <w:color w:val="auto"/>
          <w:highlight w:val="none"/>
        </w:rPr>
        <w:t>尺寸：约</w:t>
      </w:r>
      <w:r>
        <w:rPr>
          <w:color w:val="auto"/>
          <w:highlight w:val="none"/>
        </w:rPr>
        <w:t>32英寸，</w:t>
      </w:r>
    </w:p>
    <w:p>
      <w:pPr>
        <w:numPr>
          <w:ilvl w:val="0"/>
          <w:numId w:val="22"/>
        </w:numPr>
        <w:spacing w:after="0" w:line="360" w:lineRule="auto"/>
        <w:ind w:leftChars="177" w:right="12" w:firstLine="772" w:firstLineChars="322"/>
        <w:rPr>
          <w:color w:val="auto"/>
          <w:highlight w:val="none"/>
        </w:rPr>
      </w:pPr>
      <w:r>
        <w:rPr>
          <w:color w:val="auto"/>
          <w:highlight w:val="none"/>
        </w:rPr>
        <w:t>CPU：</w:t>
      </w:r>
      <w:r>
        <w:rPr>
          <w:rFonts w:hint="eastAsia"/>
          <w:color w:val="auto"/>
          <w:highlight w:val="none"/>
        </w:rPr>
        <w:t>酷睿I5</w:t>
      </w:r>
      <w:r>
        <w:rPr>
          <w:color w:val="auto"/>
          <w:highlight w:val="none"/>
        </w:rPr>
        <w:t>，</w:t>
      </w:r>
      <w:r>
        <w:rPr>
          <w:rFonts w:hint="eastAsia"/>
          <w:color w:val="auto"/>
          <w:highlight w:val="none"/>
        </w:rPr>
        <w:t>8G内存，240G固态硬盘</w:t>
      </w:r>
    </w:p>
    <w:p>
      <w:pPr>
        <w:numPr>
          <w:ilvl w:val="0"/>
          <w:numId w:val="22"/>
        </w:numPr>
        <w:spacing w:after="0" w:line="360" w:lineRule="auto"/>
        <w:ind w:leftChars="177" w:right="12" w:firstLine="772" w:firstLineChars="322"/>
        <w:rPr>
          <w:color w:val="auto"/>
          <w:highlight w:val="none"/>
        </w:rPr>
      </w:pPr>
      <w:r>
        <w:rPr>
          <w:color w:val="auto"/>
          <w:highlight w:val="none"/>
        </w:rPr>
        <w:t>屏显比例：16：9</w:t>
      </w:r>
      <w:r>
        <w:rPr>
          <w:rFonts w:hint="eastAsia"/>
          <w:color w:val="auto"/>
          <w:highlight w:val="none"/>
        </w:rPr>
        <w:t>，支持1080P</w:t>
      </w:r>
    </w:p>
    <w:p>
      <w:pPr>
        <w:numPr>
          <w:ilvl w:val="0"/>
          <w:numId w:val="22"/>
        </w:numPr>
        <w:spacing w:after="0" w:line="360" w:lineRule="auto"/>
        <w:ind w:leftChars="177" w:right="12" w:firstLine="772" w:firstLineChars="322"/>
        <w:rPr>
          <w:color w:val="auto"/>
          <w:highlight w:val="none"/>
        </w:rPr>
      </w:pPr>
      <w:r>
        <w:rPr>
          <w:color w:val="auto"/>
          <w:highlight w:val="none"/>
        </w:rPr>
        <w:t>亮度：不低于</w:t>
      </w:r>
      <w:r>
        <w:rPr>
          <w:rFonts w:hint="eastAsia"/>
          <w:color w:val="auto"/>
          <w:highlight w:val="none"/>
          <w:lang w:val="en-US" w:eastAsia="zh-CN"/>
        </w:rPr>
        <w:t>35</w:t>
      </w:r>
      <w:r>
        <w:rPr>
          <w:color w:val="auto"/>
          <w:highlight w:val="none"/>
        </w:rPr>
        <w:t>0cd/m²，</w:t>
      </w:r>
    </w:p>
    <w:p>
      <w:pPr>
        <w:numPr>
          <w:ilvl w:val="0"/>
          <w:numId w:val="22"/>
        </w:numPr>
        <w:spacing w:after="0" w:line="360" w:lineRule="auto"/>
        <w:ind w:leftChars="177" w:right="12" w:firstLine="772" w:firstLineChars="322"/>
        <w:rPr>
          <w:color w:val="auto"/>
          <w:highlight w:val="none"/>
        </w:rPr>
      </w:pPr>
      <w:r>
        <w:rPr>
          <w:color w:val="auto"/>
          <w:highlight w:val="none"/>
        </w:rPr>
        <w:t>通信接口：10/100Mbps，</w:t>
      </w:r>
    </w:p>
    <w:p>
      <w:pPr>
        <w:numPr>
          <w:ilvl w:val="0"/>
          <w:numId w:val="22"/>
        </w:numPr>
        <w:spacing w:after="0" w:line="360" w:lineRule="auto"/>
        <w:ind w:leftChars="177" w:right="12" w:firstLine="772" w:firstLineChars="322"/>
        <w:rPr>
          <w:color w:val="auto"/>
          <w:highlight w:val="none"/>
        </w:rPr>
      </w:pPr>
      <w:r>
        <w:rPr>
          <w:rFonts w:hint="eastAsia"/>
          <w:color w:val="auto"/>
          <w:highlight w:val="none"/>
        </w:rPr>
        <w:t>音频格式需支持：</w:t>
      </w:r>
      <w:r>
        <w:rPr>
          <w:color w:val="auto"/>
          <w:highlight w:val="none"/>
        </w:rPr>
        <w:t>MP3/WMA/AAC，</w:t>
      </w:r>
    </w:p>
    <w:p>
      <w:pPr>
        <w:numPr>
          <w:ilvl w:val="0"/>
          <w:numId w:val="22"/>
        </w:numPr>
        <w:spacing w:after="0" w:line="360" w:lineRule="auto"/>
        <w:ind w:leftChars="177" w:right="12" w:firstLine="772" w:firstLineChars="322"/>
        <w:rPr>
          <w:color w:val="auto"/>
          <w:highlight w:val="none"/>
        </w:rPr>
      </w:pPr>
      <w:r>
        <w:rPr>
          <w:color w:val="auto"/>
          <w:highlight w:val="none"/>
        </w:rPr>
        <w:t>高清视频格式需支持：RMVB/AVI/MPG/MKV/VOB/MP4，</w:t>
      </w:r>
    </w:p>
    <w:p>
      <w:pPr>
        <w:numPr>
          <w:ilvl w:val="0"/>
          <w:numId w:val="22"/>
        </w:numPr>
        <w:spacing w:after="0" w:line="360" w:lineRule="auto"/>
        <w:ind w:leftChars="177" w:right="12" w:firstLine="772" w:firstLineChars="322"/>
        <w:rPr>
          <w:color w:val="auto"/>
          <w:highlight w:val="none"/>
        </w:rPr>
      </w:pPr>
      <w:r>
        <w:rPr>
          <w:color w:val="auto"/>
          <w:highlight w:val="none"/>
        </w:rPr>
        <w:t>图片格式需支持：JPEG/BMP/PNG</w:t>
      </w:r>
    </w:p>
    <w:p>
      <w:pPr>
        <w:numPr>
          <w:ilvl w:val="0"/>
          <w:numId w:val="22"/>
        </w:numPr>
        <w:spacing w:after="0" w:line="360" w:lineRule="auto"/>
        <w:ind w:leftChars="177" w:right="12" w:firstLine="772" w:firstLineChars="322"/>
        <w:rPr>
          <w:color w:val="auto"/>
          <w:highlight w:val="none"/>
        </w:rPr>
      </w:pPr>
      <w:r>
        <w:rPr>
          <w:rFonts w:hint="eastAsia"/>
          <w:color w:val="auto"/>
          <w:highlight w:val="none"/>
        </w:rPr>
        <w:t>WINDOWS操作系统</w:t>
      </w:r>
    </w:p>
    <w:p>
      <w:pPr>
        <w:numPr>
          <w:ilvl w:val="0"/>
          <w:numId w:val="22"/>
        </w:numPr>
        <w:spacing w:after="0" w:line="360" w:lineRule="auto"/>
        <w:ind w:leftChars="177" w:right="12" w:firstLine="772" w:firstLineChars="322"/>
        <w:rPr>
          <w:color w:val="auto"/>
          <w:highlight w:val="none"/>
        </w:rPr>
      </w:pPr>
      <w:r>
        <w:rPr>
          <w:rFonts w:hint="eastAsia"/>
          <w:color w:val="auto"/>
          <w:highlight w:val="none"/>
        </w:rPr>
        <w:t>内置音箱</w:t>
      </w:r>
    </w:p>
    <w:p>
      <w:pPr>
        <w:spacing w:after="0" w:line="360" w:lineRule="auto"/>
        <w:ind w:left="1423" w:right="12" w:firstLine="0"/>
        <w:rPr>
          <w:color w:val="auto"/>
          <w:highlight w:val="none"/>
        </w:rPr>
      </w:pPr>
    </w:p>
    <w:p>
      <w:pPr>
        <w:numPr>
          <w:ilvl w:val="2"/>
          <w:numId w:val="3"/>
        </w:numPr>
        <w:spacing w:after="0" w:line="360" w:lineRule="auto"/>
        <w:ind w:left="976" w:leftChars="100" w:right="12" w:hanging="736" w:hangingChars="307"/>
        <w:rPr>
          <w:color w:val="auto"/>
          <w:highlight w:val="none"/>
        </w:rPr>
      </w:pPr>
      <w:r>
        <w:rPr>
          <w:rFonts w:hint="eastAsia"/>
          <w:color w:val="auto"/>
          <w:highlight w:val="none"/>
        </w:rPr>
        <w:t>集中叫号显示屏技术要求</w:t>
      </w:r>
    </w:p>
    <w:p>
      <w:pPr>
        <w:numPr>
          <w:ilvl w:val="0"/>
          <w:numId w:val="23"/>
        </w:numPr>
        <w:spacing w:after="0" w:line="360" w:lineRule="auto"/>
        <w:ind w:left="1203" w:right="12" w:hanging="3"/>
        <w:rPr>
          <w:color w:val="auto"/>
          <w:highlight w:val="none"/>
        </w:rPr>
      </w:pPr>
      <w:r>
        <w:rPr>
          <w:rFonts w:hint="eastAsia"/>
          <w:color w:val="auto"/>
          <w:highlight w:val="none"/>
        </w:rPr>
        <w:t>尺寸：</w:t>
      </w:r>
      <w:r>
        <w:rPr>
          <w:color w:val="auto"/>
          <w:highlight w:val="none"/>
        </w:rPr>
        <w:t>55英寸，</w:t>
      </w:r>
    </w:p>
    <w:p>
      <w:pPr>
        <w:numPr>
          <w:ilvl w:val="0"/>
          <w:numId w:val="23"/>
        </w:numPr>
        <w:spacing w:after="0" w:line="360" w:lineRule="auto"/>
        <w:ind w:left="1203" w:right="12" w:hanging="3"/>
        <w:rPr>
          <w:color w:val="auto"/>
          <w:highlight w:val="none"/>
        </w:rPr>
      </w:pPr>
      <w:r>
        <w:rPr>
          <w:color w:val="auto"/>
          <w:highlight w:val="none"/>
        </w:rPr>
        <w:t>安装：壁挂或吊挂，</w:t>
      </w:r>
    </w:p>
    <w:p>
      <w:pPr>
        <w:numPr>
          <w:ilvl w:val="0"/>
          <w:numId w:val="23"/>
        </w:numPr>
        <w:spacing w:after="0" w:line="360" w:lineRule="auto"/>
        <w:ind w:left="1203" w:right="12" w:hanging="3"/>
        <w:rPr>
          <w:color w:val="auto"/>
          <w:highlight w:val="none"/>
        </w:rPr>
      </w:pPr>
      <w:r>
        <w:rPr>
          <w:color w:val="auto"/>
          <w:highlight w:val="none"/>
        </w:rPr>
        <w:t>CPU：</w:t>
      </w:r>
      <w:r>
        <w:rPr>
          <w:rFonts w:hint="eastAsia"/>
          <w:color w:val="auto"/>
          <w:highlight w:val="none"/>
        </w:rPr>
        <w:t>不低于Dual-core A73 and dual-core A53，GPU：不低于Quad-core MaliG51，内存：不低于2GB，外存储：不低于eMMC 8G，</w:t>
      </w:r>
    </w:p>
    <w:p>
      <w:pPr>
        <w:numPr>
          <w:ilvl w:val="0"/>
          <w:numId w:val="23"/>
        </w:numPr>
        <w:spacing w:after="0" w:line="360" w:lineRule="auto"/>
        <w:ind w:left="1203" w:right="12" w:hanging="3"/>
        <w:rPr>
          <w:color w:val="auto"/>
          <w:highlight w:val="none"/>
        </w:rPr>
      </w:pPr>
      <w:r>
        <w:rPr>
          <w:rFonts w:hint="eastAsia"/>
          <w:color w:val="auto"/>
          <w:highlight w:val="none"/>
        </w:rPr>
        <w:t>系统：不低于Android8.0</w:t>
      </w:r>
    </w:p>
    <w:p>
      <w:pPr>
        <w:numPr>
          <w:ilvl w:val="0"/>
          <w:numId w:val="23"/>
        </w:numPr>
        <w:spacing w:after="0" w:line="360" w:lineRule="auto"/>
        <w:ind w:left="1203" w:right="12" w:hanging="3"/>
        <w:rPr>
          <w:color w:val="auto"/>
          <w:highlight w:val="none"/>
        </w:rPr>
      </w:pPr>
      <w:r>
        <w:rPr>
          <w:rFonts w:hint="eastAsia"/>
          <w:color w:val="auto"/>
          <w:highlight w:val="none"/>
        </w:rPr>
        <w:t>屏显比例：16：9，分辨率：不低于3840*2160</w:t>
      </w:r>
      <w:r>
        <w:rPr>
          <w:color w:val="auto"/>
          <w:highlight w:val="none"/>
        </w:rPr>
        <w:t>，</w:t>
      </w:r>
    </w:p>
    <w:p>
      <w:pPr>
        <w:numPr>
          <w:ilvl w:val="0"/>
          <w:numId w:val="23"/>
        </w:numPr>
        <w:spacing w:after="0" w:line="360" w:lineRule="auto"/>
        <w:ind w:left="1203" w:right="12" w:hanging="3"/>
        <w:rPr>
          <w:color w:val="auto"/>
          <w:highlight w:val="none"/>
        </w:rPr>
      </w:pPr>
      <w:r>
        <w:rPr>
          <w:color w:val="auto"/>
          <w:highlight w:val="none"/>
        </w:rPr>
        <w:t>亮度：不低于350 cd/m²，</w:t>
      </w:r>
    </w:p>
    <w:p>
      <w:pPr>
        <w:numPr>
          <w:ilvl w:val="0"/>
          <w:numId w:val="23"/>
        </w:numPr>
        <w:spacing w:after="0" w:line="360" w:lineRule="auto"/>
        <w:ind w:left="1203" w:right="12" w:hanging="3"/>
        <w:rPr>
          <w:color w:val="auto"/>
          <w:highlight w:val="none"/>
        </w:rPr>
      </w:pPr>
      <w:r>
        <w:rPr>
          <w:color w:val="auto"/>
          <w:highlight w:val="none"/>
        </w:rPr>
        <w:t>视频接口：HDMI IN，</w:t>
      </w:r>
    </w:p>
    <w:p>
      <w:pPr>
        <w:numPr>
          <w:ilvl w:val="0"/>
          <w:numId w:val="23"/>
        </w:numPr>
        <w:spacing w:after="0" w:line="360" w:lineRule="auto"/>
        <w:ind w:left="1203" w:right="12" w:hanging="3"/>
        <w:rPr>
          <w:color w:val="auto"/>
          <w:highlight w:val="none"/>
        </w:rPr>
      </w:pPr>
      <w:r>
        <w:rPr>
          <w:color w:val="auto"/>
          <w:highlight w:val="none"/>
        </w:rPr>
        <w:t>音频接口：Ear Out，</w:t>
      </w:r>
    </w:p>
    <w:p>
      <w:pPr>
        <w:numPr>
          <w:ilvl w:val="0"/>
          <w:numId w:val="23"/>
        </w:numPr>
        <w:spacing w:after="0" w:line="360" w:lineRule="auto"/>
        <w:ind w:left="1203" w:right="12" w:hanging="3"/>
        <w:rPr>
          <w:color w:val="auto"/>
          <w:highlight w:val="none"/>
        </w:rPr>
      </w:pPr>
      <w:r>
        <w:rPr>
          <w:color w:val="auto"/>
          <w:highlight w:val="none"/>
        </w:rPr>
        <w:t>数据接口：USB3.0*2/SD卡，</w:t>
      </w:r>
    </w:p>
    <w:p>
      <w:pPr>
        <w:numPr>
          <w:ilvl w:val="0"/>
          <w:numId w:val="23"/>
        </w:numPr>
        <w:spacing w:after="0" w:line="360" w:lineRule="auto"/>
        <w:ind w:left="1203" w:right="12" w:hanging="3"/>
        <w:rPr>
          <w:color w:val="auto"/>
          <w:highlight w:val="none"/>
        </w:rPr>
      </w:pPr>
      <w:r>
        <w:rPr>
          <w:color w:val="auto"/>
          <w:highlight w:val="none"/>
        </w:rPr>
        <w:t>通信接口：10/100Mbps，</w:t>
      </w:r>
    </w:p>
    <w:p>
      <w:pPr>
        <w:numPr>
          <w:ilvl w:val="0"/>
          <w:numId w:val="23"/>
        </w:numPr>
        <w:spacing w:after="0" w:line="360" w:lineRule="auto"/>
        <w:ind w:left="1203" w:right="12" w:hanging="3"/>
        <w:rPr>
          <w:color w:val="auto"/>
          <w:highlight w:val="none"/>
        </w:rPr>
      </w:pPr>
      <w:r>
        <w:rPr>
          <w:color w:val="auto"/>
          <w:highlight w:val="none"/>
        </w:rPr>
        <w:t>须支持音频格式：MP3/WMA/AAC/OGG，</w:t>
      </w:r>
    </w:p>
    <w:p>
      <w:pPr>
        <w:numPr>
          <w:ilvl w:val="0"/>
          <w:numId w:val="23"/>
        </w:numPr>
        <w:spacing w:after="0" w:line="360" w:lineRule="auto"/>
        <w:ind w:left="1203" w:right="12" w:hanging="3"/>
        <w:rPr>
          <w:color w:val="auto"/>
          <w:highlight w:val="none"/>
        </w:rPr>
      </w:pPr>
      <w:r>
        <w:rPr>
          <w:color w:val="auto"/>
          <w:highlight w:val="none"/>
        </w:rPr>
        <w:t>须支持高清视频格式:RMVB/AVI/MPG/MKV/TS/ASF/FLV/WebM</w:t>
      </w:r>
      <w:r>
        <w:rPr>
          <w:rFonts w:hint="eastAsia"/>
          <w:color w:val="auto"/>
          <w:highlight w:val="none"/>
          <w:lang w:val="en-US" w:eastAsia="zh-CN"/>
        </w:rPr>
        <w:t>/VOB/MP4</w:t>
      </w:r>
      <w:r>
        <w:rPr>
          <w:color w:val="auto"/>
          <w:highlight w:val="none"/>
        </w:rPr>
        <w:t>，</w:t>
      </w:r>
    </w:p>
    <w:p>
      <w:pPr>
        <w:numPr>
          <w:ilvl w:val="0"/>
          <w:numId w:val="23"/>
        </w:numPr>
        <w:spacing w:after="0" w:line="360" w:lineRule="auto"/>
        <w:ind w:left="1203" w:right="12" w:hanging="3"/>
        <w:rPr>
          <w:color w:val="auto"/>
          <w:highlight w:val="none"/>
        </w:rPr>
      </w:pPr>
      <w:r>
        <w:rPr>
          <w:color w:val="auto"/>
          <w:highlight w:val="none"/>
        </w:rPr>
        <w:t xml:space="preserve">须支持图片格式：JPEG/BMP/PNG </w:t>
      </w:r>
    </w:p>
    <w:p>
      <w:pPr>
        <w:numPr>
          <w:ilvl w:val="0"/>
          <w:numId w:val="21"/>
        </w:numPr>
        <w:spacing w:after="0" w:line="360" w:lineRule="auto"/>
        <w:ind w:left="1203" w:right="12" w:hanging="3"/>
        <w:rPr>
          <w:color w:val="auto"/>
          <w:highlight w:val="none"/>
        </w:rPr>
      </w:pPr>
      <w:r>
        <w:rPr>
          <w:rFonts w:hint="eastAsia"/>
          <w:color w:val="auto"/>
          <w:szCs w:val="21"/>
          <w:highlight w:val="none"/>
        </w:rPr>
        <w:t>内置RTC时钟，支持全天多时段定时开关机</w:t>
      </w:r>
    </w:p>
    <w:p>
      <w:pPr>
        <w:numPr>
          <w:ilvl w:val="255"/>
          <w:numId w:val="0"/>
        </w:numPr>
        <w:spacing w:after="0" w:line="360" w:lineRule="auto"/>
        <w:ind w:left="1423" w:right="12"/>
        <w:rPr>
          <w:color w:val="auto"/>
          <w:highlight w:val="none"/>
        </w:rPr>
      </w:pPr>
    </w:p>
    <w:p>
      <w:pPr>
        <w:numPr>
          <w:ilvl w:val="2"/>
          <w:numId w:val="3"/>
        </w:numPr>
        <w:spacing w:after="0" w:line="360" w:lineRule="auto"/>
        <w:ind w:left="976" w:leftChars="100" w:right="12" w:hanging="736" w:hangingChars="307"/>
        <w:rPr>
          <w:color w:val="auto"/>
          <w:highlight w:val="none"/>
        </w:rPr>
      </w:pPr>
      <w:r>
        <w:rPr>
          <w:rFonts w:hint="eastAsia"/>
          <w:color w:val="auto"/>
          <w:highlight w:val="none"/>
        </w:rPr>
        <w:t>显示屏技术要求（地下室放射科室使用）</w:t>
      </w:r>
    </w:p>
    <w:p>
      <w:pPr>
        <w:numPr>
          <w:ilvl w:val="0"/>
          <w:numId w:val="24"/>
        </w:numPr>
        <w:spacing w:after="0" w:line="360" w:lineRule="auto"/>
        <w:ind w:left="1920" w:right="12" w:hanging="720"/>
        <w:rPr>
          <w:color w:val="auto"/>
          <w:highlight w:val="none"/>
        </w:rPr>
      </w:pPr>
      <w:r>
        <w:rPr>
          <w:rFonts w:hint="eastAsia"/>
          <w:color w:val="auto"/>
          <w:highlight w:val="none"/>
        </w:rPr>
        <w:t>尺寸：32</w:t>
      </w:r>
      <w:r>
        <w:rPr>
          <w:color w:val="auto"/>
          <w:highlight w:val="none"/>
        </w:rPr>
        <w:t>英寸，</w:t>
      </w:r>
    </w:p>
    <w:p>
      <w:pPr>
        <w:numPr>
          <w:ilvl w:val="0"/>
          <w:numId w:val="24"/>
        </w:numPr>
        <w:spacing w:after="0" w:line="360" w:lineRule="auto"/>
        <w:ind w:left="1920" w:right="12" w:hanging="720"/>
        <w:rPr>
          <w:color w:val="auto"/>
          <w:highlight w:val="none"/>
        </w:rPr>
      </w:pPr>
      <w:r>
        <w:rPr>
          <w:color w:val="auto"/>
          <w:highlight w:val="none"/>
        </w:rPr>
        <w:t>安装：壁挂或吊挂，</w:t>
      </w:r>
    </w:p>
    <w:p>
      <w:pPr>
        <w:numPr>
          <w:ilvl w:val="0"/>
          <w:numId w:val="24"/>
        </w:numPr>
        <w:spacing w:after="0" w:line="360" w:lineRule="auto"/>
        <w:ind w:left="1920" w:right="12" w:hanging="720"/>
        <w:rPr>
          <w:color w:val="auto"/>
          <w:highlight w:val="none"/>
        </w:rPr>
      </w:pPr>
      <w:r>
        <w:rPr>
          <w:color w:val="auto"/>
          <w:highlight w:val="none"/>
        </w:rPr>
        <w:t>屏显比例：16：9，分辨率：不低于1920*1080，</w:t>
      </w:r>
    </w:p>
    <w:p>
      <w:pPr>
        <w:numPr>
          <w:ilvl w:val="0"/>
          <w:numId w:val="24"/>
        </w:numPr>
        <w:spacing w:after="0" w:line="360" w:lineRule="auto"/>
        <w:ind w:left="1920" w:right="12" w:hanging="720"/>
        <w:rPr>
          <w:color w:val="auto"/>
          <w:highlight w:val="none"/>
        </w:rPr>
      </w:pPr>
      <w:r>
        <w:rPr>
          <w:rFonts w:hint="eastAsia"/>
          <w:color w:val="auto"/>
          <w:highlight w:val="none"/>
        </w:rPr>
        <w:t>屏幕刷新率：60Hz</w:t>
      </w:r>
    </w:p>
    <w:p>
      <w:pPr>
        <w:numPr>
          <w:ilvl w:val="0"/>
          <w:numId w:val="24"/>
        </w:numPr>
        <w:spacing w:after="0" w:line="360" w:lineRule="auto"/>
        <w:ind w:left="1920" w:right="12" w:hanging="720"/>
        <w:rPr>
          <w:color w:val="auto"/>
          <w:highlight w:val="none"/>
        </w:rPr>
      </w:pPr>
      <w:r>
        <w:rPr>
          <w:rFonts w:hint="eastAsia"/>
          <w:color w:val="auto"/>
          <w:highlight w:val="none"/>
        </w:rPr>
        <w:t>对比度： 3000：1</w:t>
      </w:r>
    </w:p>
    <w:p>
      <w:pPr>
        <w:numPr>
          <w:ilvl w:val="0"/>
          <w:numId w:val="24"/>
        </w:numPr>
        <w:spacing w:after="0" w:line="360" w:lineRule="auto"/>
        <w:ind w:left="1920" w:right="12" w:hanging="720"/>
        <w:rPr>
          <w:color w:val="auto"/>
          <w:highlight w:val="none"/>
        </w:rPr>
      </w:pPr>
      <w:r>
        <w:rPr>
          <w:color w:val="auto"/>
          <w:highlight w:val="none"/>
        </w:rPr>
        <w:t>亮度：不低于</w:t>
      </w:r>
      <w:r>
        <w:rPr>
          <w:rFonts w:hint="eastAsia"/>
          <w:color w:val="auto"/>
          <w:highlight w:val="none"/>
        </w:rPr>
        <w:t>2</w:t>
      </w:r>
      <w:r>
        <w:rPr>
          <w:color w:val="auto"/>
          <w:highlight w:val="none"/>
        </w:rPr>
        <w:t>50 cd/m²，</w:t>
      </w:r>
    </w:p>
    <w:p>
      <w:pPr>
        <w:numPr>
          <w:ilvl w:val="0"/>
          <w:numId w:val="24"/>
        </w:numPr>
        <w:spacing w:after="0" w:line="360" w:lineRule="auto"/>
        <w:ind w:left="1920" w:right="12" w:hanging="720"/>
        <w:rPr>
          <w:color w:val="auto"/>
          <w:highlight w:val="none"/>
        </w:rPr>
      </w:pPr>
      <w:r>
        <w:rPr>
          <w:color w:val="auto"/>
          <w:highlight w:val="none"/>
        </w:rPr>
        <w:t>视频接口：HDMI IN，</w:t>
      </w:r>
    </w:p>
    <w:p>
      <w:pPr>
        <w:numPr>
          <w:ilvl w:val="0"/>
          <w:numId w:val="24"/>
        </w:numPr>
        <w:spacing w:after="0" w:line="360" w:lineRule="auto"/>
        <w:ind w:left="1920" w:right="12" w:hanging="720"/>
        <w:rPr>
          <w:color w:val="auto"/>
          <w:highlight w:val="none"/>
        </w:rPr>
      </w:pPr>
      <w:r>
        <w:rPr>
          <w:rFonts w:hint="eastAsia"/>
          <w:color w:val="auto"/>
          <w:highlight w:val="none"/>
        </w:rPr>
        <w:t>内置音箱</w:t>
      </w:r>
    </w:p>
    <w:p>
      <w:pPr>
        <w:numPr>
          <w:ilvl w:val="255"/>
          <w:numId w:val="0"/>
        </w:numPr>
        <w:spacing w:after="0" w:line="360" w:lineRule="auto"/>
        <w:ind w:left="1495" w:right="12"/>
        <w:rPr>
          <w:color w:val="auto"/>
          <w:highlight w:val="none"/>
        </w:rPr>
      </w:pPr>
    </w:p>
    <w:p>
      <w:pPr>
        <w:numPr>
          <w:ilvl w:val="2"/>
          <w:numId w:val="3"/>
        </w:numPr>
        <w:spacing w:after="0" w:line="360" w:lineRule="auto"/>
        <w:ind w:left="976" w:leftChars="100" w:right="12" w:hanging="736" w:hangingChars="307"/>
        <w:rPr>
          <w:color w:val="auto"/>
          <w:highlight w:val="none"/>
        </w:rPr>
      </w:pPr>
      <w:r>
        <w:rPr>
          <w:rFonts w:hint="eastAsia"/>
          <w:color w:val="auto"/>
          <w:highlight w:val="none"/>
        </w:rPr>
        <w:t>显示屏技术要求</w:t>
      </w:r>
    </w:p>
    <w:p>
      <w:pPr>
        <w:pStyle w:val="30"/>
        <w:numPr>
          <w:ilvl w:val="0"/>
          <w:numId w:val="25"/>
        </w:numPr>
        <w:spacing w:line="360" w:lineRule="auto"/>
        <w:ind w:rightChars="665" w:firstLineChars="0"/>
        <w:rPr>
          <w:color w:val="auto"/>
          <w:highlight w:val="none"/>
        </w:rPr>
      </w:pPr>
      <w:r>
        <w:rPr>
          <w:color w:val="auto"/>
          <w:highlight w:val="none"/>
        </w:rPr>
        <w:t>55“DID LED，</w:t>
      </w:r>
    </w:p>
    <w:p>
      <w:pPr>
        <w:pStyle w:val="30"/>
        <w:numPr>
          <w:ilvl w:val="0"/>
          <w:numId w:val="25"/>
        </w:numPr>
        <w:spacing w:line="360" w:lineRule="auto"/>
        <w:ind w:rightChars="665" w:firstLineChars="0"/>
        <w:rPr>
          <w:color w:val="auto"/>
          <w:highlight w:val="none"/>
        </w:rPr>
      </w:pPr>
      <w:r>
        <w:rPr>
          <w:color w:val="auto"/>
          <w:highlight w:val="none"/>
        </w:rPr>
        <w:t>分辨率：1920x1080，</w:t>
      </w:r>
    </w:p>
    <w:p>
      <w:pPr>
        <w:pStyle w:val="30"/>
        <w:numPr>
          <w:ilvl w:val="0"/>
          <w:numId w:val="25"/>
        </w:numPr>
        <w:spacing w:line="360" w:lineRule="auto"/>
        <w:ind w:rightChars="665" w:firstLineChars="0"/>
        <w:rPr>
          <w:color w:val="auto"/>
          <w:highlight w:val="none"/>
        </w:rPr>
      </w:pPr>
      <w:r>
        <w:rPr>
          <w:color w:val="auto"/>
          <w:highlight w:val="none"/>
        </w:rPr>
        <w:t>对比度</w:t>
      </w:r>
      <w:r>
        <w:rPr>
          <w:rFonts w:hint="eastAsia"/>
          <w:color w:val="auto"/>
          <w:highlight w:val="none"/>
        </w:rPr>
        <w:t>：</w:t>
      </w:r>
      <w:r>
        <w:rPr>
          <w:color w:val="auto"/>
          <w:highlight w:val="none"/>
        </w:rPr>
        <w:t>3500:1，</w:t>
      </w:r>
    </w:p>
    <w:p>
      <w:pPr>
        <w:pStyle w:val="30"/>
        <w:numPr>
          <w:ilvl w:val="0"/>
          <w:numId w:val="25"/>
        </w:numPr>
        <w:spacing w:line="360" w:lineRule="auto"/>
        <w:ind w:rightChars="665" w:firstLineChars="0"/>
        <w:rPr>
          <w:color w:val="auto"/>
          <w:highlight w:val="none"/>
        </w:rPr>
      </w:pPr>
      <w:r>
        <w:rPr>
          <w:color w:val="auto"/>
          <w:highlight w:val="none"/>
        </w:rPr>
        <w:t>亮度</w:t>
      </w:r>
      <w:r>
        <w:rPr>
          <w:rFonts w:hint="eastAsia"/>
          <w:color w:val="auto"/>
          <w:highlight w:val="none"/>
        </w:rPr>
        <w:t>：</w:t>
      </w:r>
      <w:r>
        <w:rPr>
          <w:color w:val="auto"/>
          <w:highlight w:val="none"/>
        </w:rPr>
        <w:t>500cd/㎡，</w:t>
      </w:r>
    </w:p>
    <w:p>
      <w:pPr>
        <w:pStyle w:val="30"/>
        <w:numPr>
          <w:ilvl w:val="0"/>
          <w:numId w:val="25"/>
        </w:numPr>
        <w:spacing w:line="360" w:lineRule="auto"/>
        <w:ind w:rightChars="665" w:firstLineChars="0"/>
        <w:rPr>
          <w:color w:val="auto"/>
          <w:highlight w:val="none"/>
        </w:rPr>
      </w:pPr>
      <w:r>
        <w:rPr>
          <w:color w:val="auto"/>
          <w:highlight w:val="none"/>
        </w:rPr>
        <w:t>全功能接口，</w:t>
      </w:r>
    </w:p>
    <w:p>
      <w:pPr>
        <w:pStyle w:val="30"/>
        <w:numPr>
          <w:ilvl w:val="0"/>
          <w:numId w:val="25"/>
        </w:numPr>
        <w:spacing w:line="360" w:lineRule="auto"/>
        <w:ind w:rightChars="665" w:firstLineChars="0"/>
        <w:rPr>
          <w:color w:val="auto"/>
          <w:highlight w:val="none"/>
        </w:rPr>
      </w:pPr>
      <w:r>
        <w:rPr>
          <w:color w:val="auto"/>
          <w:highlight w:val="none"/>
        </w:rPr>
        <w:t>最大功耗</w:t>
      </w:r>
      <w:r>
        <w:rPr>
          <w:rFonts w:hint="eastAsia"/>
          <w:color w:val="auto"/>
          <w:highlight w:val="none"/>
        </w:rPr>
        <w:t>：</w:t>
      </w:r>
      <w:r>
        <w:rPr>
          <w:color w:val="auto"/>
          <w:highlight w:val="none"/>
        </w:rPr>
        <w:t>150W，</w:t>
      </w:r>
    </w:p>
    <w:p>
      <w:pPr>
        <w:pStyle w:val="30"/>
        <w:numPr>
          <w:ilvl w:val="0"/>
          <w:numId w:val="25"/>
        </w:numPr>
        <w:spacing w:line="360" w:lineRule="auto"/>
        <w:ind w:rightChars="665" w:firstLineChars="0"/>
        <w:rPr>
          <w:color w:val="auto"/>
          <w:highlight w:val="none"/>
        </w:rPr>
      </w:pPr>
      <w:r>
        <w:rPr>
          <w:color w:val="auto"/>
          <w:highlight w:val="none"/>
        </w:rPr>
        <w:t>使用寿命</w:t>
      </w:r>
      <w:r>
        <w:rPr>
          <w:rFonts w:hint="eastAsia"/>
          <w:color w:val="auto"/>
          <w:highlight w:val="none"/>
        </w:rPr>
        <w:t>：</w:t>
      </w:r>
      <w:r>
        <w:rPr>
          <w:color w:val="auto"/>
          <w:highlight w:val="none"/>
        </w:rPr>
        <w:t>60000小时，</w:t>
      </w:r>
    </w:p>
    <w:p>
      <w:pPr>
        <w:pStyle w:val="30"/>
        <w:numPr>
          <w:ilvl w:val="0"/>
          <w:numId w:val="25"/>
        </w:numPr>
        <w:spacing w:after="0" w:line="360" w:lineRule="auto"/>
        <w:ind w:left="1200" w:rightChars="665" w:firstLine="0" w:firstLineChars="0"/>
        <w:rPr>
          <w:color w:val="auto"/>
          <w:highlight w:val="none"/>
        </w:rPr>
      </w:pPr>
      <w:r>
        <w:rPr>
          <w:color w:val="auto"/>
          <w:highlight w:val="none"/>
        </w:rPr>
        <w:t>单元尺寸1223(W)×693(H)mm，窄边，拼缝3.5mm，</w:t>
      </w:r>
    </w:p>
    <w:p>
      <w:pPr>
        <w:numPr>
          <w:ilvl w:val="255"/>
          <w:numId w:val="0"/>
        </w:numPr>
        <w:spacing w:after="0" w:line="360" w:lineRule="auto"/>
        <w:ind w:right="12"/>
        <w:rPr>
          <w:color w:val="auto"/>
          <w:highlight w:val="none"/>
        </w:rPr>
      </w:pPr>
    </w:p>
    <w:p>
      <w:pPr>
        <w:numPr>
          <w:ilvl w:val="2"/>
          <w:numId w:val="3"/>
        </w:numPr>
        <w:spacing w:after="0" w:line="360" w:lineRule="auto"/>
        <w:ind w:left="976" w:leftChars="100" w:right="12" w:hanging="736" w:hangingChars="307"/>
        <w:rPr>
          <w:color w:val="auto"/>
          <w:highlight w:val="none"/>
        </w:rPr>
      </w:pPr>
      <w:r>
        <w:rPr>
          <w:rFonts w:hint="eastAsia"/>
          <w:color w:val="auto"/>
          <w:highlight w:val="none"/>
        </w:rPr>
        <w:t>高清矩阵技术要求（超声科使用）</w:t>
      </w:r>
    </w:p>
    <w:p>
      <w:pPr>
        <w:numPr>
          <w:ilvl w:val="0"/>
          <w:numId w:val="26"/>
        </w:numPr>
        <w:spacing w:after="0" w:line="360" w:lineRule="auto"/>
        <w:ind w:left="1203" w:right="12" w:hanging="3"/>
        <w:rPr>
          <w:color w:val="auto"/>
          <w:highlight w:val="none"/>
        </w:rPr>
      </w:pPr>
      <w:r>
        <w:rPr>
          <w:rFonts w:hint="eastAsia"/>
          <w:color w:val="auto"/>
          <w:highlight w:val="none"/>
        </w:rPr>
        <w:t>电源：110VAC～240VAC，50/60Hz,自适应电源。</w:t>
      </w:r>
    </w:p>
    <w:p>
      <w:pPr>
        <w:numPr>
          <w:ilvl w:val="0"/>
          <w:numId w:val="26"/>
        </w:numPr>
        <w:spacing w:after="0" w:line="360" w:lineRule="auto"/>
        <w:ind w:left="1203" w:right="12" w:hanging="3"/>
        <w:rPr>
          <w:color w:val="auto"/>
          <w:highlight w:val="none"/>
        </w:rPr>
      </w:pPr>
      <w:r>
        <w:rPr>
          <w:rFonts w:hint="eastAsia"/>
          <w:color w:val="auto"/>
          <w:highlight w:val="none"/>
        </w:rPr>
        <w:t>信号输入：不小于4路HDMI 4K高清输入</w:t>
      </w:r>
    </w:p>
    <w:p>
      <w:pPr>
        <w:numPr>
          <w:ilvl w:val="0"/>
          <w:numId w:val="26"/>
        </w:numPr>
        <w:spacing w:after="0" w:line="360" w:lineRule="auto"/>
        <w:ind w:left="1203" w:right="12" w:hanging="3"/>
        <w:rPr>
          <w:color w:val="auto"/>
          <w:highlight w:val="none"/>
        </w:rPr>
      </w:pPr>
      <w:r>
        <w:rPr>
          <w:rFonts w:hint="eastAsia"/>
          <w:color w:val="auto"/>
          <w:highlight w:val="none"/>
        </w:rPr>
        <w:t>信号输出：不小于4路HDMI 4K高清输出</w:t>
      </w:r>
    </w:p>
    <w:p>
      <w:pPr>
        <w:numPr>
          <w:ilvl w:val="0"/>
          <w:numId w:val="26"/>
        </w:numPr>
        <w:spacing w:after="0" w:line="360" w:lineRule="auto"/>
        <w:ind w:left="1203" w:right="12" w:hanging="3"/>
        <w:rPr>
          <w:color w:val="auto"/>
          <w:highlight w:val="none"/>
        </w:rPr>
      </w:pPr>
      <w:r>
        <w:rPr>
          <w:rFonts w:hint="eastAsia"/>
          <w:color w:val="auto"/>
          <w:highlight w:val="none"/>
        </w:rPr>
        <w:t>控制方式：前面板按键，红外遥控器</w:t>
      </w:r>
    </w:p>
    <w:p>
      <w:pPr>
        <w:numPr>
          <w:ilvl w:val="255"/>
          <w:numId w:val="0"/>
        </w:numPr>
        <w:spacing w:after="0" w:line="360" w:lineRule="auto"/>
        <w:ind w:left="1423" w:right="12"/>
        <w:rPr>
          <w:color w:val="auto"/>
          <w:highlight w:val="none"/>
        </w:rPr>
      </w:pPr>
    </w:p>
    <w:p>
      <w:pPr>
        <w:numPr>
          <w:ilvl w:val="2"/>
          <w:numId w:val="3"/>
        </w:numPr>
        <w:spacing w:after="0" w:line="360" w:lineRule="auto"/>
        <w:ind w:left="976" w:leftChars="100" w:right="12" w:hanging="736" w:hangingChars="307"/>
        <w:rPr>
          <w:color w:val="auto"/>
          <w:highlight w:val="none"/>
        </w:rPr>
      </w:pPr>
      <w:r>
        <w:rPr>
          <w:rFonts w:hint="eastAsia"/>
          <w:color w:val="auto"/>
          <w:highlight w:val="none"/>
        </w:rPr>
        <w:t>2路拼接器（超声科使用）</w:t>
      </w:r>
    </w:p>
    <w:p>
      <w:pPr>
        <w:numPr>
          <w:ilvl w:val="0"/>
          <w:numId w:val="27"/>
        </w:numPr>
        <w:spacing w:after="0" w:line="360" w:lineRule="auto"/>
        <w:ind w:right="12" w:firstLine="775"/>
        <w:rPr>
          <w:color w:val="auto"/>
          <w:highlight w:val="none"/>
        </w:rPr>
      </w:pPr>
      <w:r>
        <w:rPr>
          <w:rFonts w:hint="eastAsia"/>
          <w:color w:val="auto"/>
          <w:highlight w:val="none"/>
        </w:rPr>
        <w:t>电源：110VAC～240VAC，50/60Hz,自适应电源。</w:t>
      </w:r>
    </w:p>
    <w:p>
      <w:pPr>
        <w:numPr>
          <w:ilvl w:val="0"/>
          <w:numId w:val="27"/>
        </w:numPr>
        <w:spacing w:after="0" w:line="360" w:lineRule="auto"/>
        <w:ind w:right="12" w:firstLine="775"/>
        <w:rPr>
          <w:color w:val="auto"/>
          <w:highlight w:val="none"/>
        </w:rPr>
      </w:pPr>
      <w:r>
        <w:rPr>
          <w:rFonts w:hint="eastAsia"/>
          <w:color w:val="auto"/>
          <w:highlight w:val="none"/>
        </w:rPr>
        <w:t>信号输入：1路HDMI 4K高清输入</w:t>
      </w:r>
    </w:p>
    <w:p>
      <w:pPr>
        <w:numPr>
          <w:ilvl w:val="0"/>
          <w:numId w:val="27"/>
        </w:numPr>
        <w:spacing w:after="0" w:line="360" w:lineRule="auto"/>
        <w:ind w:right="12" w:firstLine="775"/>
        <w:rPr>
          <w:color w:val="auto"/>
          <w:highlight w:val="none"/>
        </w:rPr>
      </w:pPr>
      <w:r>
        <w:rPr>
          <w:rFonts w:hint="eastAsia"/>
          <w:color w:val="auto"/>
          <w:highlight w:val="none"/>
        </w:rPr>
        <w:t>信号输出：2路HDMI 4K高清输出</w:t>
      </w:r>
    </w:p>
    <w:p>
      <w:pPr>
        <w:numPr>
          <w:ilvl w:val="0"/>
          <w:numId w:val="27"/>
        </w:numPr>
        <w:spacing w:after="0" w:line="360" w:lineRule="auto"/>
        <w:ind w:right="12" w:firstLine="775"/>
        <w:rPr>
          <w:color w:val="auto"/>
          <w:highlight w:val="none"/>
        </w:rPr>
      </w:pPr>
      <w:r>
        <w:rPr>
          <w:rFonts w:hint="eastAsia"/>
          <w:color w:val="auto"/>
          <w:highlight w:val="none"/>
        </w:rPr>
        <w:t>将1路输入信号，在2个大屏上进行拼接，合成完整画面。</w:t>
      </w:r>
    </w:p>
    <w:p>
      <w:pPr>
        <w:numPr>
          <w:ilvl w:val="255"/>
          <w:numId w:val="0"/>
        </w:numPr>
        <w:spacing w:after="0" w:line="360" w:lineRule="auto"/>
        <w:ind w:left="1440" w:right="12"/>
        <w:rPr>
          <w:color w:val="auto"/>
          <w:highlight w:val="none"/>
        </w:rPr>
      </w:pPr>
    </w:p>
    <w:p>
      <w:pPr>
        <w:numPr>
          <w:ilvl w:val="2"/>
          <w:numId w:val="3"/>
        </w:numPr>
        <w:spacing w:after="0" w:line="360" w:lineRule="auto"/>
        <w:ind w:left="976" w:leftChars="100" w:right="12" w:hanging="736" w:hangingChars="307"/>
        <w:rPr>
          <w:color w:val="auto"/>
          <w:highlight w:val="none"/>
        </w:rPr>
      </w:pPr>
      <w:r>
        <w:rPr>
          <w:rFonts w:hint="eastAsia"/>
          <w:color w:val="auto"/>
          <w:highlight w:val="none"/>
        </w:rPr>
        <w:t>HDMI分配器技术要求（地下室放射科室使用）</w:t>
      </w:r>
    </w:p>
    <w:p>
      <w:pPr>
        <w:numPr>
          <w:ilvl w:val="0"/>
          <w:numId w:val="28"/>
        </w:numPr>
        <w:spacing w:after="0" w:line="360" w:lineRule="auto"/>
        <w:ind w:left="1203" w:right="12" w:hanging="3"/>
        <w:rPr>
          <w:color w:val="auto"/>
          <w:highlight w:val="none"/>
        </w:rPr>
      </w:pPr>
      <w:r>
        <w:rPr>
          <w:rFonts w:hint="eastAsia"/>
          <w:color w:val="auto"/>
          <w:highlight w:val="none"/>
        </w:rPr>
        <w:t>电源：110VAC～240VAC，50/60Hz,自适应电源。</w:t>
      </w:r>
    </w:p>
    <w:p>
      <w:pPr>
        <w:numPr>
          <w:ilvl w:val="0"/>
          <w:numId w:val="28"/>
        </w:numPr>
        <w:spacing w:after="0" w:line="360" w:lineRule="auto"/>
        <w:ind w:left="1203" w:right="12" w:hanging="3"/>
        <w:rPr>
          <w:color w:val="auto"/>
          <w:highlight w:val="none"/>
        </w:rPr>
      </w:pPr>
      <w:r>
        <w:rPr>
          <w:rFonts w:hint="eastAsia"/>
          <w:color w:val="auto"/>
          <w:highlight w:val="none"/>
        </w:rPr>
        <w:t>信号输入：1路HDMI 4K高清输入</w:t>
      </w:r>
    </w:p>
    <w:p>
      <w:pPr>
        <w:numPr>
          <w:ilvl w:val="0"/>
          <w:numId w:val="28"/>
        </w:numPr>
        <w:spacing w:after="0" w:line="360" w:lineRule="auto"/>
        <w:ind w:left="1203" w:right="12" w:hanging="3"/>
        <w:rPr>
          <w:color w:val="auto"/>
          <w:highlight w:val="none"/>
        </w:rPr>
      </w:pPr>
      <w:r>
        <w:rPr>
          <w:rFonts w:hint="eastAsia"/>
          <w:color w:val="auto"/>
          <w:highlight w:val="none"/>
        </w:rPr>
        <w:t>信号输出：8路HDMI 4K高清输出；4路HDMI 4K高清输出（按需配置）</w:t>
      </w:r>
    </w:p>
    <w:p>
      <w:pPr>
        <w:spacing w:after="0" w:line="360" w:lineRule="auto"/>
        <w:ind w:left="0" w:right="12" w:firstLine="0"/>
        <w:rPr>
          <w:color w:val="auto"/>
          <w:highlight w:val="none"/>
        </w:rPr>
      </w:pPr>
    </w:p>
    <w:p>
      <w:pPr>
        <w:pStyle w:val="3"/>
        <w:numPr>
          <w:ilvl w:val="1"/>
          <w:numId w:val="3"/>
        </w:numPr>
        <w:spacing w:before="0" w:after="0" w:line="360" w:lineRule="auto"/>
        <w:ind w:left="10" w:right="1593"/>
        <w:rPr>
          <w:rFonts w:ascii="宋体" w:hAnsi="宋体" w:eastAsia="宋体" w:cs="Times New Roman"/>
          <w:color w:val="auto"/>
          <w:sz w:val="24"/>
          <w:szCs w:val="24"/>
          <w:highlight w:val="none"/>
        </w:rPr>
      </w:pPr>
      <w:r>
        <w:rPr>
          <w:rFonts w:ascii="宋体" w:hAnsi="宋体" w:eastAsia="宋体" w:cs="Times New Roman"/>
          <w:color w:val="auto"/>
          <w:sz w:val="24"/>
          <w:szCs w:val="24"/>
          <w:highlight w:val="none"/>
        </w:rPr>
        <w:t xml:space="preserve">    系统测试检验 </w:t>
      </w:r>
    </w:p>
    <w:p>
      <w:pPr>
        <w:numPr>
          <w:ilvl w:val="2"/>
          <w:numId w:val="3"/>
        </w:numPr>
        <w:spacing w:after="0" w:line="360" w:lineRule="auto"/>
        <w:ind w:left="976" w:leftChars="100" w:right="12" w:hanging="736" w:hangingChars="307"/>
        <w:rPr>
          <w:color w:val="auto"/>
          <w:highlight w:val="none"/>
        </w:rPr>
      </w:pPr>
      <w:r>
        <w:rPr>
          <w:color w:val="auto"/>
          <w:highlight w:val="none"/>
        </w:rPr>
        <w:t xml:space="preserve">检测结果符合设计要求。 </w:t>
      </w:r>
    </w:p>
    <w:p>
      <w:pPr>
        <w:numPr>
          <w:ilvl w:val="2"/>
          <w:numId w:val="3"/>
        </w:numPr>
        <w:spacing w:after="0" w:line="360" w:lineRule="auto"/>
        <w:ind w:left="979" w:right="12" w:hanging="739"/>
        <w:rPr>
          <w:color w:val="auto"/>
          <w:szCs w:val="21"/>
          <w:highlight w:val="none"/>
        </w:rPr>
      </w:pPr>
      <w:r>
        <w:rPr>
          <w:color w:val="auto"/>
          <w:szCs w:val="21"/>
          <w:highlight w:val="none"/>
        </w:rPr>
        <w:t xml:space="preserve">系统检验应符合现行标准《智能建筑工程施工规范》（GB50606-2010）、《智能建筑工程质量验收规范》（GB50339-2013）等标准规范以及当地相关部门的要求。 </w:t>
      </w:r>
    </w:p>
    <w:bookmarkEnd w:id="61"/>
    <w:bookmarkEnd w:id="62"/>
    <w:bookmarkEnd w:id="63"/>
    <w:bookmarkEnd w:id="64"/>
    <w:bookmarkEnd w:id="65"/>
    <w:bookmarkEnd w:id="66"/>
    <w:bookmarkEnd w:id="67"/>
    <w:bookmarkEnd w:id="68"/>
    <w:bookmarkEnd w:id="69"/>
    <w:p>
      <w:pPr>
        <w:rPr>
          <w:b/>
          <w:color w:val="auto"/>
          <w:sz w:val="30"/>
          <w:szCs w:val="30"/>
          <w:highlight w:val="none"/>
        </w:rPr>
      </w:pPr>
      <w:r>
        <w:rPr>
          <w:rFonts w:hint="eastAsia"/>
          <w:b/>
          <w:color w:val="auto"/>
          <w:sz w:val="30"/>
          <w:szCs w:val="30"/>
          <w:highlight w:val="none"/>
        </w:rPr>
        <w:br w:type="page"/>
      </w:r>
    </w:p>
    <w:p>
      <w:pPr>
        <w:pStyle w:val="2"/>
        <w:numPr>
          <w:ilvl w:val="0"/>
          <w:numId w:val="2"/>
        </w:numPr>
        <w:spacing w:after="0" w:line="360" w:lineRule="auto"/>
        <w:ind w:left="490" w:leftChars="0" w:right="0" w:hanging="490" w:firstLineChars="0"/>
        <w:rPr>
          <w:b/>
          <w:color w:val="auto"/>
          <w:sz w:val="30"/>
          <w:szCs w:val="30"/>
          <w:highlight w:val="none"/>
        </w:rPr>
      </w:pPr>
      <w:bookmarkStart w:id="83" w:name="_Toc24031"/>
      <w:bookmarkStart w:id="84" w:name="_Toc32111"/>
      <w:bookmarkStart w:id="85" w:name="_Toc271"/>
      <w:bookmarkStart w:id="86" w:name="_Toc2535"/>
      <w:bookmarkStart w:id="87" w:name="_Toc24799"/>
      <w:bookmarkStart w:id="88" w:name="_Toc31542"/>
      <w:bookmarkStart w:id="89" w:name="_Toc21283"/>
      <w:bookmarkStart w:id="90" w:name="_Toc22373"/>
      <w:bookmarkStart w:id="91" w:name="_Toc1325"/>
      <w:r>
        <w:rPr>
          <w:rFonts w:hint="eastAsia"/>
          <w:b/>
          <w:color w:val="auto"/>
          <w:sz w:val="30"/>
          <w:szCs w:val="30"/>
          <w:highlight w:val="none"/>
        </w:rPr>
        <w:t>院区标准化时钟系统</w:t>
      </w:r>
      <w:bookmarkEnd w:id="70"/>
      <w:bookmarkEnd w:id="71"/>
      <w:bookmarkEnd w:id="72"/>
      <w:bookmarkEnd w:id="73"/>
      <w:bookmarkEnd w:id="74"/>
      <w:bookmarkEnd w:id="75"/>
      <w:bookmarkEnd w:id="76"/>
      <w:bookmarkEnd w:id="77"/>
      <w:bookmarkEnd w:id="78"/>
      <w:r>
        <w:rPr>
          <w:rFonts w:hint="eastAsia"/>
          <w:b/>
          <w:color w:val="auto"/>
          <w:sz w:val="30"/>
          <w:szCs w:val="30"/>
          <w:highlight w:val="none"/>
        </w:rPr>
        <w:t>（设备及系统平台）</w:t>
      </w:r>
      <w:bookmarkEnd w:id="79"/>
      <w:bookmarkEnd w:id="80"/>
      <w:bookmarkEnd w:id="81"/>
      <w:bookmarkEnd w:id="82"/>
      <w:bookmarkEnd w:id="83"/>
      <w:bookmarkEnd w:id="84"/>
      <w:bookmarkEnd w:id="85"/>
      <w:bookmarkEnd w:id="86"/>
      <w:bookmarkEnd w:id="87"/>
      <w:bookmarkEnd w:id="88"/>
      <w:bookmarkEnd w:id="89"/>
      <w:bookmarkEnd w:id="90"/>
      <w:bookmarkEnd w:id="91"/>
      <w:r>
        <w:rPr>
          <w:rFonts w:hint="eastAsia"/>
          <w:b/>
          <w:color w:val="auto"/>
          <w:sz w:val="30"/>
          <w:szCs w:val="30"/>
          <w:highlight w:val="none"/>
        </w:rPr>
        <w:t xml:space="preserve"> </w:t>
      </w:r>
    </w:p>
    <w:p>
      <w:pPr>
        <w:pStyle w:val="30"/>
        <w:keepNext/>
        <w:keepLines/>
        <w:numPr>
          <w:ilvl w:val="0"/>
          <w:numId w:val="3"/>
        </w:numPr>
        <w:spacing w:after="0" w:line="360" w:lineRule="auto"/>
        <w:ind w:right="1593" w:hanging="10" w:firstLineChars="0"/>
        <w:outlineLvl w:val="1"/>
        <w:rPr>
          <w:rFonts w:cs="Times New Roman"/>
          <w:b/>
          <w:bCs/>
          <w:vanish/>
          <w:color w:val="auto"/>
          <w:szCs w:val="24"/>
          <w:highlight w:val="none"/>
        </w:rPr>
      </w:pPr>
    </w:p>
    <w:p>
      <w:pPr>
        <w:pStyle w:val="3"/>
        <w:numPr>
          <w:ilvl w:val="1"/>
          <w:numId w:val="3"/>
        </w:numPr>
        <w:spacing w:before="0" w:after="0" w:line="360" w:lineRule="auto"/>
        <w:ind w:left="10" w:right="1593"/>
        <w:rPr>
          <w:rFonts w:ascii="宋体" w:hAnsi="宋体" w:eastAsia="宋体" w:cs="Times New Roman"/>
          <w:color w:val="auto"/>
          <w:sz w:val="24"/>
          <w:szCs w:val="24"/>
          <w:highlight w:val="none"/>
        </w:rPr>
      </w:pPr>
      <w:r>
        <w:rPr>
          <w:rFonts w:ascii="宋体" w:hAnsi="宋体" w:eastAsia="宋体" w:cs="Times New Roman"/>
          <w:color w:val="auto"/>
          <w:sz w:val="24"/>
          <w:szCs w:val="24"/>
          <w:highlight w:val="none"/>
        </w:rPr>
        <w:t xml:space="preserve"> 概述 </w:t>
      </w:r>
    </w:p>
    <w:p>
      <w:pPr>
        <w:numPr>
          <w:ilvl w:val="2"/>
          <w:numId w:val="3"/>
        </w:numPr>
        <w:spacing w:after="0" w:line="360" w:lineRule="auto"/>
        <w:ind w:left="976" w:leftChars="100" w:right="12" w:hanging="736" w:hangingChars="307"/>
        <w:rPr>
          <w:color w:val="auto"/>
          <w:szCs w:val="21"/>
          <w:highlight w:val="none"/>
        </w:rPr>
      </w:pPr>
      <w:r>
        <w:rPr>
          <w:rFonts w:hint="eastAsia"/>
          <w:color w:val="auto"/>
          <w:highlight w:val="none"/>
        </w:rPr>
        <w:t>本系统</w:t>
      </w:r>
      <w:r>
        <w:rPr>
          <w:rFonts w:hint="eastAsia"/>
          <w:color w:val="auto"/>
          <w:kern w:val="0"/>
          <w:szCs w:val="24"/>
          <w:highlight w:val="none"/>
        </w:rPr>
        <w:t>主要为全医院提供统一的准确时间，包括为整个医院的医技系统、办公系统、机电系统、智能化系统及其控制管理等提供标准的时间源。</w:t>
      </w:r>
    </w:p>
    <w:p>
      <w:pPr>
        <w:numPr>
          <w:ilvl w:val="2"/>
          <w:numId w:val="3"/>
        </w:numPr>
        <w:spacing w:after="0" w:line="360" w:lineRule="auto"/>
        <w:ind w:left="976" w:leftChars="100" w:right="12" w:hanging="736" w:hangingChars="307"/>
        <w:rPr>
          <w:color w:val="auto"/>
          <w:szCs w:val="21"/>
          <w:highlight w:val="none"/>
        </w:rPr>
      </w:pPr>
      <w:r>
        <w:rPr>
          <w:color w:val="auto"/>
          <w:szCs w:val="21"/>
          <w:highlight w:val="none"/>
        </w:rPr>
        <w:t xml:space="preserve">系统应进行模块化设计，便于日后系统拓展及整合。同时实行统一管理，以保证各模块配合顺畅。 </w:t>
      </w:r>
    </w:p>
    <w:p>
      <w:pPr>
        <w:numPr>
          <w:ilvl w:val="2"/>
          <w:numId w:val="3"/>
        </w:numPr>
        <w:spacing w:after="0" w:line="360" w:lineRule="auto"/>
        <w:ind w:left="976" w:leftChars="100" w:right="12" w:hanging="736" w:hangingChars="307"/>
        <w:rPr>
          <w:color w:val="auto"/>
          <w:szCs w:val="21"/>
          <w:highlight w:val="none"/>
        </w:rPr>
      </w:pPr>
      <w:r>
        <w:rPr>
          <w:color w:val="auto"/>
          <w:szCs w:val="21"/>
          <w:highlight w:val="none"/>
        </w:rPr>
        <w:t xml:space="preserve">本系统与其他专业系统协调配合，以达到整体协调无障碍运行。 </w:t>
      </w:r>
    </w:p>
    <w:p>
      <w:pPr>
        <w:numPr>
          <w:ilvl w:val="2"/>
          <w:numId w:val="3"/>
        </w:numPr>
        <w:spacing w:after="0" w:line="360" w:lineRule="auto"/>
        <w:ind w:left="976" w:leftChars="100" w:right="12" w:hanging="736" w:hangingChars="307"/>
        <w:rPr>
          <w:color w:val="auto"/>
          <w:szCs w:val="21"/>
          <w:highlight w:val="none"/>
        </w:rPr>
      </w:pPr>
      <w:r>
        <w:rPr>
          <w:color w:val="auto"/>
          <w:szCs w:val="21"/>
          <w:highlight w:val="none"/>
        </w:rPr>
        <w:t xml:space="preserve">系统的安装与所有布线须符合相关的安全规范。 </w:t>
      </w:r>
    </w:p>
    <w:p>
      <w:pPr>
        <w:numPr>
          <w:ilvl w:val="2"/>
          <w:numId w:val="3"/>
        </w:numPr>
        <w:spacing w:after="0" w:line="360" w:lineRule="auto"/>
        <w:ind w:left="976" w:leftChars="100" w:right="12" w:hanging="736" w:hangingChars="307"/>
        <w:rPr>
          <w:color w:val="auto"/>
          <w:szCs w:val="21"/>
          <w:highlight w:val="none"/>
        </w:rPr>
      </w:pPr>
      <w:r>
        <w:rPr>
          <w:color w:val="auto"/>
          <w:szCs w:val="21"/>
          <w:highlight w:val="none"/>
        </w:rPr>
        <w:t xml:space="preserve">本系统主要设备须包括,但不限于下列项目: </w:t>
      </w:r>
    </w:p>
    <w:p>
      <w:pPr>
        <w:numPr>
          <w:ilvl w:val="0"/>
          <w:numId w:val="29"/>
        </w:numPr>
        <w:spacing w:after="0" w:line="360" w:lineRule="auto"/>
        <w:ind w:left="1440" w:leftChars="500" w:right="12" w:hanging="240" w:hangingChars="100"/>
        <w:rPr>
          <w:color w:val="auto"/>
          <w:highlight w:val="none"/>
        </w:rPr>
      </w:pPr>
      <w:r>
        <w:rPr>
          <w:rFonts w:hint="eastAsia"/>
          <w:color w:val="auto"/>
          <w:highlight w:val="none"/>
        </w:rPr>
        <w:t>时间服务器</w:t>
      </w:r>
    </w:p>
    <w:p>
      <w:pPr>
        <w:numPr>
          <w:ilvl w:val="0"/>
          <w:numId w:val="29"/>
        </w:numPr>
        <w:spacing w:after="0" w:line="360" w:lineRule="auto"/>
        <w:ind w:left="1440" w:leftChars="500" w:right="12" w:hanging="240" w:hangingChars="100"/>
        <w:rPr>
          <w:color w:val="auto"/>
          <w:highlight w:val="none"/>
        </w:rPr>
      </w:pPr>
      <w:r>
        <w:rPr>
          <w:rFonts w:hint="eastAsia"/>
          <w:color w:val="auto"/>
          <w:highlight w:val="none"/>
        </w:rPr>
        <w:t>中心母钟系统</w:t>
      </w:r>
    </w:p>
    <w:p>
      <w:pPr>
        <w:numPr>
          <w:ilvl w:val="0"/>
          <w:numId w:val="29"/>
        </w:numPr>
        <w:spacing w:after="0" w:line="360" w:lineRule="auto"/>
        <w:ind w:left="1440" w:leftChars="500" w:right="12" w:hanging="240" w:hangingChars="100"/>
        <w:rPr>
          <w:color w:val="auto"/>
          <w:highlight w:val="none"/>
        </w:rPr>
      </w:pPr>
      <w:r>
        <w:rPr>
          <w:rFonts w:hint="eastAsia"/>
          <w:color w:val="auto"/>
          <w:highlight w:val="none"/>
        </w:rPr>
        <w:t>子钟</w:t>
      </w:r>
    </w:p>
    <w:p>
      <w:pPr>
        <w:spacing w:after="0" w:line="360" w:lineRule="auto"/>
        <w:ind w:left="1843" w:right="12" w:firstLine="0"/>
        <w:rPr>
          <w:color w:val="auto"/>
          <w:highlight w:val="none"/>
        </w:rPr>
      </w:pPr>
    </w:p>
    <w:p>
      <w:pPr>
        <w:pStyle w:val="3"/>
        <w:numPr>
          <w:ilvl w:val="1"/>
          <w:numId w:val="3"/>
        </w:numPr>
        <w:spacing w:before="0" w:after="0" w:line="360" w:lineRule="auto"/>
        <w:ind w:left="10" w:right="1593"/>
        <w:rPr>
          <w:rFonts w:ascii="宋体" w:hAnsi="宋体" w:eastAsia="宋体" w:cs="Times New Roman"/>
          <w:color w:val="auto"/>
          <w:sz w:val="24"/>
          <w:szCs w:val="24"/>
          <w:highlight w:val="none"/>
        </w:rPr>
      </w:pPr>
      <w:r>
        <w:rPr>
          <w:rFonts w:ascii="宋体" w:hAnsi="宋体" w:eastAsia="宋体" w:cs="Times New Roman"/>
          <w:color w:val="auto"/>
          <w:sz w:val="24"/>
          <w:szCs w:val="24"/>
          <w:highlight w:val="none"/>
        </w:rPr>
        <w:t xml:space="preserve"> </w:t>
      </w:r>
      <w:r>
        <w:rPr>
          <w:rFonts w:hint="eastAsia" w:ascii="宋体" w:hAnsi="宋体" w:eastAsia="宋体" w:cs="Times New Roman"/>
          <w:color w:val="auto"/>
          <w:sz w:val="24"/>
          <w:szCs w:val="24"/>
          <w:highlight w:val="none"/>
        </w:rPr>
        <w:t xml:space="preserve"> </w:t>
      </w:r>
      <w:r>
        <w:rPr>
          <w:rFonts w:ascii="宋体" w:hAnsi="宋体" w:eastAsia="宋体" w:cs="Times New Roman"/>
          <w:color w:val="auto"/>
          <w:sz w:val="24"/>
          <w:szCs w:val="24"/>
          <w:highlight w:val="none"/>
        </w:rPr>
        <w:t xml:space="preserve">   </w:t>
      </w:r>
      <w:r>
        <w:rPr>
          <w:rFonts w:hint="eastAsia" w:ascii="宋体" w:hAnsi="宋体" w:eastAsia="宋体" w:cs="Times New Roman"/>
          <w:color w:val="auto"/>
          <w:sz w:val="24"/>
          <w:szCs w:val="24"/>
          <w:highlight w:val="none"/>
        </w:rPr>
        <w:t>工作</w:t>
      </w:r>
      <w:r>
        <w:rPr>
          <w:rFonts w:ascii="宋体" w:hAnsi="宋体" w:eastAsia="宋体" w:cs="Times New Roman"/>
          <w:color w:val="auto"/>
          <w:sz w:val="24"/>
          <w:szCs w:val="24"/>
          <w:highlight w:val="none"/>
        </w:rPr>
        <w:t xml:space="preserve">范围 </w:t>
      </w:r>
    </w:p>
    <w:p>
      <w:pPr>
        <w:numPr>
          <w:ilvl w:val="2"/>
          <w:numId w:val="3"/>
        </w:numPr>
        <w:spacing w:after="0" w:line="360" w:lineRule="auto"/>
        <w:ind w:left="979" w:right="12" w:hanging="739"/>
        <w:rPr>
          <w:color w:val="auto"/>
          <w:szCs w:val="21"/>
          <w:highlight w:val="none"/>
        </w:rPr>
      </w:pPr>
      <w:r>
        <w:rPr>
          <w:color w:val="auto"/>
          <w:szCs w:val="21"/>
          <w:highlight w:val="none"/>
        </w:rPr>
        <w:t>承包单位须负责深化设计、供应、安装、接线、试验和试运转一套</w:t>
      </w:r>
      <w:r>
        <w:rPr>
          <w:rFonts w:hint="eastAsia"/>
          <w:color w:val="auto"/>
          <w:szCs w:val="21"/>
          <w:highlight w:val="none"/>
        </w:rPr>
        <w:t>院区标准化时钟系统</w:t>
      </w:r>
      <w:r>
        <w:rPr>
          <w:color w:val="auto"/>
          <w:szCs w:val="21"/>
          <w:highlight w:val="none"/>
        </w:rPr>
        <w:t xml:space="preserve">。 </w:t>
      </w:r>
    </w:p>
    <w:p>
      <w:pPr>
        <w:spacing w:after="0" w:line="360" w:lineRule="auto"/>
        <w:ind w:left="240" w:right="12" w:firstLine="0"/>
        <w:rPr>
          <w:color w:val="auto"/>
          <w:szCs w:val="21"/>
          <w:highlight w:val="none"/>
        </w:rPr>
      </w:pPr>
    </w:p>
    <w:p>
      <w:pPr>
        <w:pStyle w:val="3"/>
        <w:numPr>
          <w:ilvl w:val="1"/>
          <w:numId w:val="3"/>
        </w:numPr>
        <w:spacing w:before="0" w:after="0" w:line="360" w:lineRule="auto"/>
        <w:ind w:left="10" w:right="1593"/>
        <w:rPr>
          <w:rFonts w:ascii="宋体" w:hAnsi="宋体" w:eastAsia="宋体" w:cs="Times New Roman"/>
          <w:color w:val="auto"/>
          <w:sz w:val="24"/>
          <w:szCs w:val="24"/>
          <w:highlight w:val="none"/>
        </w:rPr>
      </w:pPr>
      <w:r>
        <w:rPr>
          <w:rFonts w:ascii="宋体" w:hAnsi="宋体" w:eastAsia="宋体" w:cs="Times New Roman"/>
          <w:color w:val="auto"/>
          <w:sz w:val="24"/>
          <w:szCs w:val="24"/>
          <w:highlight w:val="none"/>
        </w:rPr>
        <w:t xml:space="preserve">     系统描述 </w:t>
      </w:r>
    </w:p>
    <w:p>
      <w:pPr>
        <w:numPr>
          <w:ilvl w:val="2"/>
          <w:numId w:val="3"/>
        </w:numPr>
        <w:spacing w:after="0" w:line="360" w:lineRule="auto"/>
        <w:ind w:left="960" w:leftChars="100" w:right="12" w:hanging="720" w:hangingChars="300"/>
        <w:rPr>
          <w:color w:val="auto"/>
          <w:szCs w:val="24"/>
          <w:highlight w:val="none"/>
        </w:rPr>
      </w:pPr>
      <w:r>
        <w:rPr>
          <w:color w:val="auto"/>
          <w:szCs w:val="24"/>
          <w:highlight w:val="none"/>
        </w:rPr>
        <w:t>院区标准化时钟系统母钟采用双机热备份形式，通过GPS天线、北斗天线接收标准时钟信息，并通过网络与各个子钟的时间进行同步</w:t>
      </w:r>
      <w:r>
        <w:rPr>
          <w:rFonts w:hint="eastAsia"/>
          <w:color w:val="auto"/>
          <w:szCs w:val="24"/>
          <w:highlight w:val="none"/>
          <w:lang w:eastAsia="zh-CN"/>
        </w:rPr>
        <w:t>，</w:t>
      </w:r>
      <w:r>
        <w:rPr>
          <w:rFonts w:hint="eastAsia"/>
          <w:color w:val="auto"/>
          <w:szCs w:val="24"/>
          <w:highlight w:val="none"/>
          <w:lang w:val="en-US" w:eastAsia="zh-CN"/>
        </w:rPr>
        <w:t>各子钟使用网络的架构，通过综合布线预留线缆，接入交换机。</w:t>
      </w:r>
    </w:p>
    <w:p>
      <w:pPr>
        <w:numPr>
          <w:ilvl w:val="2"/>
          <w:numId w:val="3"/>
        </w:numPr>
        <w:spacing w:after="0" w:line="360" w:lineRule="auto"/>
        <w:ind w:left="960" w:leftChars="100" w:right="12" w:hanging="720" w:hangingChars="300"/>
        <w:rPr>
          <w:color w:val="auto"/>
          <w:szCs w:val="24"/>
          <w:highlight w:val="none"/>
        </w:rPr>
      </w:pPr>
      <w:r>
        <w:rPr>
          <w:color w:val="auto"/>
          <w:szCs w:val="24"/>
          <w:highlight w:val="none"/>
        </w:rPr>
        <w:t>母钟在脱离天线信号，以及子钟在脱离母钟信号的情况下，均可长时间无误差独立运行；在信号恢复后可以自动进行校时。</w:t>
      </w:r>
    </w:p>
    <w:p>
      <w:pPr>
        <w:numPr>
          <w:ilvl w:val="2"/>
          <w:numId w:val="3"/>
        </w:numPr>
        <w:spacing w:after="0" w:line="360" w:lineRule="auto"/>
        <w:ind w:left="960" w:leftChars="100" w:right="12" w:hanging="720" w:hangingChars="300"/>
        <w:rPr>
          <w:color w:val="auto"/>
          <w:szCs w:val="24"/>
          <w:highlight w:val="none"/>
        </w:rPr>
      </w:pPr>
      <w:r>
        <w:rPr>
          <w:rFonts w:hint="eastAsia"/>
          <w:color w:val="auto"/>
          <w:szCs w:val="24"/>
          <w:highlight w:val="none"/>
        </w:rPr>
        <w:t xml:space="preserve">  </w:t>
      </w:r>
      <w:r>
        <w:rPr>
          <w:color w:val="auto"/>
          <w:szCs w:val="24"/>
          <w:highlight w:val="none"/>
        </w:rPr>
        <w:t>系统须带通用接口，支持医院内各子系统接入。</w:t>
      </w:r>
    </w:p>
    <w:p>
      <w:pPr>
        <w:numPr>
          <w:ilvl w:val="2"/>
          <w:numId w:val="3"/>
        </w:numPr>
        <w:spacing w:after="0" w:line="360" w:lineRule="auto"/>
        <w:ind w:left="976" w:leftChars="100" w:right="12" w:hanging="736" w:hangingChars="307"/>
        <w:rPr>
          <w:color w:val="auto"/>
          <w:highlight w:val="none"/>
        </w:rPr>
      </w:pPr>
      <w:r>
        <w:rPr>
          <w:color w:val="auto"/>
          <w:highlight w:val="none"/>
        </w:rPr>
        <w:t>前端点位设置</w:t>
      </w:r>
    </w:p>
    <w:p>
      <w:pPr>
        <w:numPr>
          <w:ilvl w:val="0"/>
          <w:numId w:val="30"/>
        </w:numPr>
        <w:spacing w:after="0" w:line="360" w:lineRule="auto"/>
        <w:ind w:left="1203" w:right="12" w:hanging="3"/>
        <w:rPr>
          <w:color w:val="auto"/>
          <w:highlight w:val="none"/>
        </w:rPr>
      </w:pPr>
      <w:r>
        <w:rPr>
          <w:rFonts w:hint="eastAsia"/>
          <w:color w:val="auto"/>
          <w:highlight w:val="none"/>
        </w:rPr>
        <w:t>医护办公通道</w:t>
      </w:r>
    </w:p>
    <w:p>
      <w:pPr>
        <w:numPr>
          <w:ilvl w:val="0"/>
          <w:numId w:val="30"/>
        </w:numPr>
        <w:spacing w:after="0" w:line="360" w:lineRule="auto"/>
        <w:ind w:left="1203" w:right="12" w:hanging="3"/>
        <w:rPr>
          <w:color w:val="auto"/>
          <w:highlight w:val="none"/>
        </w:rPr>
      </w:pPr>
      <w:r>
        <w:rPr>
          <w:rFonts w:hint="eastAsia"/>
          <w:color w:val="auto"/>
          <w:highlight w:val="none"/>
        </w:rPr>
        <w:t>无显示时间信息的大厅</w:t>
      </w:r>
    </w:p>
    <w:p>
      <w:pPr>
        <w:numPr>
          <w:ilvl w:val="0"/>
          <w:numId w:val="30"/>
        </w:numPr>
        <w:spacing w:after="0" w:line="360" w:lineRule="auto"/>
        <w:ind w:left="1203" w:right="12" w:hanging="3"/>
        <w:rPr>
          <w:color w:val="auto"/>
          <w:highlight w:val="none"/>
        </w:rPr>
      </w:pPr>
      <w:r>
        <w:rPr>
          <w:rFonts w:hint="eastAsia"/>
          <w:color w:val="auto"/>
          <w:highlight w:val="none"/>
        </w:rPr>
        <w:t>值班室</w:t>
      </w:r>
    </w:p>
    <w:p>
      <w:pPr>
        <w:numPr>
          <w:ilvl w:val="0"/>
          <w:numId w:val="30"/>
        </w:numPr>
        <w:spacing w:after="0" w:line="360" w:lineRule="auto"/>
        <w:ind w:left="1203" w:right="12" w:hanging="3"/>
        <w:rPr>
          <w:color w:val="auto"/>
          <w:highlight w:val="none"/>
        </w:rPr>
      </w:pPr>
      <w:r>
        <w:rPr>
          <w:color w:val="auto"/>
          <w:highlight w:val="none"/>
        </w:rPr>
        <w:t xml:space="preserve"> </w:t>
      </w:r>
      <w:r>
        <w:rPr>
          <w:rFonts w:hint="eastAsia"/>
          <w:color w:val="auto"/>
          <w:highlight w:val="none"/>
        </w:rPr>
        <w:t>会议室、示教室、宣教室</w:t>
      </w:r>
    </w:p>
    <w:p>
      <w:pPr>
        <w:numPr>
          <w:ilvl w:val="0"/>
          <w:numId w:val="30"/>
        </w:numPr>
        <w:spacing w:after="0" w:line="360" w:lineRule="auto"/>
        <w:ind w:left="1203" w:right="12" w:hanging="3"/>
        <w:rPr>
          <w:color w:val="auto"/>
          <w:highlight w:val="none"/>
        </w:rPr>
      </w:pPr>
      <w:r>
        <w:rPr>
          <w:color w:val="auto"/>
          <w:highlight w:val="none"/>
        </w:rPr>
        <w:t xml:space="preserve"> </w:t>
      </w:r>
      <w:r>
        <w:rPr>
          <w:rFonts w:hint="eastAsia"/>
          <w:color w:val="auto"/>
          <w:highlight w:val="none"/>
        </w:rPr>
        <w:t>病区护士站</w:t>
      </w:r>
    </w:p>
    <w:p>
      <w:pPr>
        <w:numPr>
          <w:ilvl w:val="0"/>
          <w:numId w:val="30"/>
        </w:numPr>
        <w:spacing w:after="0" w:line="360" w:lineRule="auto"/>
        <w:ind w:left="1203" w:right="12" w:hanging="3"/>
        <w:rPr>
          <w:color w:val="auto"/>
          <w:highlight w:val="none"/>
        </w:rPr>
      </w:pPr>
      <w:r>
        <w:rPr>
          <w:color w:val="auto"/>
          <w:highlight w:val="none"/>
        </w:rPr>
        <w:t xml:space="preserve"> </w:t>
      </w:r>
      <w:r>
        <w:rPr>
          <w:rFonts w:hint="eastAsia"/>
          <w:color w:val="auto"/>
          <w:highlight w:val="none"/>
        </w:rPr>
        <w:t>其他人员流动并需用统一时间的空间</w:t>
      </w:r>
    </w:p>
    <w:p>
      <w:pPr>
        <w:spacing w:after="0" w:line="360" w:lineRule="auto"/>
        <w:ind w:left="1843" w:right="12" w:firstLine="0"/>
        <w:rPr>
          <w:color w:val="auto"/>
          <w:highlight w:val="none"/>
        </w:rPr>
      </w:pPr>
    </w:p>
    <w:p>
      <w:pPr>
        <w:pStyle w:val="3"/>
        <w:numPr>
          <w:ilvl w:val="1"/>
          <w:numId w:val="3"/>
        </w:numPr>
        <w:spacing w:before="0" w:after="0" w:line="360" w:lineRule="auto"/>
        <w:ind w:left="10" w:right="1593"/>
        <w:rPr>
          <w:rFonts w:ascii="宋体" w:hAnsi="宋体" w:eastAsia="宋体" w:cs="Times New Roman"/>
          <w:color w:val="auto"/>
          <w:sz w:val="24"/>
          <w:szCs w:val="24"/>
          <w:highlight w:val="none"/>
        </w:rPr>
      </w:pPr>
      <w:r>
        <w:rPr>
          <w:rFonts w:ascii="宋体" w:hAnsi="宋体" w:eastAsia="宋体" w:cs="Times New Roman"/>
          <w:color w:val="auto"/>
          <w:sz w:val="24"/>
          <w:szCs w:val="24"/>
          <w:highlight w:val="none"/>
        </w:rPr>
        <w:t xml:space="preserve">  </w:t>
      </w:r>
      <w:r>
        <w:rPr>
          <w:rFonts w:hint="eastAsia" w:ascii="宋体" w:hAnsi="宋体" w:eastAsia="宋体" w:cs="Times New Roman"/>
          <w:color w:val="auto"/>
          <w:sz w:val="24"/>
          <w:szCs w:val="24"/>
          <w:highlight w:val="none"/>
        </w:rPr>
        <w:t xml:space="preserve"> </w:t>
      </w:r>
      <w:r>
        <w:rPr>
          <w:rFonts w:ascii="宋体" w:hAnsi="宋体" w:eastAsia="宋体" w:cs="Times New Roman"/>
          <w:color w:val="auto"/>
          <w:sz w:val="24"/>
          <w:szCs w:val="24"/>
          <w:highlight w:val="none"/>
        </w:rPr>
        <w:t xml:space="preserve">  设备规格要求 </w:t>
      </w:r>
    </w:p>
    <w:p>
      <w:pPr>
        <w:numPr>
          <w:ilvl w:val="2"/>
          <w:numId w:val="3"/>
        </w:numPr>
        <w:spacing w:after="0" w:line="360" w:lineRule="auto"/>
        <w:ind w:left="976" w:leftChars="100" w:right="12" w:hanging="736" w:hangingChars="307"/>
        <w:rPr>
          <w:color w:val="auto"/>
          <w:highlight w:val="none"/>
        </w:rPr>
      </w:pPr>
      <w:r>
        <w:rPr>
          <w:rFonts w:hint="eastAsia"/>
          <w:color w:val="auto"/>
          <w:highlight w:val="none"/>
        </w:rPr>
        <w:t>指针钟技术要求</w:t>
      </w:r>
    </w:p>
    <w:p>
      <w:pPr>
        <w:numPr>
          <w:ilvl w:val="0"/>
          <w:numId w:val="31"/>
        </w:numPr>
        <w:spacing w:after="0" w:line="360" w:lineRule="auto"/>
        <w:ind w:left="1443" w:right="12" w:hanging="243"/>
        <w:rPr>
          <w:color w:val="auto"/>
          <w:highlight w:val="none"/>
        </w:rPr>
      </w:pPr>
      <w:r>
        <w:rPr>
          <w:rFonts w:hint="eastAsia"/>
          <w:color w:val="auto"/>
          <w:highlight w:val="none"/>
        </w:rPr>
        <w:t>单面时分指针；</w:t>
      </w:r>
    </w:p>
    <w:p>
      <w:pPr>
        <w:numPr>
          <w:ilvl w:val="0"/>
          <w:numId w:val="31"/>
        </w:numPr>
        <w:spacing w:after="0" w:line="360" w:lineRule="auto"/>
        <w:ind w:left="1443" w:right="12" w:hanging="243"/>
        <w:rPr>
          <w:color w:val="auto"/>
          <w:highlight w:val="none"/>
        </w:rPr>
      </w:pPr>
      <w:r>
        <w:rPr>
          <w:rFonts w:hint="eastAsia"/>
          <w:color w:val="auto"/>
          <w:highlight w:val="none"/>
        </w:rPr>
        <w:t>自身计时精度：±0.05秒/天；</w:t>
      </w:r>
    </w:p>
    <w:p>
      <w:pPr>
        <w:numPr>
          <w:ilvl w:val="0"/>
          <w:numId w:val="31"/>
        </w:numPr>
        <w:spacing w:after="0" w:line="360" w:lineRule="auto"/>
        <w:ind w:left="1443" w:right="12" w:hanging="243"/>
        <w:rPr>
          <w:color w:val="auto"/>
          <w:highlight w:val="none"/>
        </w:rPr>
      </w:pPr>
      <w:r>
        <w:rPr>
          <w:rFonts w:hint="eastAsia"/>
          <w:color w:val="auto"/>
          <w:highlight w:val="none"/>
        </w:rPr>
        <w:t>力矩：大于800克/厘米；</w:t>
      </w:r>
    </w:p>
    <w:p>
      <w:pPr>
        <w:numPr>
          <w:ilvl w:val="0"/>
          <w:numId w:val="31"/>
        </w:numPr>
        <w:spacing w:after="0" w:line="360" w:lineRule="auto"/>
        <w:ind w:left="1443" w:right="12" w:hanging="243"/>
        <w:rPr>
          <w:color w:val="auto"/>
          <w:highlight w:val="none"/>
        </w:rPr>
      </w:pPr>
      <w:r>
        <w:rPr>
          <w:rFonts w:hint="eastAsia"/>
          <w:color w:val="auto"/>
          <w:highlight w:val="none"/>
        </w:rPr>
        <w:t>平均无故障时间：≥8万小时。</w:t>
      </w:r>
    </w:p>
    <w:p>
      <w:pPr>
        <w:numPr>
          <w:ilvl w:val="0"/>
          <w:numId w:val="31"/>
        </w:numPr>
        <w:spacing w:after="0" w:line="360" w:lineRule="auto"/>
        <w:ind w:left="1443" w:right="12" w:hanging="243"/>
        <w:rPr>
          <w:color w:val="auto"/>
          <w:highlight w:val="none"/>
        </w:rPr>
      </w:pPr>
      <w:r>
        <w:rPr>
          <w:rFonts w:hint="eastAsia"/>
          <w:color w:val="auto"/>
          <w:highlight w:val="none"/>
          <w:lang w:val="en-US" w:eastAsia="zh-CN"/>
        </w:rPr>
        <w:t xml:space="preserve"> 接口类型：10BaseT/100BaseT以太网接口/RJ45</w:t>
      </w:r>
    </w:p>
    <w:p>
      <w:pPr>
        <w:numPr>
          <w:ilvl w:val="0"/>
          <w:numId w:val="31"/>
        </w:numPr>
        <w:spacing w:after="0" w:line="360" w:lineRule="auto"/>
        <w:ind w:left="1443" w:right="12" w:hanging="243"/>
        <w:rPr>
          <w:color w:val="auto"/>
          <w:highlight w:val="none"/>
        </w:rPr>
      </w:pPr>
      <w:r>
        <w:rPr>
          <w:rFonts w:hint="eastAsia"/>
          <w:color w:val="auto"/>
          <w:highlight w:val="none"/>
          <w:lang w:val="en-US" w:eastAsia="zh-CN"/>
        </w:rPr>
        <w:t>电源：AC220V</w:t>
      </w:r>
    </w:p>
    <w:p>
      <w:pPr>
        <w:spacing w:after="0" w:line="360" w:lineRule="auto"/>
        <w:ind w:left="1833" w:right="12" w:firstLine="0"/>
        <w:rPr>
          <w:color w:val="auto"/>
          <w:highlight w:val="none"/>
        </w:rPr>
      </w:pPr>
    </w:p>
    <w:p>
      <w:pPr>
        <w:numPr>
          <w:ilvl w:val="2"/>
          <w:numId w:val="3"/>
        </w:numPr>
        <w:spacing w:after="0" w:line="360" w:lineRule="auto"/>
        <w:ind w:left="976" w:leftChars="100" w:right="12" w:hanging="736" w:hangingChars="307"/>
        <w:rPr>
          <w:color w:val="auto"/>
          <w:highlight w:val="none"/>
        </w:rPr>
      </w:pPr>
      <w:r>
        <w:rPr>
          <w:rFonts w:hint="eastAsia"/>
          <w:color w:val="auto"/>
          <w:highlight w:val="none"/>
        </w:rPr>
        <w:t>单面温湿度日历子钟</w:t>
      </w:r>
    </w:p>
    <w:p>
      <w:pPr>
        <w:numPr>
          <w:ilvl w:val="0"/>
          <w:numId w:val="32"/>
        </w:numPr>
        <w:spacing w:after="0" w:line="360" w:lineRule="auto"/>
        <w:ind w:left="1443" w:right="12" w:hanging="243"/>
        <w:rPr>
          <w:color w:val="auto"/>
          <w:highlight w:val="none"/>
        </w:rPr>
      </w:pPr>
      <w:r>
        <w:rPr>
          <w:rFonts w:hint="eastAsia"/>
          <w:color w:val="auto"/>
          <w:highlight w:val="none"/>
        </w:rPr>
        <w:t>单面年月日星期、时分秒、温湿度显示；汉字为平光管显示；全面屏；</w:t>
      </w:r>
      <w:r>
        <w:rPr>
          <w:color w:val="auto"/>
          <w:highlight w:val="none"/>
        </w:rPr>
        <w:t xml:space="preserve"> </w:t>
      </w:r>
    </w:p>
    <w:p>
      <w:pPr>
        <w:numPr>
          <w:ilvl w:val="0"/>
          <w:numId w:val="32"/>
        </w:numPr>
        <w:spacing w:after="0" w:line="360" w:lineRule="auto"/>
        <w:ind w:left="1443" w:right="12" w:hanging="243"/>
        <w:rPr>
          <w:color w:val="auto"/>
          <w:highlight w:val="none"/>
        </w:rPr>
      </w:pPr>
      <w:r>
        <w:rPr>
          <w:rFonts w:hint="eastAsia"/>
          <w:color w:val="auto"/>
          <w:highlight w:val="none"/>
        </w:rPr>
        <w:t>LED显示单元发光强度：≥200cd/m2</w:t>
      </w:r>
    </w:p>
    <w:p>
      <w:pPr>
        <w:numPr>
          <w:ilvl w:val="0"/>
          <w:numId w:val="32"/>
        </w:numPr>
        <w:spacing w:after="0" w:line="360" w:lineRule="auto"/>
        <w:ind w:left="1443" w:right="12" w:hanging="243"/>
        <w:rPr>
          <w:color w:val="auto"/>
          <w:highlight w:val="none"/>
        </w:rPr>
      </w:pPr>
      <w:r>
        <w:rPr>
          <w:rFonts w:hint="eastAsia"/>
          <w:color w:val="auto"/>
          <w:highlight w:val="none"/>
        </w:rPr>
        <w:t>对比度≥10：1；</w:t>
      </w:r>
    </w:p>
    <w:p>
      <w:pPr>
        <w:numPr>
          <w:ilvl w:val="0"/>
          <w:numId w:val="32"/>
        </w:numPr>
        <w:spacing w:after="0" w:line="360" w:lineRule="auto"/>
        <w:ind w:left="1443" w:right="12" w:hanging="243"/>
        <w:rPr>
          <w:color w:val="auto"/>
          <w:highlight w:val="none"/>
        </w:rPr>
      </w:pPr>
      <w:r>
        <w:rPr>
          <w:rFonts w:hint="eastAsia"/>
          <w:color w:val="auto"/>
          <w:highlight w:val="none"/>
        </w:rPr>
        <w:t>LED显示屏可视视角≥±65º；</w:t>
      </w:r>
    </w:p>
    <w:p>
      <w:pPr>
        <w:numPr>
          <w:ilvl w:val="0"/>
          <w:numId w:val="32"/>
        </w:numPr>
        <w:spacing w:after="0" w:line="360" w:lineRule="auto"/>
        <w:ind w:left="1443" w:right="12" w:hanging="243"/>
        <w:rPr>
          <w:color w:val="auto"/>
          <w:highlight w:val="none"/>
        </w:rPr>
      </w:pPr>
      <w:r>
        <w:rPr>
          <w:rFonts w:hint="eastAsia"/>
          <w:color w:val="auto"/>
          <w:highlight w:val="none"/>
        </w:rPr>
        <w:t>LED显示屏MTBF≥</w:t>
      </w:r>
      <w:r>
        <w:rPr>
          <w:rFonts w:hint="eastAsia"/>
          <w:color w:val="auto"/>
          <w:highlight w:val="none"/>
          <w:lang w:val="en-US" w:eastAsia="zh-CN"/>
        </w:rPr>
        <w:t>10</w:t>
      </w:r>
      <w:r>
        <w:rPr>
          <w:rFonts w:hint="eastAsia"/>
          <w:color w:val="auto"/>
          <w:highlight w:val="none"/>
        </w:rPr>
        <w:t>万小时；</w:t>
      </w:r>
    </w:p>
    <w:p>
      <w:pPr>
        <w:numPr>
          <w:ilvl w:val="0"/>
          <w:numId w:val="32"/>
        </w:numPr>
        <w:spacing w:after="0" w:line="360" w:lineRule="auto"/>
        <w:ind w:left="1443" w:right="12" w:hanging="243"/>
        <w:rPr>
          <w:color w:val="auto"/>
          <w:highlight w:val="none"/>
        </w:rPr>
      </w:pPr>
      <w:r>
        <w:rPr>
          <w:rFonts w:hint="eastAsia"/>
          <w:color w:val="auto"/>
          <w:highlight w:val="none"/>
        </w:rPr>
        <w:t>独立计时精度：≤±0.05秒/天；</w:t>
      </w:r>
    </w:p>
    <w:p>
      <w:pPr>
        <w:numPr>
          <w:ilvl w:val="0"/>
          <w:numId w:val="32"/>
        </w:numPr>
        <w:spacing w:after="0" w:line="360" w:lineRule="auto"/>
        <w:ind w:left="1443" w:right="12" w:hanging="243"/>
        <w:rPr>
          <w:color w:val="auto"/>
          <w:highlight w:val="none"/>
        </w:rPr>
      </w:pPr>
      <w:r>
        <w:rPr>
          <w:rFonts w:hint="eastAsia"/>
          <w:color w:val="auto"/>
          <w:highlight w:val="none"/>
        </w:rPr>
        <w:t>同步精度：≤1-5mS；</w:t>
      </w:r>
    </w:p>
    <w:p>
      <w:pPr>
        <w:numPr>
          <w:ilvl w:val="0"/>
          <w:numId w:val="32"/>
        </w:numPr>
        <w:spacing w:after="0" w:line="360" w:lineRule="auto"/>
        <w:ind w:left="1443" w:right="12" w:hanging="243"/>
        <w:rPr>
          <w:color w:val="auto"/>
          <w:highlight w:val="none"/>
        </w:rPr>
      </w:pPr>
      <w:r>
        <w:rPr>
          <w:rFonts w:hint="eastAsia"/>
          <w:color w:val="auto"/>
          <w:highlight w:val="none"/>
        </w:rPr>
        <w:t>七段数码管显示，每段亮度均匀、全静态、无闪烁；</w:t>
      </w:r>
    </w:p>
    <w:p>
      <w:pPr>
        <w:numPr>
          <w:ilvl w:val="0"/>
          <w:numId w:val="32"/>
        </w:numPr>
        <w:spacing w:after="0" w:line="360" w:lineRule="auto"/>
        <w:ind w:left="1443" w:right="12" w:hanging="243"/>
        <w:rPr>
          <w:color w:val="auto"/>
          <w:highlight w:val="none"/>
        </w:rPr>
      </w:pPr>
      <w:r>
        <w:rPr>
          <w:rFonts w:hint="eastAsia"/>
          <w:color w:val="auto"/>
          <w:highlight w:val="none"/>
        </w:rPr>
        <w:t>子钟平均无故障时间（MTBF）：≥8万小时</w:t>
      </w:r>
    </w:p>
    <w:p>
      <w:pPr>
        <w:numPr>
          <w:ilvl w:val="0"/>
          <w:numId w:val="32"/>
        </w:numPr>
        <w:spacing w:after="0" w:line="360" w:lineRule="auto"/>
        <w:ind w:left="1443" w:right="12" w:hanging="243"/>
        <w:rPr>
          <w:color w:val="auto"/>
          <w:highlight w:val="none"/>
        </w:rPr>
      </w:pPr>
      <w:r>
        <w:rPr>
          <w:rFonts w:hint="eastAsia"/>
          <w:color w:val="auto"/>
          <w:highlight w:val="none"/>
        </w:rPr>
        <w:t>寿命：＞20年。</w:t>
      </w:r>
    </w:p>
    <w:p>
      <w:pPr>
        <w:numPr>
          <w:ilvl w:val="0"/>
          <w:numId w:val="32"/>
        </w:numPr>
        <w:spacing w:after="0" w:line="360" w:lineRule="auto"/>
        <w:ind w:left="1443" w:right="12" w:hanging="243"/>
        <w:rPr>
          <w:color w:val="auto"/>
          <w:highlight w:val="none"/>
        </w:rPr>
      </w:pPr>
      <w:r>
        <w:rPr>
          <w:rFonts w:hint="eastAsia"/>
          <w:color w:val="auto"/>
          <w:highlight w:val="none"/>
          <w:lang w:val="en-US" w:eastAsia="zh-CN"/>
        </w:rPr>
        <w:t>接口类型：10BaseT/100BaseT以太网接口/RJ45</w:t>
      </w:r>
    </w:p>
    <w:p>
      <w:pPr>
        <w:numPr>
          <w:ilvl w:val="0"/>
          <w:numId w:val="32"/>
        </w:numPr>
        <w:spacing w:after="0" w:line="360" w:lineRule="auto"/>
        <w:ind w:left="1443" w:right="12" w:hanging="243"/>
        <w:rPr>
          <w:color w:val="auto"/>
          <w:highlight w:val="none"/>
        </w:rPr>
      </w:pPr>
      <w:r>
        <w:rPr>
          <w:rFonts w:hint="eastAsia"/>
          <w:color w:val="auto"/>
          <w:highlight w:val="none"/>
          <w:lang w:val="en-US" w:eastAsia="zh-CN"/>
        </w:rPr>
        <w:t>电源：AC220V</w:t>
      </w:r>
    </w:p>
    <w:p>
      <w:pPr>
        <w:spacing w:after="0" w:line="360" w:lineRule="auto"/>
        <w:ind w:left="1833" w:right="12" w:firstLine="0"/>
        <w:rPr>
          <w:color w:val="auto"/>
          <w:highlight w:val="none"/>
        </w:rPr>
      </w:pPr>
    </w:p>
    <w:p>
      <w:pPr>
        <w:numPr>
          <w:ilvl w:val="2"/>
          <w:numId w:val="3"/>
        </w:numPr>
        <w:spacing w:after="0" w:line="360" w:lineRule="auto"/>
        <w:ind w:left="976" w:leftChars="100" w:right="12" w:hanging="736" w:hangingChars="307"/>
        <w:rPr>
          <w:color w:val="auto"/>
          <w:highlight w:val="none"/>
        </w:rPr>
      </w:pPr>
      <w:r>
        <w:rPr>
          <w:rFonts w:hint="eastAsia"/>
          <w:color w:val="auto"/>
          <w:highlight w:val="none"/>
        </w:rPr>
        <w:t>双面数字子钟</w:t>
      </w:r>
    </w:p>
    <w:p>
      <w:pPr>
        <w:numPr>
          <w:ilvl w:val="0"/>
          <w:numId w:val="33"/>
        </w:numPr>
        <w:spacing w:after="0" w:line="360" w:lineRule="auto"/>
        <w:ind w:left="1443" w:right="12" w:hanging="243"/>
        <w:rPr>
          <w:color w:val="auto"/>
          <w:highlight w:val="none"/>
        </w:rPr>
      </w:pPr>
      <w:r>
        <w:rPr>
          <w:rFonts w:hint="eastAsia"/>
          <w:color w:val="auto"/>
          <w:highlight w:val="none"/>
        </w:rPr>
        <w:t>双面时分显示；全面屏；</w:t>
      </w:r>
      <w:r>
        <w:rPr>
          <w:color w:val="auto"/>
          <w:highlight w:val="none"/>
        </w:rPr>
        <w:t xml:space="preserve"> </w:t>
      </w:r>
    </w:p>
    <w:p>
      <w:pPr>
        <w:numPr>
          <w:ilvl w:val="0"/>
          <w:numId w:val="33"/>
        </w:numPr>
        <w:spacing w:after="0" w:line="360" w:lineRule="auto"/>
        <w:ind w:left="1443" w:right="12" w:hanging="243"/>
        <w:rPr>
          <w:color w:val="auto"/>
          <w:highlight w:val="none"/>
        </w:rPr>
      </w:pPr>
      <w:r>
        <w:rPr>
          <w:rFonts w:hint="eastAsia"/>
          <w:color w:val="auto"/>
          <w:highlight w:val="none"/>
        </w:rPr>
        <w:t>LED显示单元发光强度：≥200cd/m2</w:t>
      </w:r>
    </w:p>
    <w:p>
      <w:pPr>
        <w:numPr>
          <w:ilvl w:val="0"/>
          <w:numId w:val="33"/>
        </w:numPr>
        <w:spacing w:after="0" w:line="360" w:lineRule="auto"/>
        <w:ind w:left="1443" w:right="12" w:hanging="243"/>
        <w:rPr>
          <w:color w:val="auto"/>
          <w:highlight w:val="none"/>
        </w:rPr>
      </w:pPr>
      <w:r>
        <w:rPr>
          <w:rFonts w:hint="eastAsia"/>
          <w:color w:val="auto"/>
          <w:highlight w:val="none"/>
        </w:rPr>
        <w:t>对比度≥10：1；</w:t>
      </w:r>
    </w:p>
    <w:p>
      <w:pPr>
        <w:numPr>
          <w:ilvl w:val="0"/>
          <w:numId w:val="33"/>
        </w:numPr>
        <w:spacing w:after="0" w:line="360" w:lineRule="auto"/>
        <w:ind w:left="1443" w:right="12" w:hanging="243"/>
        <w:rPr>
          <w:color w:val="auto"/>
          <w:highlight w:val="none"/>
        </w:rPr>
      </w:pPr>
      <w:r>
        <w:rPr>
          <w:rFonts w:hint="eastAsia"/>
          <w:color w:val="auto"/>
          <w:highlight w:val="none"/>
        </w:rPr>
        <w:t>LED显示屏可视视角≥±65º；</w:t>
      </w:r>
    </w:p>
    <w:p>
      <w:pPr>
        <w:numPr>
          <w:ilvl w:val="0"/>
          <w:numId w:val="33"/>
        </w:numPr>
        <w:spacing w:after="0" w:line="360" w:lineRule="auto"/>
        <w:ind w:left="1443" w:right="12" w:hanging="243"/>
        <w:rPr>
          <w:color w:val="auto"/>
          <w:highlight w:val="none"/>
        </w:rPr>
      </w:pPr>
      <w:r>
        <w:rPr>
          <w:rFonts w:hint="eastAsia"/>
          <w:color w:val="auto"/>
          <w:highlight w:val="none"/>
        </w:rPr>
        <w:t>LED显示屏MTBF≥</w:t>
      </w:r>
      <w:r>
        <w:rPr>
          <w:rFonts w:hint="eastAsia"/>
          <w:color w:val="auto"/>
          <w:highlight w:val="none"/>
          <w:lang w:val="en-US" w:eastAsia="zh-CN"/>
        </w:rPr>
        <w:t>10</w:t>
      </w:r>
      <w:r>
        <w:rPr>
          <w:rFonts w:hint="eastAsia"/>
          <w:color w:val="auto"/>
          <w:highlight w:val="none"/>
        </w:rPr>
        <w:t>万小时；；</w:t>
      </w:r>
    </w:p>
    <w:p>
      <w:pPr>
        <w:numPr>
          <w:ilvl w:val="0"/>
          <w:numId w:val="33"/>
        </w:numPr>
        <w:spacing w:after="0" w:line="360" w:lineRule="auto"/>
        <w:ind w:left="1443" w:right="12" w:hanging="243"/>
        <w:rPr>
          <w:color w:val="auto"/>
          <w:highlight w:val="none"/>
        </w:rPr>
      </w:pPr>
      <w:r>
        <w:rPr>
          <w:rFonts w:hint="eastAsia"/>
          <w:color w:val="auto"/>
          <w:highlight w:val="none"/>
        </w:rPr>
        <w:t>独立计时精度：≤±0.05秒/天；</w:t>
      </w:r>
    </w:p>
    <w:p>
      <w:pPr>
        <w:numPr>
          <w:ilvl w:val="0"/>
          <w:numId w:val="33"/>
        </w:numPr>
        <w:spacing w:after="0" w:line="360" w:lineRule="auto"/>
        <w:ind w:left="1443" w:right="12" w:hanging="243"/>
        <w:rPr>
          <w:color w:val="auto"/>
          <w:highlight w:val="none"/>
        </w:rPr>
      </w:pPr>
      <w:r>
        <w:rPr>
          <w:rFonts w:hint="eastAsia"/>
          <w:color w:val="auto"/>
          <w:highlight w:val="none"/>
        </w:rPr>
        <w:t>同步精度：≤1-5mS；</w:t>
      </w:r>
    </w:p>
    <w:p>
      <w:pPr>
        <w:numPr>
          <w:ilvl w:val="0"/>
          <w:numId w:val="33"/>
        </w:numPr>
        <w:spacing w:after="0" w:line="360" w:lineRule="auto"/>
        <w:ind w:left="1443" w:right="12" w:hanging="243"/>
        <w:rPr>
          <w:color w:val="auto"/>
          <w:highlight w:val="none"/>
        </w:rPr>
      </w:pPr>
      <w:r>
        <w:rPr>
          <w:rFonts w:hint="eastAsia"/>
          <w:color w:val="auto"/>
          <w:highlight w:val="none"/>
        </w:rPr>
        <w:t>七段数码管显示，每段亮度均匀、全静态、无闪烁；</w:t>
      </w:r>
    </w:p>
    <w:p>
      <w:pPr>
        <w:numPr>
          <w:ilvl w:val="0"/>
          <w:numId w:val="33"/>
        </w:numPr>
        <w:spacing w:after="0" w:line="360" w:lineRule="auto"/>
        <w:ind w:left="1443" w:right="12" w:hanging="243"/>
        <w:rPr>
          <w:color w:val="auto"/>
          <w:highlight w:val="none"/>
        </w:rPr>
      </w:pPr>
      <w:r>
        <w:rPr>
          <w:rFonts w:hint="eastAsia"/>
          <w:color w:val="auto"/>
          <w:highlight w:val="none"/>
        </w:rPr>
        <w:t>子钟平均无故障时间（MTBF）：≥8万小时</w:t>
      </w:r>
    </w:p>
    <w:p>
      <w:pPr>
        <w:numPr>
          <w:ilvl w:val="0"/>
          <w:numId w:val="33"/>
        </w:numPr>
        <w:spacing w:after="0" w:line="360" w:lineRule="auto"/>
        <w:ind w:left="1443" w:right="12" w:hanging="243"/>
        <w:rPr>
          <w:color w:val="auto"/>
          <w:highlight w:val="none"/>
        </w:rPr>
      </w:pPr>
      <w:r>
        <w:rPr>
          <w:rFonts w:hint="eastAsia"/>
          <w:color w:val="auto"/>
          <w:highlight w:val="none"/>
        </w:rPr>
        <w:t>寿命：＞20年。</w:t>
      </w:r>
    </w:p>
    <w:p>
      <w:pPr>
        <w:numPr>
          <w:ilvl w:val="0"/>
          <w:numId w:val="33"/>
        </w:numPr>
        <w:spacing w:after="0" w:line="360" w:lineRule="auto"/>
        <w:ind w:left="1443" w:right="12" w:hanging="243"/>
        <w:rPr>
          <w:color w:val="auto"/>
          <w:highlight w:val="none"/>
        </w:rPr>
      </w:pPr>
      <w:r>
        <w:rPr>
          <w:rFonts w:hint="eastAsia"/>
          <w:color w:val="auto"/>
          <w:highlight w:val="none"/>
          <w:lang w:val="en-US" w:eastAsia="zh-CN"/>
        </w:rPr>
        <w:t>接口类型：10BaseT/100BaseT以太网接口/RJ45</w:t>
      </w:r>
    </w:p>
    <w:p>
      <w:pPr>
        <w:numPr>
          <w:ilvl w:val="0"/>
          <w:numId w:val="33"/>
        </w:numPr>
        <w:spacing w:after="0" w:line="360" w:lineRule="auto"/>
        <w:ind w:left="1443" w:right="12" w:hanging="243"/>
        <w:rPr>
          <w:color w:val="auto"/>
          <w:highlight w:val="none"/>
        </w:rPr>
      </w:pPr>
      <w:r>
        <w:rPr>
          <w:rFonts w:hint="eastAsia"/>
          <w:color w:val="auto"/>
          <w:highlight w:val="none"/>
          <w:lang w:val="en-US" w:eastAsia="zh-CN"/>
        </w:rPr>
        <w:t>电源：AC220V</w:t>
      </w:r>
    </w:p>
    <w:p>
      <w:pPr>
        <w:spacing w:after="0" w:line="360" w:lineRule="auto"/>
        <w:ind w:left="1833" w:right="12" w:firstLine="0"/>
        <w:rPr>
          <w:color w:val="auto"/>
          <w:highlight w:val="none"/>
        </w:rPr>
      </w:pPr>
    </w:p>
    <w:p>
      <w:pPr>
        <w:numPr>
          <w:ilvl w:val="2"/>
          <w:numId w:val="3"/>
        </w:numPr>
        <w:spacing w:after="0" w:line="360" w:lineRule="auto"/>
        <w:ind w:left="976" w:leftChars="100" w:right="12" w:hanging="736" w:hangingChars="307"/>
        <w:rPr>
          <w:color w:val="auto"/>
          <w:highlight w:val="none"/>
        </w:rPr>
      </w:pPr>
      <w:r>
        <w:rPr>
          <w:rFonts w:hint="eastAsia"/>
          <w:color w:val="auto"/>
          <w:highlight w:val="none"/>
        </w:rPr>
        <w:t>GPS中心母钟</w:t>
      </w:r>
    </w:p>
    <w:p>
      <w:pPr>
        <w:numPr>
          <w:ilvl w:val="0"/>
          <w:numId w:val="34"/>
        </w:numPr>
        <w:spacing w:after="0" w:line="360" w:lineRule="auto"/>
        <w:ind w:left="1443" w:right="12" w:hanging="243"/>
        <w:rPr>
          <w:color w:val="auto"/>
          <w:highlight w:val="none"/>
        </w:rPr>
      </w:pPr>
      <w:r>
        <w:rPr>
          <w:rFonts w:hint="eastAsia"/>
          <w:color w:val="auto"/>
          <w:highlight w:val="none"/>
        </w:rPr>
        <w:t>双备份，主备自动切换；面板年月日时分秒显示；</w:t>
      </w:r>
    </w:p>
    <w:p>
      <w:pPr>
        <w:numPr>
          <w:ilvl w:val="0"/>
          <w:numId w:val="34"/>
        </w:numPr>
        <w:spacing w:after="0" w:line="360" w:lineRule="auto"/>
        <w:ind w:left="1443" w:right="12" w:hanging="243"/>
        <w:rPr>
          <w:color w:val="auto"/>
          <w:highlight w:val="none"/>
        </w:rPr>
      </w:pPr>
      <w:r>
        <w:rPr>
          <w:rFonts w:hint="eastAsia"/>
          <w:color w:val="auto"/>
          <w:highlight w:val="none"/>
        </w:rPr>
        <w:t>自动接收GPS（北斗）提供的标准时间信号</w:t>
      </w:r>
    </w:p>
    <w:p>
      <w:pPr>
        <w:numPr>
          <w:ilvl w:val="0"/>
          <w:numId w:val="34"/>
        </w:numPr>
        <w:spacing w:after="0" w:line="360" w:lineRule="auto"/>
        <w:ind w:left="1443" w:right="12" w:hanging="243"/>
        <w:rPr>
          <w:color w:val="auto"/>
          <w:highlight w:val="none"/>
        </w:rPr>
      </w:pPr>
      <w:r>
        <w:rPr>
          <w:rFonts w:hint="eastAsia"/>
          <w:color w:val="auto"/>
          <w:highlight w:val="none"/>
        </w:rPr>
        <w:t>标准计时精度：≤± 1S/年</w:t>
      </w:r>
    </w:p>
    <w:p>
      <w:pPr>
        <w:numPr>
          <w:ilvl w:val="0"/>
          <w:numId w:val="34"/>
        </w:numPr>
        <w:spacing w:after="0" w:line="360" w:lineRule="auto"/>
        <w:ind w:left="1443" w:right="12" w:hanging="243"/>
        <w:rPr>
          <w:color w:val="auto"/>
          <w:highlight w:val="none"/>
        </w:rPr>
      </w:pPr>
      <w:r>
        <w:rPr>
          <w:rFonts w:hint="eastAsia"/>
          <w:color w:val="auto"/>
          <w:highlight w:val="none"/>
        </w:rPr>
        <w:t>自身计时精度：≤±0.001S/天</w:t>
      </w:r>
    </w:p>
    <w:p>
      <w:pPr>
        <w:numPr>
          <w:ilvl w:val="0"/>
          <w:numId w:val="34"/>
        </w:numPr>
        <w:spacing w:after="0" w:line="360" w:lineRule="auto"/>
        <w:ind w:left="1443" w:right="12" w:hanging="243"/>
        <w:rPr>
          <w:color w:val="auto"/>
          <w:highlight w:val="none"/>
        </w:rPr>
      </w:pPr>
      <w:r>
        <w:rPr>
          <w:rFonts w:hint="eastAsia"/>
          <w:color w:val="auto"/>
          <w:highlight w:val="none"/>
        </w:rPr>
        <w:t>同步误差：≤1~5ms</w:t>
      </w:r>
    </w:p>
    <w:p>
      <w:pPr>
        <w:numPr>
          <w:ilvl w:val="0"/>
          <w:numId w:val="34"/>
        </w:numPr>
        <w:spacing w:after="0" w:line="360" w:lineRule="auto"/>
        <w:ind w:left="1443" w:right="12" w:hanging="243"/>
        <w:rPr>
          <w:color w:val="auto"/>
          <w:highlight w:val="none"/>
        </w:rPr>
      </w:pPr>
      <w:r>
        <w:rPr>
          <w:rFonts w:hint="eastAsia"/>
          <w:color w:val="auto"/>
          <w:highlight w:val="none"/>
        </w:rPr>
        <w:t>MTBF：≥8万小时</w:t>
      </w:r>
    </w:p>
    <w:p>
      <w:pPr>
        <w:numPr>
          <w:ilvl w:val="0"/>
          <w:numId w:val="34"/>
        </w:numPr>
        <w:spacing w:after="0" w:line="360" w:lineRule="auto"/>
        <w:ind w:left="1443" w:right="12" w:hanging="243"/>
        <w:rPr>
          <w:color w:val="auto"/>
          <w:highlight w:val="none"/>
        </w:rPr>
      </w:pPr>
      <w:r>
        <w:rPr>
          <w:rFonts w:hint="eastAsia"/>
          <w:color w:val="auto"/>
          <w:highlight w:val="none"/>
          <w:lang w:val="en-US" w:eastAsia="zh-CN"/>
        </w:rPr>
        <w:t>电源:AC220V</w:t>
      </w:r>
    </w:p>
    <w:p>
      <w:pPr>
        <w:spacing w:after="0" w:line="360" w:lineRule="auto"/>
        <w:ind w:left="1833" w:right="12" w:firstLine="0"/>
        <w:rPr>
          <w:color w:val="auto"/>
          <w:highlight w:val="none"/>
        </w:rPr>
      </w:pPr>
    </w:p>
    <w:p>
      <w:pPr>
        <w:numPr>
          <w:ilvl w:val="2"/>
          <w:numId w:val="3"/>
        </w:numPr>
        <w:spacing w:after="0" w:line="360" w:lineRule="auto"/>
        <w:ind w:left="976" w:leftChars="100" w:right="12" w:hanging="736" w:hangingChars="307"/>
        <w:rPr>
          <w:color w:val="auto"/>
          <w:highlight w:val="none"/>
        </w:rPr>
      </w:pPr>
      <w:r>
        <w:rPr>
          <w:rFonts w:hint="eastAsia"/>
          <w:color w:val="auto"/>
          <w:highlight w:val="none"/>
        </w:rPr>
        <w:t>NTP时间服务器</w:t>
      </w:r>
    </w:p>
    <w:p>
      <w:pPr>
        <w:numPr>
          <w:ilvl w:val="0"/>
          <w:numId w:val="35"/>
        </w:numPr>
        <w:spacing w:after="0" w:line="360" w:lineRule="auto"/>
        <w:ind w:left="1423" w:right="12" w:hanging="223"/>
        <w:rPr>
          <w:color w:val="auto"/>
          <w:highlight w:val="none"/>
        </w:rPr>
      </w:pPr>
      <w:r>
        <w:rPr>
          <w:rFonts w:hint="eastAsia"/>
          <w:color w:val="auto"/>
          <w:highlight w:val="none"/>
        </w:rPr>
        <w:t>LCD触摸液晶屏显示;</w:t>
      </w:r>
    </w:p>
    <w:p>
      <w:pPr>
        <w:numPr>
          <w:ilvl w:val="0"/>
          <w:numId w:val="35"/>
        </w:numPr>
        <w:spacing w:after="0" w:line="360" w:lineRule="auto"/>
        <w:ind w:left="1423" w:right="12" w:hanging="223"/>
        <w:rPr>
          <w:color w:val="auto"/>
          <w:highlight w:val="none"/>
        </w:rPr>
      </w:pPr>
      <w:r>
        <w:rPr>
          <w:rFonts w:hint="eastAsia"/>
          <w:color w:val="auto"/>
          <w:highlight w:val="none"/>
        </w:rPr>
        <w:t>NTP请求量：≥8000次/秒;</w:t>
      </w:r>
    </w:p>
    <w:p>
      <w:pPr>
        <w:numPr>
          <w:ilvl w:val="0"/>
          <w:numId w:val="35"/>
        </w:numPr>
        <w:spacing w:after="0" w:line="360" w:lineRule="auto"/>
        <w:ind w:left="1423" w:right="12" w:hanging="223"/>
        <w:rPr>
          <w:color w:val="auto"/>
          <w:highlight w:val="none"/>
        </w:rPr>
      </w:pPr>
      <w:r>
        <w:rPr>
          <w:rFonts w:hint="eastAsia"/>
          <w:color w:val="auto"/>
          <w:highlight w:val="none"/>
        </w:rPr>
        <w:t>支持心跳检测和绑定功能</w:t>
      </w:r>
    </w:p>
    <w:p>
      <w:pPr>
        <w:numPr>
          <w:ilvl w:val="0"/>
          <w:numId w:val="35"/>
        </w:numPr>
        <w:spacing w:after="0" w:line="360" w:lineRule="auto"/>
        <w:ind w:left="1423" w:right="12" w:hanging="223"/>
        <w:rPr>
          <w:color w:val="auto"/>
          <w:highlight w:val="none"/>
        </w:rPr>
      </w:pPr>
      <w:r>
        <w:rPr>
          <w:rFonts w:hint="eastAsia"/>
          <w:color w:val="auto"/>
          <w:highlight w:val="none"/>
          <w:lang w:val="en-US" w:eastAsia="zh-CN"/>
        </w:rPr>
        <w:t>输入信号:RS422</w:t>
      </w:r>
    </w:p>
    <w:p>
      <w:pPr>
        <w:numPr>
          <w:ilvl w:val="0"/>
          <w:numId w:val="35"/>
        </w:numPr>
        <w:spacing w:after="0" w:line="360" w:lineRule="auto"/>
        <w:ind w:left="1423" w:right="12" w:hanging="223"/>
        <w:rPr>
          <w:color w:val="auto"/>
          <w:highlight w:val="none"/>
        </w:rPr>
      </w:pPr>
      <w:r>
        <w:rPr>
          <w:rFonts w:hint="eastAsia"/>
          <w:color w:val="auto"/>
          <w:highlight w:val="none"/>
          <w:lang w:val="en-US" w:eastAsia="zh-CN"/>
        </w:rPr>
        <w:t>输出信号：10BaseT/100BaseT以太网接口/RJ45</w:t>
      </w:r>
    </w:p>
    <w:p>
      <w:pPr>
        <w:numPr>
          <w:ilvl w:val="0"/>
          <w:numId w:val="35"/>
        </w:numPr>
        <w:spacing w:after="0" w:line="360" w:lineRule="auto"/>
        <w:ind w:left="1423" w:right="12" w:hanging="223"/>
        <w:rPr>
          <w:color w:val="auto"/>
          <w:highlight w:val="none"/>
        </w:rPr>
      </w:pPr>
      <w:r>
        <w:rPr>
          <w:rFonts w:hint="eastAsia"/>
          <w:color w:val="auto"/>
          <w:highlight w:val="none"/>
          <w:lang w:val="en-US" w:eastAsia="zh-CN"/>
        </w:rPr>
        <w:t>同步误差</w:t>
      </w:r>
      <w:r>
        <w:rPr>
          <w:rFonts w:hint="eastAsia"/>
          <w:color w:val="auto"/>
          <w:highlight w:val="none"/>
        </w:rPr>
        <w:t>≤</w:t>
      </w:r>
      <w:r>
        <w:rPr>
          <w:rFonts w:hint="eastAsia"/>
          <w:color w:val="auto"/>
          <w:highlight w:val="none"/>
          <w:lang w:val="en-US" w:eastAsia="zh-CN"/>
        </w:rPr>
        <w:t>2MS</w:t>
      </w:r>
    </w:p>
    <w:p>
      <w:pPr>
        <w:numPr>
          <w:ilvl w:val="0"/>
          <w:numId w:val="35"/>
        </w:numPr>
        <w:spacing w:after="0" w:line="360" w:lineRule="auto"/>
        <w:ind w:left="1423" w:right="12" w:hanging="223"/>
        <w:rPr>
          <w:color w:val="auto"/>
          <w:highlight w:val="none"/>
        </w:rPr>
      </w:pPr>
      <w:r>
        <w:rPr>
          <w:rFonts w:hint="eastAsia"/>
          <w:color w:val="auto"/>
          <w:highlight w:val="none"/>
          <w:lang w:val="en-US" w:eastAsia="zh-CN"/>
        </w:rPr>
        <w:t>电源：AC220V</w:t>
      </w:r>
    </w:p>
    <w:p>
      <w:pPr>
        <w:spacing w:after="0" w:line="360" w:lineRule="auto"/>
        <w:ind w:left="1833" w:right="12" w:firstLine="0"/>
        <w:rPr>
          <w:color w:val="auto"/>
          <w:highlight w:val="none"/>
        </w:rPr>
      </w:pPr>
    </w:p>
    <w:p>
      <w:pPr>
        <w:numPr>
          <w:ilvl w:val="2"/>
          <w:numId w:val="3"/>
        </w:numPr>
        <w:spacing w:after="0" w:line="360" w:lineRule="auto"/>
        <w:ind w:left="976" w:leftChars="100" w:right="12" w:hanging="736" w:hangingChars="307"/>
        <w:rPr>
          <w:color w:val="auto"/>
          <w:highlight w:val="none"/>
        </w:rPr>
      </w:pPr>
      <w:r>
        <w:rPr>
          <w:rFonts w:hint="eastAsia"/>
          <w:color w:val="auto"/>
          <w:highlight w:val="none"/>
          <w:lang w:val="en-US" w:eastAsia="zh-CN"/>
        </w:rPr>
        <w:t>网络接口</w:t>
      </w:r>
      <w:r>
        <w:rPr>
          <w:rFonts w:hint="eastAsia"/>
          <w:color w:val="auto"/>
          <w:highlight w:val="none"/>
        </w:rPr>
        <w:t>箱</w:t>
      </w:r>
    </w:p>
    <w:p>
      <w:pPr>
        <w:numPr>
          <w:ilvl w:val="0"/>
          <w:numId w:val="36"/>
        </w:numPr>
        <w:spacing w:after="0" w:line="360" w:lineRule="auto"/>
        <w:ind w:left="1423" w:right="12" w:hanging="223"/>
        <w:rPr>
          <w:color w:val="auto"/>
          <w:highlight w:val="none"/>
        </w:rPr>
      </w:pPr>
      <w:r>
        <w:rPr>
          <w:rFonts w:hint="eastAsia"/>
          <w:color w:val="auto"/>
          <w:highlight w:val="none"/>
          <w:lang w:val="en-US" w:eastAsia="zh-CN"/>
        </w:rPr>
        <w:t>输出接口：1个RJ45，16个标准RS422/485接口</w:t>
      </w:r>
    </w:p>
    <w:p>
      <w:pPr>
        <w:numPr>
          <w:ilvl w:val="0"/>
          <w:numId w:val="36"/>
        </w:numPr>
        <w:spacing w:after="0" w:line="360" w:lineRule="auto"/>
        <w:ind w:left="1423" w:right="12" w:hanging="223"/>
        <w:rPr>
          <w:color w:val="auto"/>
          <w:highlight w:val="none"/>
        </w:rPr>
      </w:pPr>
      <w:r>
        <w:rPr>
          <w:rFonts w:hint="eastAsia"/>
          <w:color w:val="auto"/>
          <w:highlight w:val="none"/>
          <w:lang w:val="en-US" w:eastAsia="zh-CN"/>
        </w:rPr>
        <w:t>接口：TIA/EIA-422-A标准，兼容EIA/TIA RS232C和RS485标准，协议为串行码透明协议；</w:t>
      </w:r>
    </w:p>
    <w:p>
      <w:pPr>
        <w:numPr>
          <w:ilvl w:val="0"/>
          <w:numId w:val="36"/>
        </w:numPr>
        <w:spacing w:after="0" w:line="360" w:lineRule="auto"/>
        <w:ind w:left="1423" w:right="12" w:hanging="223"/>
        <w:rPr>
          <w:color w:val="auto"/>
          <w:highlight w:val="none"/>
        </w:rPr>
      </w:pPr>
      <w:r>
        <w:rPr>
          <w:rFonts w:hint="eastAsia"/>
          <w:color w:val="auto"/>
          <w:highlight w:val="none"/>
          <w:lang w:val="en-US" w:eastAsia="zh-CN"/>
        </w:rPr>
        <w:t>MTBF</w:t>
      </w:r>
      <w:r>
        <w:rPr>
          <w:rFonts w:hint="eastAsia"/>
          <w:color w:val="auto"/>
          <w:highlight w:val="none"/>
        </w:rPr>
        <w:t>≥8万小时</w:t>
      </w:r>
    </w:p>
    <w:p>
      <w:pPr>
        <w:numPr>
          <w:ilvl w:val="0"/>
          <w:numId w:val="36"/>
        </w:numPr>
        <w:spacing w:after="0" w:line="360" w:lineRule="auto"/>
        <w:ind w:left="1423" w:right="12" w:hanging="223"/>
        <w:rPr>
          <w:color w:val="auto"/>
          <w:highlight w:val="none"/>
        </w:rPr>
      </w:pPr>
      <w:r>
        <w:rPr>
          <w:rFonts w:hint="eastAsia"/>
          <w:color w:val="auto"/>
          <w:highlight w:val="none"/>
        </w:rPr>
        <w:t>通信速率：9600bps；</w:t>
      </w:r>
    </w:p>
    <w:p>
      <w:pPr>
        <w:numPr>
          <w:ilvl w:val="0"/>
          <w:numId w:val="36"/>
        </w:numPr>
        <w:spacing w:after="0" w:line="360" w:lineRule="auto"/>
        <w:ind w:left="1423" w:right="12" w:hanging="223"/>
        <w:rPr>
          <w:color w:val="auto"/>
          <w:highlight w:val="none"/>
        </w:rPr>
      </w:pPr>
      <w:r>
        <w:rPr>
          <w:rFonts w:hint="eastAsia"/>
          <w:color w:val="auto"/>
          <w:highlight w:val="none"/>
          <w:lang w:val="en-US" w:eastAsia="zh-CN"/>
        </w:rPr>
        <w:t>电源：AC220V</w:t>
      </w:r>
    </w:p>
    <w:p>
      <w:pPr>
        <w:numPr>
          <w:ilvl w:val="0"/>
          <w:numId w:val="0"/>
        </w:numPr>
        <w:spacing w:after="0" w:line="360" w:lineRule="auto"/>
        <w:ind w:left="1200" w:leftChars="0" w:right="12" w:rightChars="0"/>
        <w:rPr>
          <w:color w:val="auto"/>
          <w:highlight w:val="none"/>
        </w:rPr>
      </w:pPr>
    </w:p>
    <w:p>
      <w:pPr>
        <w:numPr>
          <w:ilvl w:val="2"/>
          <w:numId w:val="3"/>
        </w:numPr>
        <w:spacing w:after="0" w:line="360" w:lineRule="auto"/>
        <w:ind w:left="976" w:leftChars="100" w:right="12" w:hanging="736" w:hangingChars="307"/>
        <w:rPr>
          <w:color w:val="auto"/>
          <w:highlight w:val="none"/>
        </w:rPr>
      </w:pPr>
      <w:r>
        <w:rPr>
          <w:rFonts w:hint="eastAsia"/>
          <w:color w:val="auto"/>
          <w:highlight w:val="none"/>
          <w:lang w:val="en-US" w:eastAsia="zh-CN"/>
        </w:rPr>
        <w:t>GPS标准时间接收单元</w:t>
      </w:r>
    </w:p>
    <w:p>
      <w:pPr>
        <w:numPr>
          <w:ilvl w:val="0"/>
          <w:numId w:val="37"/>
        </w:numPr>
        <w:spacing w:after="0" w:line="360" w:lineRule="auto"/>
        <w:ind w:left="1423" w:right="12" w:hanging="223"/>
        <w:rPr>
          <w:color w:val="auto"/>
          <w:highlight w:val="none"/>
        </w:rPr>
      </w:pPr>
      <w:r>
        <w:rPr>
          <w:rFonts w:hint="eastAsia"/>
          <w:color w:val="auto"/>
          <w:highlight w:val="none"/>
          <w:lang w:val="en-US" w:eastAsia="zh-CN"/>
        </w:rPr>
        <w:t>跟踪卫星：</w:t>
      </w:r>
      <w:r>
        <w:rPr>
          <w:rFonts w:hint="default"/>
          <w:highlight w:val="none"/>
        </w:rPr>
        <w:t>≥6</w:t>
      </w:r>
      <w:r>
        <w:rPr>
          <w:rFonts w:hint="eastAsia"/>
          <w:highlight w:val="none"/>
        </w:rPr>
        <w:t>颗卫星同时跟踪</w:t>
      </w:r>
    </w:p>
    <w:p>
      <w:pPr>
        <w:numPr>
          <w:ilvl w:val="0"/>
          <w:numId w:val="37"/>
        </w:numPr>
        <w:spacing w:after="0" w:line="360" w:lineRule="auto"/>
        <w:ind w:left="1423" w:right="12" w:hanging="223"/>
        <w:rPr>
          <w:color w:val="auto"/>
          <w:highlight w:val="none"/>
        </w:rPr>
      </w:pPr>
      <w:r>
        <w:rPr>
          <w:rFonts w:hint="eastAsia"/>
          <w:highlight w:val="none"/>
        </w:rPr>
        <w:t>频率稳定度：</w:t>
      </w:r>
      <w:r>
        <w:rPr>
          <w:rFonts w:hint="default"/>
          <w:highlight w:val="none"/>
        </w:rPr>
        <w:t>10-12~10-9</w:t>
      </w:r>
      <w:r>
        <w:rPr>
          <w:rFonts w:hint="eastAsia"/>
          <w:highlight w:val="none"/>
        </w:rPr>
        <w:t>；</w:t>
      </w:r>
    </w:p>
    <w:p>
      <w:pPr>
        <w:numPr>
          <w:ilvl w:val="0"/>
          <w:numId w:val="37"/>
        </w:numPr>
        <w:spacing w:after="0" w:line="360" w:lineRule="auto"/>
        <w:ind w:left="1423" w:right="12" w:hanging="223"/>
        <w:rPr>
          <w:color w:val="auto"/>
          <w:highlight w:val="none"/>
        </w:rPr>
      </w:pPr>
      <w:r>
        <w:rPr>
          <w:rFonts w:hint="eastAsia"/>
          <w:highlight w:val="none"/>
        </w:rPr>
        <w:t>同步误差：</w:t>
      </w:r>
      <w:r>
        <w:rPr>
          <w:rFonts w:hint="default"/>
          <w:highlight w:val="none"/>
        </w:rPr>
        <w:t>≤50ns</w:t>
      </w:r>
      <w:r>
        <w:rPr>
          <w:rFonts w:hint="eastAsia"/>
          <w:highlight w:val="none"/>
        </w:rPr>
        <w:t>；</w:t>
      </w:r>
    </w:p>
    <w:p>
      <w:pPr>
        <w:numPr>
          <w:ilvl w:val="0"/>
          <w:numId w:val="37"/>
        </w:numPr>
        <w:spacing w:after="0" w:line="360" w:lineRule="auto"/>
        <w:ind w:left="1423" w:right="12" w:hanging="223"/>
        <w:rPr>
          <w:color w:val="auto"/>
          <w:highlight w:val="none"/>
        </w:rPr>
      </w:pPr>
      <w:r>
        <w:rPr>
          <w:rFonts w:hint="eastAsia"/>
          <w:highlight w:val="none"/>
        </w:rPr>
        <w:t>信号传输距离：</w:t>
      </w:r>
      <w:r>
        <w:rPr>
          <w:rFonts w:hint="default"/>
          <w:highlight w:val="none"/>
        </w:rPr>
        <w:t>≤1200</w:t>
      </w:r>
      <w:r>
        <w:rPr>
          <w:rFonts w:hint="eastAsia"/>
          <w:highlight w:val="none"/>
        </w:rPr>
        <w:t>米；</w:t>
      </w:r>
    </w:p>
    <w:p>
      <w:pPr>
        <w:numPr>
          <w:ilvl w:val="0"/>
          <w:numId w:val="37"/>
        </w:numPr>
        <w:spacing w:after="0" w:line="360" w:lineRule="auto"/>
        <w:ind w:left="1423" w:right="12" w:hanging="223"/>
        <w:rPr>
          <w:color w:val="auto"/>
          <w:highlight w:val="none"/>
        </w:rPr>
      </w:pPr>
      <w:r>
        <w:rPr>
          <w:rFonts w:hint="eastAsia"/>
          <w:highlight w:val="none"/>
        </w:rPr>
        <w:t>天线：具备防尘、防水、防腐、避雷</w:t>
      </w:r>
    </w:p>
    <w:p>
      <w:pPr>
        <w:numPr>
          <w:ilvl w:val="0"/>
          <w:numId w:val="37"/>
        </w:numPr>
        <w:spacing w:after="0" w:line="360" w:lineRule="auto"/>
        <w:ind w:left="1423" w:right="12" w:hanging="223"/>
        <w:rPr>
          <w:color w:val="auto"/>
          <w:highlight w:val="none"/>
        </w:rPr>
      </w:pPr>
      <w:r>
        <w:rPr>
          <w:rFonts w:hint="eastAsia"/>
          <w:highlight w:val="none"/>
        </w:rPr>
        <w:t>接口方式：标准</w:t>
      </w:r>
      <w:r>
        <w:rPr>
          <w:rFonts w:hint="default"/>
          <w:highlight w:val="none"/>
        </w:rPr>
        <w:t>RS422/RS485</w:t>
      </w:r>
      <w:r>
        <w:rPr>
          <w:rFonts w:hint="eastAsia"/>
          <w:highlight w:val="none"/>
        </w:rPr>
        <w:t>接口；</w:t>
      </w:r>
    </w:p>
    <w:p>
      <w:pPr>
        <w:numPr>
          <w:ilvl w:val="0"/>
          <w:numId w:val="37"/>
        </w:numPr>
        <w:spacing w:after="0" w:line="360" w:lineRule="auto"/>
        <w:ind w:left="1423" w:right="12" w:hanging="223"/>
        <w:rPr>
          <w:color w:val="auto"/>
          <w:highlight w:val="none"/>
        </w:rPr>
      </w:pPr>
      <w:r>
        <w:rPr>
          <w:rFonts w:hint="eastAsia"/>
          <w:highlight w:val="none"/>
        </w:rPr>
        <w:t>供电电源：</w:t>
      </w:r>
      <w:r>
        <w:rPr>
          <w:rFonts w:hint="default"/>
          <w:highlight w:val="none"/>
        </w:rPr>
        <w:t>AC220V</w:t>
      </w:r>
    </w:p>
    <w:p>
      <w:pPr>
        <w:numPr>
          <w:ilvl w:val="0"/>
          <w:numId w:val="0"/>
        </w:numPr>
        <w:spacing w:after="0" w:line="360" w:lineRule="auto"/>
        <w:ind w:leftChars="-207" w:right="12" w:rightChars="0"/>
        <w:rPr>
          <w:color w:val="auto"/>
          <w:highlight w:val="none"/>
        </w:rPr>
      </w:pPr>
    </w:p>
    <w:p>
      <w:pPr>
        <w:spacing w:after="0" w:line="360" w:lineRule="auto"/>
        <w:ind w:right="12"/>
        <w:rPr>
          <w:color w:val="auto"/>
          <w:highlight w:val="none"/>
        </w:rPr>
      </w:pPr>
    </w:p>
    <w:p>
      <w:pPr>
        <w:pStyle w:val="3"/>
        <w:numPr>
          <w:ilvl w:val="1"/>
          <w:numId w:val="3"/>
        </w:numPr>
        <w:spacing w:before="0" w:after="0" w:line="360" w:lineRule="auto"/>
        <w:ind w:left="10" w:right="1593"/>
        <w:rPr>
          <w:rFonts w:ascii="宋体" w:hAnsi="宋体" w:eastAsia="宋体" w:cs="Times New Roman"/>
          <w:color w:val="auto"/>
          <w:sz w:val="24"/>
          <w:szCs w:val="24"/>
          <w:highlight w:val="none"/>
        </w:rPr>
      </w:pPr>
      <w:r>
        <w:rPr>
          <w:rFonts w:ascii="宋体" w:hAnsi="宋体" w:eastAsia="宋体" w:cs="Times New Roman"/>
          <w:color w:val="auto"/>
          <w:sz w:val="24"/>
          <w:szCs w:val="24"/>
          <w:highlight w:val="none"/>
        </w:rPr>
        <w:t xml:space="preserve">     系统测试检验 </w:t>
      </w:r>
    </w:p>
    <w:p>
      <w:pPr>
        <w:numPr>
          <w:ilvl w:val="2"/>
          <w:numId w:val="3"/>
        </w:numPr>
        <w:spacing w:after="0" w:line="360" w:lineRule="auto"/>
        <w:ind w:left="976" w:leftChars="100" w:right="12" w:hanging="736" w:hangingChars="307"/>
        <w:rPr>
          <w:color w:val="auto"/>
          <w:highlight w:val="none"/>
        </w:rPr>
      </w:pPr>
      <w:r>
        <w:rPr>
          <w:color w:val="auto"/>
          <w:highlight w:val="none"/>
        </w:rPr>
        <w:t xml:space="preserve">检测结果符合设计要求。 </w:t>
      </w:r>
    </w:p>
    <w:p>
      <w:pPr>
        <w:numPr>
          <w:ilvl w:val="2"/>
          <w:numId w:val="3"/>
        </w:numPr>
        <w:spacing w:after="0" w:line="360" w:lineRule="auto"/>
        <w:ind w:left="979" w:right="12" w:hanging="739"/>
        <w:rPr>
          <w:color w:val="auto"/>
          <w:szCs w:val="21"/>
          <w:highlight w:val="none"/>
        </w:rPr>
      </w:pPr>
      <w:r>
        <w:rPr>
          <w:color w:val="auto"/>
          <w:szCs w:val="21"/>
          <w:highlight w:val="none"/>
        </w:rPr>
        <w:t xml:space="preserve">系统检验应符合现行标准《智能建筑工程施工规范》（GB50606-2010）、《智能建筑工程质量验收规范》（GB50339-2013）等标准规范以及当地相关部门的要求。 </w:t>
      </w:r>
    </w:p>
    <w:p>
      <w:pPr>
        <w:spacing w:after="0" w:line="360" w:lineRule="auto"/>
        <w:ind w:left="0" w:right="0" w:firstLine="0"/>
        <w:rPr>
          <w:color w:val="auto"/>
          <w:szCs w:val="21"/>
          <w:highlight w:val="none"/>
        </w:rPr>
      </w:pPr>
      <w:r>
        <w:rPr>
          <w:color w:val="auto"/>
          <w:szCs w:val="21"/>
          <w:highlight w:val="none"/>
        </w:rPr>
        <w:br w:type="page"/>
      </w:r>
    </w:p>
    <w:p>
      <w:pPr>
        <w:pStyle w:val="2"/>
        <w:numPr>
          <w:ilvl w:val="0"/>
          <w:numId w:val="2"/>
        </w:numPr>
        <w:tabs>
          <w:tab w:val="center" w:pos="480"/>
        </w:tabs>
        <w:spacing w:after="0" w:line="360" w:lineRule="auto"/>
        <w:ind w:right="0"/>
        <w:rPr>
          <w:b/>
          <w:color w:val="auto"/>
          <w:sz w:val="30"/>
          <w:szCs w:val="30"/>
          <w:highlight w:val="none"/>
        </w:rPr>
      </w:pPr>
      <w:bookmarkStart w:id="92" w:name="_Toc15966"/>
      <w:bookmarkStart w:id="93" w:name="_Toc31464"/>
      <w:bookmarkStart w:id="94" w:name="_Toc79151139"/>
      <w:bookmarkStart w:id="95" w:name="_Toc13193"/>
      <w:bookmarkStart w:id="96" w:name="_Toc7397"/>
      <w:bookmarkStart w:id="97" w:name="_Toc5676"/>
      <w:bookmarkStart w:id="98" w:name="_Toc7803"/>
      <w:bookmarkStart w:id="99" w:name="_Toc18212"/>
      <w:bookmarkStart w:id="100" w:name="_Toc8560"/>
      <w:bookmarkStart w:id="101" w:name="_Toc17961"/>
      <w:bookmarkStart w:id="102" w:name="_Toc21785"/>
      <w:bookmarkStart w:id="103" w:name="_Toc24158"/>
      <w:bookmarkStart w:id="104" w:name="_Toc14231"/>
      <w:bookmarkStart w:id="105" w:name="_Toc21926"/>
      <w:bookmarkStart w:id="106" w:name="_Toc21660"/>
      <w:bookmarkStart w:id="107" w:name="_Toc13612"/>
      <w:bookmarkStart w:id="108" w:name="_Toc16970"/>
      <w:bookmarkStart w:id="109" w:name="_Toc16582"/>
      <w:bookmarkStart w:id="110" w:name="_Toc26982"/>
      <w:bookmarkStart w:id="111" w:name="_Toc9267"/>
      <w:bookmarkStart w:id="112" w:name="_Toc12617"/>
      <w:bookmarkStart w:id="113" w:name="_Toc23188"/>
      <w:r>
        <w:rPr>
          <w:rFonts w:hint="eastAsia"/>
          <w:b/>
          <w:color w:val="auto"/>
          <w:sz w:val="30"/>
          <w:szCs w:val="30"/>
          <w:highlight w:val="none"/>
        </w:rPr>
        <w:t>会议系统</w:t>
      </w:r>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r>
        <w:rPr>
          <w:rFonts w:hint="eastAsia"/>
          <w:b/>
          <w:color w:val="auto"/>
          <w:sz w:val="30"/>
          <w:szCs w:val="30"/>
          <w:highlight w:val="none"/>
        </w:rPr>
        <w:t xml:space="preserve"> </w:t>
      </w:r>
    </w:p>
    <w:p>
      <w:pPr>
        <w:pStyle w:val="30"/>
        <w:keepNext/>
        <w:keepLines/>
        <w:numPr>
          <w:ilvl w:val="0"/>
          <w:numId w:val="3"/>
        </w:numPr>
        <w:spacing w:after="0" w:line="360" w:lineRule="auto"/>
        <w:ind w:right="1593" w:hanging="10" w:firstLineChars="0"/>
        <w:outlineLvl w:val="1"/>
        <w:rPr>
          <w:rFonts w:cs="Times New Roman"/>
          <w:b/>
          <w:bCs/>
          <w:vanish/>
          <w:color w:val="auto"/>
          <w:szCs w:val="24"/>
          <w:highlight w:val="none"/>
        </w:rPr>
      </w:pPr>
    </w:p>
    <w:p>
      <w:pPr>
        <w:pStyle w:val="3"/>
        <w:numPr>
          <w:ilvl w:val="1"/>
          <w:numId w:val="3"/>
        </w:numPr>
        <w:spacing w:before="0" w:after="0" w:line="360" w:lineRule="auto"/>
        <w:ind w:left="10" w:right="1593"/>
        <w:rPr>
          <w:rFonts w:ascii="宋体" w:hAnsi="宋体" w:eastAsia="宋体" w:cs="Times New Roman"/>
          <w:color w:val="auto"/>
          <w:sz w:val="24"/>
          <w:szCs w:val="24"/>
          <w:highlight w:val="none"/>
        </w:rPr>
      </w:pPr>
      <w:r>
        <w:rPr>
          <w:rFonts w:ascii="宋体" w:hAnsi="宋体" w:eastAsia="宋体" w:cs="Times New Roman"/>
          <w:color w:val="auto"/>
          <w:sz w:val="24"/>
          <w:szCs w:val="24"/>
          <w:highlight w:val="none"/>
        </w:rPr>
        <w:t xml:space="preserve"> 概述 </w:t>
      </w:r>
    </w:p>
    <w:p>
      <w:pPr>
        <w:numPr>
          <w:ilvl w:val="2"/>
          <w:numId w:val="3"/>
        </w:numPr>
        <w:spacing w:after="0" w:line="360" w:lineRule="auto"/>
        <w:ind w:left="979" w:right="12" w:hanging="739"/>
        <w:rPr>
          <w:color w:val="auto"/>
          <w:szCs w:val="21"/>
          <w:highlight w:val="none"/>
        </w:rPr>
      </w:pPr>
      <w:r>
        <w:rPr>
          <w:rFonts w:hint="eastAsia"/>
          <w:color w:val="auto"/>
          <w:szCs w:val="24"/>
          <w:highlight w:val="none"/>
        </w:rPr>
        <w:t>本项目会议室将须是一个集视频、语音、数据为一体的多媒体会议应用系统；建成后的会议系统将满足院方日常会议讨论、远程示教和学术报告等应用的需要。</w:t>
      </w:r>
    </w:p>
    <w:p>
      <w:pPr>
        <w:numPr>
          <w:ilvl w:val="2"/>
          <w:numId w:val="3"/>
        </w:numPr>
        <w:spacing w:after="0" w:line="360" w:lineRule="auto"/>
        <w:ind w:left="979" w:right="12" w:hanging="739"/>
        <w:rPr>
          <w:color w:val="auto"/>
          <w:szCs w:val="21"/>
          <w:highlight w:val="none"/>
        </w:rPr>
      </w:pPr>
      <w:r>
        <w:rPr>
          <w:rFonts w:hint="eastAsia" w:cs="Arial"/>
          <w:color w:val="auto"/>
          <w:highlight w:val="none"/>
        </w:rPr>
        <w:t>系统支持多种平台信息实现所有文字、图像、音频、控制等信息的安全共享、互联交互，满足应急/远程会诊、学术报告及手术示教等场景的应用需求。</w:t>
      </w:r>
    </w:p>
    <w:p>
      <w:pPr>
        <w:numPr>
          <w:ilvl w:val="2"/>
          <w:numId w:val="3"/>
        </w:numPr>
        <w:spacing w:after="0" w:line="360" w:lineRule="auto"/>
        <w:ind w:left="979" w:right="12" w:hanging="739"/>
        <w:rPr>
          <w:color w:val="auto"/>
          <w:szCs w:val="21"/>
          <w:highlight w:val="none"/>
        </w:rPr>
      </w:pPr>
      <w:r>
        <w:rPr>
          <w:color w:val="auto"/>
          <w:szCs w:val="21"/>
          <w:highlight w:val="none"/>
        </w:rPr>
        <w:t xml:space="preserve">系统应进行模块化设计，便于日后系统拓展及整合。同时实行统一管理，以保证各模块配合顺畅。 </w:t>
      </w:r>
    </w:p>
    <w:p>
      <w:pPr>
        <w:numPr>
          <w:ilvl w:val="2"/>
          <w:numId w:val="3"/>
        </w:numPr>
        <w:spacing w:after="0" w:line="360" w:lineRule="auto"/>
        <w:ind w:left="979" w:right="12" w:hanging="739"/>
        <w:rPr>
          <w:color w:val="auto"/>
          <w:szCs w:val="21"/>
          <w:highlight w:val="none"/>
        </w:rPr>
      </w:pPr>
      <w:r>
        <w:rPr>
          <w:color w:val="auto"/>
          <w:szCs w:val="21"/>
          <w:highlight w:val="none"/>
        </w:rPr>
        <w:t xml:space="preserve">本系统与其他专业系统协调配合，以达到整体协调无障碍运行。 </w:t>
      </w:r>
    </w:p>
    <w:p>
      <w:pPr>
        <w:numPr>
          <w:ilvl w:val="2"/>
          <w:numId w:val="3"/>
        </w:numPr>
        <w:spacing w:after="0" w:line="360" w:lineRule="auto"/>
        <w:ind w:left="979" w:right="12" w:hanging="739"/>
        <w:rPr>
          <w:color w:val="auto"/>
          <w:szCs w:val="21"/>
          <w:highlight w:val="none"/>
        </w:rPr>
      </w:pPr>
      <w:r>
        <w:rPr>
          <w:color w:val="auto"/>
          <w:szCs w:val="21"/>
          <w:highlight w:val="none"/>
        </w:rPr>
        <w:t xml:space="preserve">系统的安装与所有布线须符合相关的安全规范。 </w:t>
      </w:r>
    </w:p>
    <w:p>
      <w:pPr>
        <w:numPr>
          <w:ilvl w:val="2"/>
          <w:numId w:val="3"/>
        </w:numPr>
        <w:spacing w:after="0" w:line="360" w:lineRule="auto"/>
        <w:ind w:left="979" w:right="12" w:hanging="739"/>
        <w:rPr>
          <w:color w:val="auto"/>
          <w:szCs w:val="21"/>
          <w:highlight w:val="none"/>
        </w:rPr>
      </w:pPr>
      <w:r>
        <w:rPr>
          <w:color w:val="auto"/>
          <w:szCs w:val="21"/>
          <w:highlight w:val="none"/>
        </w:rPr>
        <w:t>本</w:t>
      </w:r>
      <w:r>
        <w:rPr>
          <w:rFonts w:hint="eastAsia"/>
          <w:color w:val="auto"/>
          <w:szCs w:val="21"/>
          <w:highlight w:val="none"/>
        </w:rPr>
        <w:t>项目会议系统包括</w:t>
      </w:r>
      <w:r>
        <w:rPr>
          <w:color w:val="auto"/>
          <w:szCs w:val="21"/>
          <w:highlight w:val="none"/>
        </w:rPr>
        <w:t xml:space="preserve">: </w:t>
      </w:r>
    </w:p>
    <w:p>
      <w:pPr>
        <w:numPr>
          <w:ilvl w:val="0"/>
          <w:numId w:val="38"/>
        </w:numPr>
        <w:spacing w:after="0" w:line="360" w:lineRule="auto"/>
        <w:ind w:left="1443" w:right="12" w:hanging="243"/>
        <w:rPr>
          <w:color w:val="auto"/>
          <w:highlight w:val="none"/>
        </w:rPr>
      </w:pPr>
      <w:r>
        <w:rPr>
          <w:rFonts w:hint="eastAsia"/>
          <w:color w:val="auto"/>
          <w:highlight w:val="none"/>
        </w:rPr>
        <w:t>8层信息中心会议室1间</w:t>
      </w:r>
    </w:p>
    <w:p>
      <w:pPr>
        <w:numPr>
          <w:ilvl w:val="0"/>
          <w:numId w:val="38"/>
        </w:numPr>
        <w:spacing w:after="0" w:line="360" w:lineRule="auto"/>
        <w:ind w:left="1443" w:right="12" w:hanging="243"/>
        <w:rPr>
          <w:color w:val="auto"/>
          <w:highlight w:val="none"/>
        </w:rPr>
      </w:pPr>
      <w:r>
        <w:rPr>
          <w:rFonts w:hint="eastAsia"/>
          <w:color w:val="auto"/>
          <w:highlight w:val="none"/>
        </w:rPr>
        <w:t>22层会议室1间</w:t>
      </w:r>
    </w:p>
    <w:p>
      <w:pPr>
        <w:spacing w:after="0" w:line="360" w:lineRule="auto"/>
        <w:ind w:left="1843" w:right="12" w:firstLine="0"/>
        <w:rPr>
          <w:color w:val="auto"/>
          <w:highlight w:val="none"/>
        </w:rPr>
      </w:pPr>
    </w:p>
    <w:p>
      <w:pPr>
        <w:pStyle w:val="3"/>
        <w:numPr>
          <w:ilvl w:val="1"/>
          <w:numId w:val="3"/>
        </w:numPr>
        <w:spacing w:before="0" w:after="0" w:line="360" w:lineRule="auto"/>
        <w:ind w:left="10" w:right="1593"/>
        <w:rPr>
          <w:rFonts w:ascii="宋体" w:hAnsi="宋体" w:eastAsia="宋体" w:cs="Times New Roman"/>
          <w:color w:val="auto"/>
          <w:sz w:val="24"/>
          <w:szCs w:val="24"/>
          <w:highlight w:val="none"/>
        </w:rPr>
      </w:pPr>
      <w:r>
        <w:rPr>
          <w:rFonts w:ascii="宋体" w:hAnsi="宋体" w:eastAsia="宋体" w:cs="Times New Roman"/>
          <w:color w:val="auto"/>
          <w:sz w:val="24"/>
          <w:szCs w:val="24"/>
          <w:highlight w:val="none"/>
        </w:rPr>
        <w:t xml:space="preserve"> </w:t>
      </w:r>
      <w:r>
        <w:rPr>
          <w:rFonts w:hint="eastAsia" w:ascii="宋体" w:hAnsi="宋体" w:eastAsia="宋体" w:cs="Times New Roman"/>
          <w:color w:val="auto"/>
          <w:sz w:val="24"/>
          <w:szCs w:val="24"/>
          <w:highlight w:val="none"/>
        </w:rPr>
        <w:t>工作</w:t>
      </w:r>
      <w:r>
        <w:rPr>
          <w:rFonts w:ascii="宋体" w:hAnsi="宋体" w:eastAsia="宋体" w:cs="Times New Roman"/>
          <w:color w:val="auto"/>
          <w:sz w:val="24"/>
          <w:szCs w:val="24"/>
          <w:highlight w:val="none"/>
        </w:rPr>
        <w:t xml:space="preserve">范围 </w:t>
      </w:r>
    </w:p>
    <w:p>
      <w:pPr>
        <w:numPr>
          <w:ilvl w:val="2"/>
          <w:numId w:val="3"/>
        </w:numPr>
        <w:spacing w:after="0" w:line="360" w:lineRule="auto"/>
        <w:ind w:left="739" w:right="12" w:hanging="499"/>
        <w:rPr>
          <w:color w:val="auto"/>
          <w:szCs w:val="21"/>
          <w:highlight w:val="none"/>
        </w:rPr>
      </w:pPr>
      <w:r>
        <w:rPr>
          <w:color w:val="auto"/>
          <w:szCs w:val="21"/>
          <w:highlight w:val="none"/>
        </w:rPr>
        <w:t>承包单位须负责深化设计、供应、安装、接线、试验和试运转一套</w:t>
      </w:r>
      <w:r>
        <w:rPr>
          <w:rFonts w:hint="eastAsia"/>
          <w:color w:val="auto"/>
          <w:szCs w:val="21"/>
          <w:highlight w:val="none"/>
        </w:rPr>
        <w:t>会议系统</w:t>
      </w:r>
      <w:r>
        <w:rPr>
          <w:color w:val="auto"/>
          <w:szCs w:val="21"/>
          <w:highlight w:val="none"/>
        </w:rPr>
        <w:t xml:space="preserve">。 </w:t>
      </w:r>
    </w:p>
    <w:p>
      <w:pPr>
        <w:numPr>
          <w:ilvl w:val="2"/>
          <w:numId w:val="3"/>
        </w:numPr>
        <w:spacing w:after="0" w:line="360" w:lineRule="auto"/>
        <w:ind w:left="739" w:right="12" w:hanging="499"/>
        <w:rPr>
          <w:color w:val="auto"/>
          <w:szCs w:val="21"/>
          <w:highlight w:val="none"/>
        </w:rPr>
      </w:pPr>
      <w:r>
        <w:rPr>
          <w:color w:val="auto"/>
          <w:szCs w:val="21"/>
          <w:highlight w:val="none"/>
        </w:rPr>
        <w:t xml:space="preserve">承包单位须与其他专业系统之功能协调配合以确保本系统总体功能之完善. 承包单位须提供包括所有电线管、电桥架、支管、支线软管及其配件、系统布线等在内的供应及安装，并应能保证所预留的电线管符合本系统 布线的要求。 </w:t>
      </w:r>
    </w:p>
    <w:p>
      <w:pPr>
        <w:numPr>
          <w:ilvl w:val="2"/>
          <w:numId w:val="3"/>
        </w:numPr>
        <w:spacing w:after="0" w:line="360" w:lineRule="auto"/>
        <w:ind w:left="739" w:right="12" w:hanging="499"/>
        <w:rPr>
          <w:color w:val="auto"/>
          <w:szCs w:val="21"/>
          <w:highlight w:val="none"/>
        </w:rPr>
      </w:pPr>
      <w:r>
        <w:rPr>
          <w:color w:val="auto"/>
          <w:szCs w:val="21"/>
          <w:highlight w:val="none"/>
        </w:rPr>
        <w:t>承包单位须核实所有预留设备，如预留孔洞、设备电源及预埋地筒等，是否符合本合约的施工要求及在有关土建施工时按要求正确预留。如不符合，承包单位应按本合约要求整改，相关费用含在本合约内。在施工时，承包单位应在预留孔洞位置提供及安装永久固定套管。</w:t>
      </w:r>
    </w:p>
    <w:p>
      <w:pPr>
        <w:spacing w:after="0" w:line="360" w:lineRule="auto"/>
        <w:ind w:left="1419" w:right="12" w:firstLine="0"/>
        <w:rPr>
          <w:color w:val="auto"/>
          <w:szCs w:val="21"/>
          <w:highlight w:val="none"/>
        </w:rPr>
      </w:pPr>
      <w:r>
        <w:rPr>
          <w:color w:val="auto"/>
          <w:szCs w:val="21"/>
          <w:highlight w:val="none"/>
        </w:rPr>
        <w:t xml:space="preserve"> </w:t>
      </w:r>
    </w:p>
    <w:p>
      <w:pPr>
        <w:pStyle w:val="3"/>
        <w:numPr>
          <w:ilvl w:val="1"/>
          <w:numId w:val="3"/>
        </w:numPr>
        <w:spacing w:before="0" w:after="0" w:line="360" w:lineRule="auto"/>
        <w:ind w:left="10" w:right="1593"/>
        <w:rPr>
          <w:rFonts w:ascii="宋体" w:hAnsi="宋体" w:eastAsia="宋体" w:cs="Times New Roman"/>
          <w:color w:val="auto"/>
          <w:sz w:val="24"/>
          <w:szCs w:val="24"/>
          <w:highlight w:val="none"/>
        </w:rPr>
      </w:pPr>
      <w:r>
        <w:rPr>
          <w:rFonts w:ascii="宋体" w:hAnsi="宋体" w:eastAsia="宋体" w:cs="Times New Roman"/>
          <w:color w:val="auto"/>
          <w:sz w:val="24"/>
          <w:szCs w:val="24"/>
          <w:highlight w:val="none"/>
        </w:rPr>
        <w:t xml:space="preserve"> 系统性能及功能要求 </w:t>
      </w:r>
    </w:p>
    <w:p>
      <w:pPr>
        <w:numPr>
          <w:ilvl w:val="2"/>
          <w:numId w:val="3"/>
        </w:numPr>
        <w:spacing w:after="0" w:line="360" w:lineRule="auto"/>
        <w:ind w:left="739" w:right="12" w:hanging="499"/>
        <w:rPr>
          <w:color w:val="auto"/>
          <w:szCs w:val="24"/>
          <w:highlight w:val="none"/>
        </w:rPr>
      </w:pPr>
      <w:r>
        <w:rPr>
          <w:rFonts w:hint="eastAsia"/>
          <w:color w:val="auto"/>
          <w:kern w:val="0"/>
          <w:szCs w:val="24"/>
          <w:highlight w:val="none"/>
        </w:rPr>
        <w:t>显示系统</w:t>
      </w:r>
      <w:r>
        <w:rPr>
          <w:rFonts w:hint="eastAsia"/>
          <w:color w:val="auto"/>
          <w:szCs w:val="24"/>
          <w:highlight w:val="none"/>
        </w:rPr>
        <w:t>：亮度调节智能化，为达到正确的色彩调配，有必要根据工作环境的亮度来调整显示亮度，使用图像在强环境光下明亮清晰，在暗环境光下绚丽柔和，另外高亮度长时间会眼睛带了疲劳，在系统中配置了256级亮度调节功能，将显示屏亮度从0CD/M2~1000CD/M2,主显示系统采用前维护显示屏。</w:t>
      </w:r>
    </w:p>
    <w:p>
      <w:pPr>
        <w:numPr>
          <w:ilvl w:val="2"/>
          <w:numId w:val="3"/>
        </w:numPr>
        <w:spacing w:after="0" w:line="360" w:lineRule="auto"/>
        <w:ind w:left="641" w:right="12" w:hanging="640" w:hangingChars="267"/>
        <w:rPr>
          <w:color w:val="auto"/>
          <w:szCs w:val="24"/>
          <w:highlight w:val="none"/>
        </w:rPr>
      </w:pPr>
      <w:r>
        <w:rPr>
          <w:rFonts w:hint="eastAsia"/>
          <w:color w:val="auto"/>
          <w:kern w:val="0"/>
          <w:szCs w:val="24"/>
          <w:highlight w:val="none"/>
        </w:rPr>
        <w:t>发言扩声系统</w:t>
      </w:r>
      <w:r>
        <w:rPr>
          <w:rFonts w:hint="eastAsia"/>
          <w:color w:val="auto"/>
          <w:szCs w:val="24"/>
          <w:highlight w:val="none"/>
        </w:rPr>
        <w:t>：音箱采用一对一定阻传输方式，音箱与功放阻抗匹配，采用全频宽频音箱，还原出最佳的音质效果。预置多组出厂会场效果和工作模式，现场调试可下载直接使用，无需进行复杂调试；发言系统要求无需布线，可适应会场布局的实时变更。内置高性能双CPU处理器，超强的处理能力。</w:t>
      </w:r>
    </w:p>
    <w:p>
      <w:pPr>
        <w:numPr>
          <w:ilvl w:val="2"/>
          <w:numId w:val="3"/>
        </w:numPr>
        <w:spacing w:after="0" w:line="360" w:lineRule="auto"/>
        <w:ind w:left="641" w:right="12" w:hanging="640" w:hangingChars="267"/>
        <w:rPr>
          <w:color w:val="auto"/>
          <w:szCs w:val="24"/>
          <w:highlight w:val="none"/>
        </w:rPr>
      </w:pPr>
      <w:r>
        <w:rPr>
          <w:rFonts w:hint="eastAsia"/>
          <w:color w:val="auto"/>
          <w:kern w:val="0"/>
          <w:szCs w:val="24"/>
          <w:highlight w:val="none"/>
        </w:rPr>
        <w:t>集中管理系统：通过高清视频矩阵、数字音频处理、音视频录播、远程视频会议、数字功放、智能中控、时序电源等多功能为一体。</w:t>
      </w:r>
    </w:p>
    <w:p>
      <w:pPr>
        <w:spacing w:after="0" w:line="360" w:lineRule="auto"/>
        <w:ind w:left="1419" w:right="12" w:firstLine="0"/>
        <w:rPr>
          <w:color w:val="auto"/>
          <w:szCs w:val="24"/>
          <w:highlight w:val="none"/>
        </w:rPr>
      </w:pPr>
    </w:p>
    <w:p>
      <w:pPr>
        <w:pStyle w:val="3"/>
        <w:numPr>
          <w:ilvl w:val="1"/>
          <w:numId w:val="3"/>
        </w:numPr>
        <w:spacing w:before="0" w:after="0" w:line="360" w:lineRule="auto"/>
        <w:ind w:left="10" w:right="1593"/>
        <w:rPr>
          <w:rFonts w:ascii="宋体" w:hAnsi="宋体" w:eastAsia="宋体" w:cs="Times New Roman"/>
          <w:color w:val="auto"/>
          <w:sz w:val="24"/>
          <w:szCs w:val="24"/>
          <w:highlight w:val="none"/>
        </w:rPr>
      </w:pPr>
      <w:r>
        <w:rPr>
          <w:rFonts w:ascii="宋体" w:hAnsi="宋体" w:eastAsia="宋体" w:cs="Times New Roman"/>
          <w:color w:val="auto"/>
          <w:sz w:val="24"/>
          <w:szCs w:val="24"/>
          <w:highlight w:val="none"/>
        </w:rPr>
        <w:t xml:space="preserve"> </w:t>
      </w:r>
      <w:r>
        <w:rPr>
          <w:rFonts w:hint="eastAsia" w:ascii="宋体" w:hAnsi="宋体" w:eastAsia="宋体" w:cs="Times New Roman"/>
          <w:color w:val="auto"/>
          <w:sz w:val="24"/>
          <w:szCs w:val="24"/>
          <w:highlight w:val="none"/>
        </w:rPr>
        <w:t>8层信息中心会议室配置</w:t>
      </w:r>
      <w:r>
        <w:rPr>
          <w:rFonts w:ascii="宋体" w:hAnsi="宋体" w:eastAsia="宋体" w:cs="Times New Roman"/>
          <w:color w:val="auto"/>
          <w:sz w:val="24"/>
          <w:szCs w:val="24"/>
          <w:highlight w:val="none"/>
        </w:rPr>
        <w:t xml:space="preserve"> </w:t>
      </w:r>
    </w:p>
    <w:p>
      <w:pPr>
        <w:numPr>
          <w:ilvl w:val="2"/>
          <w:numId w:val="3"/>
        </w:numPr>
        <w:spacing w:after="0" w:line="360" w:lineRule="auto"/>
        <w:ind w:left="739" w:right="12" w:hanging="499"/>
        <w:rPr>
          <w:color w:val="auto"/>
          <w:szCs w:val="24"/>
          <w:highlight w:val="none"/>
        </w:rPr>
      </w:pPr>
      <w:r>
        <w:rPr>
          <w:rFonts w:hint="eastAsia"/>
          <w:color w:val="auto"/>
          <w:kern w:val="0"/>
          <w:szCs w:val="24"/>
          <w:highlight w:val="none"/>
        </w:rPr>
        <w:t>发言采集系统：采用2只无线手持话筒及8只无线会议鹅颈话筒。</w:t>
      </w:r>
    </w:p>
    <w:p>
      <w:pPr>
        <w:numPr>
          <w:ilvl w:val="2"/>
          <w:numId w:val="3"/>
        </w:numPr>
        <w:spacing w:after="0" w:line="360" w:lineRule="auto"/>
        <w:ind w:left="739" w:right="12" w:hanging="499"/>
        <w:rPr>
          <w:color w:val="auto"/>
          <w:szCs w:val="24"/>
          <w:highlight w:val="none"/>
        </w:rPr>
      </w:pPr>
      <w:r>
        <w:rPr>
          <w:rFonts w:hint="eastAsia"/>
          <w:color w:val="auto"/>
          <w:szCs w:val="24"/>
          <w:highlight w:val="none"/>
        </w:rPr>
        <w:t>音频扩声系统：音源通过1台调音台和1台数字音频处理器处理后输出至功放及音箱。扩声采用2只全频音柱作为主音箱，配置合适的功率放大器。</w:t>
      </w:r>
    </w:p>
    <w:p>
      <w:pPr>
        <w:numPr>
          <w:ilvl w:val="2"/>
          <w:numId w:val="3"/>
        </w:numPr>
        <w:spacing w:after="0" w:line="360" w:lineRule="auto"/>
        <w:ind w:left="739" w:right="12" w:hanging="499"/>
        <w:rPr>
          <w:color w:val="auto"/>
          <w:szCs w:val="24"/>
          <w:highlight w:val="none"/>
        </w:rPr>
      </w:pPr>
      <w:r>
        <w:rPr>
          <w:rFonts w:hint="eastAsia"/>
          <w:color w:val="auto"/>
          <w:szCs w:val="24"/>
          <w:highlight w:val="none"/>
        </w:rPr>
        <w:t>视频会议系统：远程视频终端由甲方自备。同时配置2只高清云台摄像机，可用于远程视频会议。</w:t>
      </w:r>
    </w:p>
    <w:p>
      <w:pPr>
        <w:numPr>
          <w:ilvl w:val="2"/>
          <w:numId w:val="3"/>
        </w:numPr>
        <w:spacing w:after="0" w:line="360" w:lineRule="auto"/>
        <w:ind w:left="739" w:right="12" w:hanging="499"/>
        <w:rPr>
          <w:color w:val="auto"/>
          <w:szCs w:val="24"/>
          <w:highlight w:val="none"/>
        </w:rPr>
      </w:pPr>
      <w:r>
        <w:rPr>
          <w:rFonts w:hint="eastAsia"/>
          <w:color w:val="auto"/>
          <w:szCs w:val="24"/>
          <w:highlight w:val="none"/>
        </w:rPr>
        <w:t>视频显示系统：主墙设置LED屏，桌面配置8套升降显示一体机（含电脑、键鼠）。</w:t>
      </w:r>
    </w:p>
    <w:p>
      <w:pPr>
        <w:spacing w:after="0" w:line="360" w:lineRule="auto"/>
        <w:ind w:left="1419" w:right="12" w:firstLine="0"/>
        <w:rPr>
          <w:color w:val="auto"/>
          <w:szCs w:val="24"/>
          <w:highlight w:val="none"/>
        </w:rPr>
      </w:pPr>
    </w:p>
    <w:p>
      <w:pPr>
        <w:pStyle w:val="3"/>
        <w:numPr>
          <w:ilvl w:val="1"/>
          <w:numId w:val="3"/>
        </w:numPr>
        <w:spacing w:before="0" w:after="0" w:line="360" w:lineRule="auto"/>
        <w:ind w:left="10" w:right="1593"/>
        <w:rPr>
          <w:rFonts w:ascii="宋体" w:hAnsi="宋体" w:eastAsia="宋体" w:cs="Times New Roman"/>
          <w:color w:val="auto"/>
          <w:sz w:val="24"/>
          <w:szCs w:val="24"/>
          <w:highlight w:val="none"/>
        </w:rPr>
      </w:pPr>
      <w:r>
        <w:rPr>
          <w:rFonts w:ascii="宋体" w:hAnsi="宋体" w:eastAsia="宋体" w:cs="Times New Roman"/>
          <w:color w:val="auto"/>
          <w:sz w:val="24"/>
          <w:szCs w:val="24"/>
          <w:highlight w:val="none"/>
        </w:rPr>
        <w:t xml:space="preserve"> </w:t>
      </w:r>
      <w:r>
        <w:rPr>
          <w:rFonts w:hint="eastAsia" w:ascii="宋体" w:hAnsi="宋体" w:eastAsia="宋体" w:cs="Times New Roman"/>
          <w:color w:val="auto"/>
          <w:sz w:val="24"/>
          <w:szCs w:val="24"/>
          <w:highlight w:val="none"/>
        </w:rPr>
        <w:t>培训室</w:t>
      </w:r>
      <w:r>
        <w:rPr>
          <w:rFonts w:ascii="宋体" w:hAnsi="宋体" w:eastAsia="宋体" w:cs="Times New Roman"/>
          <w:color w:val="auto"/>
          <w:sz w:val="24"/>
          <w:szCs w:val="24"/>
          <w:highlight w:val="none"/>
        </w:rPr>
        <w:t>(22层)</w:t>
      </w:r>
      <w:r>
        <w:rPr>
          <w:rFonts w:hint="eastAsia" w:ascii="宋体" w:hAnsi="宋体" w:eastAsia="宋体" w:cs="Times New Roman"/>
          <w:color w:val="auto"/>
          <w:sz w:val="24"/>
          <w:szCs w:val="24"/>
          <w:highlight w:val="none"/>
        </w:rPr>
        <w:t>配置</w:t>
      </w:r>
      <w:r>
        <w:rPr>
          <w:rFonts w:ascii="宋体" w:hAnsi="宋体" w:eastAsia="宋体" w:cs="Times New Roman"/>
          <w:color w:val="auto"/>
          <w:sz w:val="24"/>
          <w:szCs w:val="24"/>
          <w:highlight w:val="none"/>
        </w:rPr>
        <w:t xml:space="preserve"> </w:t>
      </w:r>
    </w:p>
    <w:p>
      <w:pPr>
        <w:numPr>
          <w:ilvl w:val="2"/>
          <w:numId w:val="3"/>
        </w:numPr>
        <w:spacing w:after="0" w:line="360" w:lineRule="auto"/>
        <w:ind w:left="739" w:right="12" w:hanging="499"/>
        <w:rPr>
          <w:color w:val="auto"/>
          <w:szCs w:val="24"/>
          <w:highlight w:val="none"/>
        </w:rPr>
      </w:pPr>
      <w:r>
        <w:rPr>
          <w:rFonts w:hint="eastAsia"/>
          <w:color w:val="auto"/>
          <w:kern w:val="0"/>
          <w:szCs w:val="24"/>
          <w:highlight w:val="none"/>
        </w:rPr>
        <w:t>发言采集系统：采用2只无线手持话筒及4只无线会议鹅颈话筒。</w:t>
      </w:r>
    </w:p>
    <w:p>
      <w:pPr>
        <w:numPr>
          <w:ilvl w:val="2"/>
          <w:numId w:val="3"/>
        </w:numPr>
        <w:spacing w:after="0" w:line="360" w:lineRule="auto"/>
        <w:ind w:left="739" w:right="12" w:hanging="499"/>
        <w:rPr>
          <w:color w:val="auto"/>
          <w:szCs w:val="24"/>
          <w:highlight w:val="none"/>
        </w:rPr>
      </w:pPr>
      <w:r>
        <w:rPr>
          <w:rFonts w:hint="eastAsia"/>
          <w:color w:val="auto"/>
          <w:szCs w:val="24"/>
          <w:highlight w:val="none"/>
        </w:rPr>
        <w:t>音频扩声系统：音源通过1台调音台和1台数字音频处理器处理后输出至功放及音箱。扩声采用2只全频音柱作为主音箱，另外配合6只吸顶天花扬声器做补音处理，配置合适的功率放大器。</w:t>
      </w:r>
    </w:p>
    <w:p>
      <w:pPr>
        <w:numPr>
          <w:ilvl w:val="2"/>
          <w:numId w:val="3"/>
        </w:numPr>
        <w:spacing w:after="0" w:line="360" w:lineRule="auto"/>
        <w:ind w:left="739" w:right="12" w:hanging="499"/>
        <w:rPr>
          <w:color w:val="auto"/>
          <w:szCs w:val="24"/>
          <w:highlight w:val="none"/>
        </w:rPr>
      </w:pPr>
      <w:r>
        <w:rPr>
          <w:rFonts w:hint="eastAsia"/>
          <w:color w:val="auto"/>
          <w:szCs w:val="24"/>
          <w:highlight w:val="none"/>
        </w:rPr>
        <w:t>视频会议系统：远程视频终端由甲方自备。同时配置2只高清云台摄像机，可用于远程视频会议。</w:t>
      </w:r>
    </w:p>
    <w:p>
      <w:pPr>
        <w:numPr>
          <w:ilvl w:val="2"/>
          <w:numId w:val="3"/>
        </w:numPr>
        <w:spacing w:after="0" w:line="360" w:lineRule="auto"/>
        <w:ind w:left="739" w:right="12" w:hanging="499"/>
        <w:rPr>
          <w:color w:val="auto"/>
          <w:szCs w:val="24"/>
          <w:highlight w:val="none"/>
        </w:rPr>
      </w:pPr>
      <w:r>
        <w:rPr>
          <w:rFonts w:hint="eastAsia"/>
          <w:color w:val="auto"/>
          <w:szCs w:val="24"/>
          <w:highlight w:val="none"/>
        </w:rPr>
        <w:t>视频显示系统：主墙设置1套高清小间距</w:t>
      </w:r>
      <w:r>
        <w:rPr>
          <w:color w:val="auto"/>
          <w:szCs w:val="24"/>
          <w:highlight w:val="none"/>
        </w:rPr>
        <w:t>LED显示屏</w:t>
      </w:r>
      <w:r>
        <w:rPr>
          <w:rFonts w:hint="eastAsia"/>
          <w:color w:val="auto"/>
          <w:szCs w:val="24"/>
          <w:highlight w:val="none"/>
        </w:rPr>
        <w:t>，支持单画面、多画面显示、支持信号拼接、漫游、叠加，含无线投屏功能。</w:t>
      </w:r>
    </w:p>
    <w:p>
      <w:pPr>
        <w:spacing w:after="0" w:line="360" w:lineRule="auto"/>
        <w:ind w:left="1419" w:right="12" w:firstLine="0"/>
        <w:rPr>
          <w:color w:val="auto"/>
          <w:szCs w:val="24"/>
          <w:highlight w:val="none"/>
        </w:rPr>
      </w:pPr>
    </w:p>
    <w:p>
      <w:pPr>
        <w:pStyle w:val="3"/>
        <w:numPr>
          <w:ilvl w:val="1"/>
          <w:numId w:val="3"/>
        </w:numPr>
        <w:spacing w:before="0" w:after="0" w:line="360" w:lineRule="auto"/>
        <w:ind w:left="10" w:right="1593"/>
        <w:rPr>
          <w:rFonts w:ascii="宋体" w:hAnsi="宋体" w:eastAsia="宋体" w:cs="Times New Roman"/>
          <w:color w:val="auto"/>
          <w:sz w:val="24"/>
          <w:szCs w:val="24"/>
          <w:highlight w:val="none"/>
        </w:rPr>
      </w:pPr>
      <w:r>
        <w:rPr>
          <w:rFonts w:ascii="宋体" w:hAnsi="宋体" w:eastAsia="宋体" w:cs="Times New Roman"/>
          <w:color w:val="auto"/>
          <w:sz w:val="24"/>
          <w:szCs w:val="24"/>
          <w:highlight w:val="none"/>
        </w:rPr>
        <w:t xml:space="preserve"> 设备规格要求 </w:t>
      </w:r>
    </w:p>
    <w:p>
      <w:pPr>
        <w:numPr>
          <w:ilvl w:val="2"/>
          <w:numId w:val="3"/>
        </w:numPr>
        <w:spacing w:after="0" w:line="360" w:lineRule="auto"/>
        <w:ind w:left="284" w:leftChars="0" w:right="12" w:hanging="44" w:firstLineChars="0"/>
        <w:rPr>
          <w:color w:val="auto"/>
          <w:highlight w:val="none"/>
        </w:rPr>
      </w:pPr>
      <w:r>
        <w:rPr>
          <w:rFonts w:hint="eastAsia"/>
          <w:color w:val="auto"/>
          <w:highlight w:val="none"/>
        </w:rPr>
        <w:t>无线会议鹅颈话筒技术要求</w:t>
      </w:r>
    </w:p>
    <w:p>
      <w:pPr>
        <w:spacing w:after="0" w:line="360" w:lineRule="auto"/>
        <w:ind w:left="1200" w:right="12" w:firstLine="0"/>
        <w:rPr>
          <w:color w:val="auto"/>
          <w:highlight w:val="none"/>
        </w:rPr>
      </w:pPr>
      <w:r>
        <w:rPr>
          <w:rFonts w:hint="eastAsia"/>
          <w:color w:val="auto"/>
          <w:highlight w:val="none"/>
        </w:rPr>
        <w:t>含：一台四通道接收机，四只无线会议鹅颈话筒</w:t>
      </w:r>
    </w:p>
    <w:p>
      <w:pPr>
        <w:spacing w:after="0" w:line="360" w:lineRule="auto"/>
        <w:ind w:left="1200" w:right="12" w:firstLine="0"/>
        <w:rPr>
          <w:color w:val="auto"/>
          <w:highlight w:val="none"/>
        </w:rPr>
      </w:pPr>
      <w:r>
        <w:rPr>
          <w:rFonts w:hint="eastAsia"/>
          <w:color w:val="auto"/>
          <w:highlight w:val="none"/>
        </w:rPr>
        <w:t>四通道无线接收机参数要求：</w:t>
      </w:r>
    </w:p>
    <w:p>
      <w:pPr>
        <w:spacing w:after="0" w:line="360" w:lineRule="auto"/>
        <w:ind w:left="1200" w:right="12" w:firstLine="0"/>
        <w:rPr>
          <w:color w:val="auto"/>
          <w:highlight w:val="none"/>
        </w:rPr>
      </w:pPr>
      <w:r>
        <w:rPr>
          <w:color w:val="auto"/>
          <w:highlight w:val="none"/>
        </w:rPr>
        <w:t>1. 四通道接收信号，每通道支持100信道可选；</w:t>
      </w:r>
    </w:p>
    <w:p>
      <w:pPr>
        <w:spacing w:after="0" w:line="360" w:lineRule="auto"/>
        <w:ind w:left="1200" w:right="12" w:firstLine="0"/>
        <w:rPr>
          <w:color w:val="auto"/>
          <w:highlight w:val="none"/>
        </w:rPr>
      </w:pPr>
      <w:r>
        <w:rPr>
          <w:color w:val="auto"/>
          <w:highlight w:val="none"/>
        </w:rPr>
        <w:t>2. 支持UHF频段传输信号；</w:t>
      </w:r>
    </w:p>
    <w:p>
      <w:pPr>
        <w:spacing w:after="0" w:line="360" w:lineRule="auto"/>
        <w:ind w:left="1200" w:right="12" w:firstLine="0"/>
        <w:rPr>
          <w:color w:val="auto"/>
          <w:highlight w:val="none"/>
        </w:rPr>
      </w:pPr>
      <w:r>
        <w:rPr>
          <w:color w:val="auto"/>
          <w:highlight w:val="none"/>
        </w:rPr>
        <w:t>3. 每通道可以独立调节音量；</w:t>
      </w:r>
    </w:p>
    <w:p>
      <w:pPr>
        <w:spacing w:after="0" w:line="360" w:lineRule="auto"/>
        <w:ind w:left="1200" w:right="12" w:firstLine="0"/>
        <w:rPr>
          <w:color w:val="auto"/>
          <w:highlight w:val="none"/>
        </w:rPr>
      </w:pPr>
      <w:r>
        <w:rPr>
          <w:color w:val="auto"/>
          <w:highlight w:val="none"/>
        </w:rPr>
        <w:t>4. 可达100米使用距离；</w:t>
      </w:r>
    </w:p>
    <w:p>
      <w:pPr>
        <w:spacing w:after="0" w:line="360" w:lineRule="auto"/>
        <w:ind w:left="1200" w:right="12" w:firstLine="0"/>
        <w:rPr>
          <w:color w:val="auto"/>
          <w:highlight w:val="none"/>
        </w:rPr>
      </w:pPr>
      <w:r>
        <w:rPr>
          <w:color w:val="auto"/>
          <w:highlight w:val="none"/>
        </w:rPr>
        <w:t>5. 音频和数据采用32bit加密传输和独立ID码，有效防止串音和干扰；</w:t>
      </w:r>
    </w:p>
    <w:p>
      <w:pPr>
        <w:spacing w:after="0" w:line="360" w:lineRule="auto"/>
        <w:ind w:left="1200" w:right="12" w:firstLine="0"/>
        <w:rPr>
          <w:color w:val="auto"/>
          <w:highlight w:val="none"/>
        </w:rPr>
      </w:pPr>
      <w:r>
        <w:rPr>
          <w:color w:val="auto"/>
          <w:highlight w:val="none"/>
        </w:rPr>
        <w:t>6. 频率范围：UHF 600MHz-700MHz；</w:t>
      </w:r>
    </w:p>
    <w:p>
      <w:pPr>
        <w:spacing w:after="0" w:line="360" w:lineRule="auto"/>
        <w:ind w:left="1200" w:right="12" w:firstLine="0"/>
        <w:rPr>
          <w:color w:val="auto"/>
          <w:highlight w:val="none"/>
        </w:rPr>
      </w:pPr>
      <w:r>
        <w:rPr>
          <w:color w:val="auto"/>
          <w:highlight w:val="none"/>
        </w:rPr>
        <w:t>7. 调制方式：DQPSK</w:t>
      </w:r>
    </w:p>
    <w:p>
      <w:pPr>
        <w:spacing w:after="0" w:line="360" w:lineRule="auto"/>
        <w:ind w:left="1200" w:right="12" w:firstLine="0"/>
        <w:rPr>
          <w:color w:val="auto"/>
          <w:highlight w:val="none"/>
        </w:rPr>
      </w:pPr>
      <w:r>
        <w:rPr>
          <w:color w:val="auto"/>
          <w:highlight w:val="none"/>
        </w:rPr>
        <w:t>8. 信噪比：&gt;105dB</w:t>
      </w:r>
    </w:p>
    <w:p>
      <w:pPr>
        <w:spacing w:after="0" w:line="360" w:lineRule="auto"/>
        <w:ind w:left="1200" w:right="12" w:firstLine="0"/>
        <w:rPr>
          <w:color w:val="auto"/>
          <w:highlight w:val="none"/>
        </w:rPr>
      </w:pPr>
      <w:r>
        <w:rPr>
          <w:color w:val="auto"/>
          <w:highlight w:val="none"/>
        </w:rPr>
        <w:t>9. 失真度：&lt;0.5%@1KHz</w:t>
      </w:r>
    </w:p>
    <w:p>
      <w:pPr>
        <w:spacing w:after="0" w:line="360" w:lineRule="auto"/>
        <w:ind w:left="1200" w:right="12" w:firstLine="0"/>
        <w:rPr>
          <w:color w:val="auto"/>
          <w:highlight w:val="none"/>
        </w:rPr>
      </w:pPr>
      <w:r>
        <w:rPr>
          <w:color w:val="auto"/>
          <w:highlight w:val="none"/>
        </w:rPr>
        <w:t>10. 频率响应：30Hz-20KHz</w:t>
      </w:r>
    </w:p>
    <w:p>
      <w:pPr>
        <w:spacing w:after="0" w:line="360" w:lineRule="auto"/>
        <w:ind w:left="1200" w:right="12" w:firstLine="0"/>
        <w:rPr>
          <w:color w:val="auto"/>
          <w:highlight w:val="none"/>
        </w:rPr>
      </w:pPr>
      <w:r>
        <w:rPr>
          <w:rFonts w:hint="eastAsia"/>
          <w:color w:val="auto"/>
          <w:highlight w:val="none"/>
        </w:rPr>
        <w:t>会议话筒参数要求：</w:t>
      </w:r>
    </w:p>
    <w:p>
      <w:pPr>
        <w:spacing w:after="0" w:line="360" w:lineRule="auto"/>
        <w:ind w:left="1200" w:right="12" w:firstLine="0"/>
        <w:rPr>
          <w:color w:val="auto"/>
          <w:highlight w:val="none"/>
        </w:rPr>
      </w:pPr>
      <w:r>
        <w:rPr>
          <w:color w:val="auto"/>
          <w:highlight w:val="none"/>
        </w:rPr>
        <w:t>1. 频率范围为600-700MHz；</w:t>
      </w:r>
    </w:p>
    <w:p>
      <w:pPr>
        <w:spacing w:after="0" w:line="360" w:lineRule="auto"/>
        <w:ind w:left="1200" w:right="12" w:firstLine="0"/>
        <w:rPr>
          <w:color w:val="auto"/>
          <w:highlight w:val="none"/>
        </w:rPr>
      </w:pPr>
      <w:r>
        <w:rPr>
          <w:color w:val="auto"/>
          <w:highlight w:val="none"/>
        </w:rPr>
        <w:t>2. 使用AA1.5V×2电池供电，可持续工作6小时；</w:t>
      </w:r>
    </w:p>
    <w:p>
      <w:pPr>
        <w:spacing w:after="0" w:line="360" w:lineRule="auto"/>
        <w:ind w:left="1200" w:right="12" w:firstLine="0"/>
        <w:rPr>
          <w:color w:val="auto"/>
          <w:highlight w:val="none"/>
        </w:rPr>
      </w:pPr>
      <w:r>
        <w:rPr>
          <w:color w:val="auto"/>
          <w:highlight w:val="none"/>
        </w:rPr>
        <w:t>3. 话筒耗电量：130mA</w:t>
      </w:r>
    </w:p>
    <w:p>
      <w:pPr>
        <w:spacing w:after="0" w:line="360" w:lineRule="auto"/>
        <w:ind w:left="1200" w:right="12" w:firstLine="0"/>
        <w:rPr>
          <w:color w:val="auto"/>
          <w:highlight w:val="none"/>
        </w:rPr>
      </w:pPr>
      <w:r>
        <w:rPr>
          <w:color w:val="auto"/>
          <w:highlight w:val="none"/>
        </w:rPr>
        <w:t xml:space="preserve">4. 发射功率：10mW </w:t>
      </w:r>
    </w:p>
    <w:p>
      <w:pPr>
        <w:spacing w:after="0" w:line="360" w:lineRule="auto"/>
        <w:ind w:left="1200" w:right="12" w:firstLine="0"/>
        <w:rPr>
          <w:color w:val="auto"/>
          <w:highlight w:val="none"/>
        </w:rPr>
      </w:pPr>
      <w:r>
        <w:rPr>
          <w:color w:val="auto"/>
          <w:highlight w:val="none"/>
        </w:rPr>
        <w:t>5. 动态范围：&gt;100dB</w:t>
      </w:r>
    </w:p>
    <w:p>
      <w:pPr>
        <w:spacing w:after="0" w:line="360" w:lineRule="auto"/>
        <w:ind w:left="1200" w:right="12" w:firstLine="0"/>
        <w:rPr>
          <w:color w:val="auto"/>
          <w:highlight w:val="none"/>
        </w:rPr>
      </w:pPr>
      <w:r>
        <w:rPr>
          <w:color w:val="auto"/>
          <w:highlight w:val="none"/>
        </w:rPr>
        <w:t>6. 类型：心形电容会议咪头</w:t>
      </w:r>
    </w:p>
    <w:p>
      <w:pPr>
        <w:spacing w:after="0" w:line="360" w:lineRule="auto"/>
        <w:ind w:left="1200" w:right="12" w:firstLine="0"/>
        <w:rPr>
          <w:color w:val="auto"/>
          <w:highlight w:val="none"/>
        </w:rPr>
      </w:pPr>
      <w:r>
        <w:rPr>
          <w:color w:val="auto"/>
          <w:highlight w:val="none"/>
        </w:rPr>
        <w:t>7. 频率响应：30Hz-20KHz</w:t>
      </w:r>
    </w:p>
    <w:p>
      <w:pPr>
        <w:spacing w:after="0" w:line="360" w:lineRule="auto"/>
        <w:ind w:left="1200" w:right="12" w:firstLine="0"/>
        <w:rPr>
          <w:color w:val="auto"/>
          <w:highlight w:val="none"/>
        </w:rPr>
      </w:pPr>
      <w:r>
        <w:rPr>
          <w:rFonts w:hint="eastAsia"/>
          <w:color w:val="auto"/>
          <w:highlight w:val="none"/>
        </w:rPr>
        <w:t>8.鹅颈话筒需配置短麦头</w:t>
      </w:r>
    </w:p>
    <w:p>
      <w:pPr>
        <w:spacing w:after="0" w:line="360" w:lineRule="auto"/>
        <w:ind w:left="1419" w:right="12" w:firstLine="0"/>
        <w:rPr>
          <w:color w:val="auto"/>
          <w:highlight w:val="none"/>
        </w:rPr>
      </w:pPr>
    </w:p>
    <w:p>
      <w:pPr>
        <w:numPr>
          <w:ilvl w:val="2"/>
          <w:numId w:val="3"/>
        </w:numPr>
        <w:spacing w:after="0" w:line="360" w:lineRule="auto"/>
        <w:ind w:left="284" w:leftChars="0" w:right="12" w:hanging="44" w:firstLineChars="0"/>
        <w:rPr>
          <w:rFonts w:hint="eastAsia"/>
          <w:color w:val="auto"/>
          <w:highlight w:val="none"/>
        </w:rPr>
      </w:pPr>
      <w:r>
        <w:rPr>
          <w:rFonts w:hint="eastAsia"/>
          <w:color w:val="auto"/>
          <w:highlight w:val="none"/>
        </w:rPr>
        <w:t>无线手持话筒技术要求</w:t>
      </w:r>
    </w:p>
    <w:p>
      <w:pPr>
        <w:spacing w:after="0" w:line="360" w:lineRule="auto"/>
        <w:ind w:left="1200" w:right="12" w:firstLine="16" w:firstLineChars="7"/>
        <w:rPr>
          <w:color w:val="auto"/>
          <w:highlight w:val="none"/>
        </w:rPr>
      </w:pPr>
      <w:r>
        <w:rPr>
          <w:rFonts w:hint="eastAsia"/>
          <w:color w:val="auto"/>
          <w:highlight w:val="none"/>
        </w:rPr>
        <w:t>含：一台双通道接收机，两只无线手持话筒</w:t>
      </w:r>
    </w:p>
    <w:p>
      <w:pPr>
        <w:spacing w:after="0" w:line="360" w:lineRule="auto"/>
        <w:ind w:left="1200" w:right="12" w:firstLine="16" w:firstLineChars="7"/>
        <w:rPr>
          <w:color w:val="auto"/>
          <w:highlight w:val="none"/>
        </w:rPr>
      </w:pPr>
      <w:r>
        <w:rPr>
          <w:rFonts w:hint="eastAsia"/>
          <w:color w:val="auto"/>
          <w:highlight w:val="none"/>
        </w:rPr>
        <w:t>双通道无线接收机参数要求：</w:t>
      </w:r>
    </w:p>
    <w:p>
      <w:pPr>
        <w:spacing w:after="0" w:line="360" w:lineRule="auto"/>
        <w:ind w:left="1200" w:right="12" w:firstLine="16" w:firstLineChars="7"/>
        <w:rPr>
          <w:color w:val="auto"/>
          <w:highlight w:val="none"/>
        </w:rPr>
      </w:pPr>
      <w:r>
        <w:rPr>
          <w:color w:val="auto"/>
          <w:highlight w:val="none"/>
        </w:rPr>
        <w:t>1. 两通道接收信号，每通道支持100信道可选；</w:t>
      </w:r>
    </w:p>
    <w:p>
      <w:pPr>
        <w:spacing w:after="0" w:line="360" w:lineRule="auto"/>
        <w:ind w:left="1200" w:right="12" w:firstLine="16" w:firstLineChars="7"/>
        <w:rPr>
          <w:color w:val="auto"/>
          <w:highlight w:val="none"/>
        </w:rPr>
      </w:pPr>
      <w:r>
        <w:rPr>
          <w:color w:val="auto"/>
          <w:highlight w:val="none"/>
        </w:rPr>
        <w:t>2. 支持UHF频段传输信号；</w:t>
      </w:r>
    </w:p>
    <w:p>
      <w:pPr>
        <w:spacing w:after="0" w:line="360" w:lineRule="auto"/>
        <w:ind w:left="1200" w:right="12" w:firstLine="16" w:firstLineChars="7"/>
        <w:rPr>
          <w:color w:val="auto"/>
          <w:highlight w:val="none"/>
        </w:rPr>
      </w:pPr>
      <w:r>
        <w:rPr>
          <w:color w:val="auto"/>
          <w:highlight w:val="none"/>
        </w:rPr>
        <w:t>3. 每通道可以独立调节音量；</w:t>
      </w:r>
    </w:p>
    <w:p>
      <w:pPr>
        <w:spacing w:after="0" w:line="360" w:lineRule="auto"/>
        <w:ind w:left="1200" w:right="12" w:firstLine="16" w:firstLineChars="7"/>
        <w:rPr>
          <w:color w:val="auto"/>
          <w:highlight w:val="none"/>
        </w:rPr>
      </w:pPr>
      <w:r>
        <w:rPr>
          <w:color w:val="auto"/>
          <w:highlight w:val="none"/>
        </w:rPr>
        <w:t>4. 可达100米使用距离；</w:t>
      </w:r>
    </w:p>
    <w:p>
      <w:pPr>
        <w:spacing w:after="0" w:line="360" w:lineRule="auto"/>
        <w:ind w:left="1200" w:right="12" w:firstLine="16" w:firstLineChars="7"/>
        <w:rPr>
          <w:color w:val="auto"/>
          <w:highlight w:val="none"/>
        </w:rPr>
      </w:pPr>
      <w:r>
        <w:rPr>
          <w:color w:val="auto"/>
          <w:highlight w:val="none"/>
        </w:rPr>
        <w:t>5. 音频和数据采用32bit加密传输和独立ID码，有效防止串音和干扰；</w:t>
      </w:r>
    </w:p>
    <w:p>
      <w:pPr>
        <w:spacing w:after="0" w:line="360" w:lineRule="auto"/>
        <w:ind w:left="1200" w:right="12" w:firstLine="16" w:firstLineChars="7"/>
        <w:rPr>
          <w:color w:val="auto"/>
          <w:highlight w:val="none"/>
        </w:rPr>
      </w:pPr>
      <w:r>
        <w:rPr>
          <w:color w:val="auto"/>
          <w:highlight w:val="none"/>
        </w:rPr>
        <w:t>6. 频率范围：UHF 600MHz-700MHz；</w:t>
      </w:r>
    </w:p>
    <w:p>
      <w:pPr>
        <w:spacing w:after="0" w:line="360" w:lineRule="auto"/>
        <w:ind w:left="1200" w:right="12" w:firstLine="16" w:firstLineChars="7"/>
        <w:rPr>
          <w:color w:val="auto"/>
          <w:highlight w:val="none"/>
        </w:rPr>
      </w:pPr>
      <w:r>
        <w:rPr>
          <w:color w:val="auto"/>
          <w:highlight w:val="none"/>
        </w:rPr>
        <w:t>7. 调制方式：DQPSK</w:t>
      </w:r>
    </w:p>
    <w:p>
      <w:pPr>
        <w:spacing w:after="0" w:line="360" w:lineRule="auto"/>
        <w:ind w:left="1200" w:right="12" w:firstLine="16" w:firstLineChars="7"/>
        <w:rPr>
          <w:color w:val="auto"/>
          <w:highlight w:val="none"/>
        </w:rPr>
      </w:pPr>
      <w:r>
        <w:rPr>
          <w:color w:val="auto"/>
          <w:highlight w:val="none"/>
        </w:rPr>
        <w:t>8. 信噪比：&gt;105dB</w:t>
      </w:r>
    </w:p>
    <w:p>
      <w:pPr>
        <w:spacing w:after="0" w:line="360" w:lineRule="auto"/>
        <w:ind w:left="1200" w:right="12" w:firstLine="16" w:firstLineChars="7"/>
        <w:rPr>
          <w:color w:val="auto"/>
          <w:highlight w:val="none"/>
        </w:rPr>
      </w:pPr>
      <w:r>
        <w:rPr>
          <w:color w:val="auto"/>
          <w:highlight w:val="none"/>
        </w:rPr>
        <w:t>9. 失真度：&lt;0.5%@1KHz</w:t>
      </w:r>
    </w:p>
    <w:p>
      <w:pPr>
        <w:spacing w:after="0" w:line="360" w:lineRule="auto"/>
        <w:ind w:left="1200" w:right="12" w:firstLine="16" w:firstLineChars="7"/>
        <w:rPr>
          <w:color w:val="auto"/>
          <w:highlight w:val="none"/>
        </w:rPr>
      </w:pPr>
      <w:r>
        <w:rPr>
          <w:color w:val="auto"/>
          <w:highlight w:val="none"/>
        </w:rPr>
        <w:t>10. 频率响应：30Hz-20KHz</w:t>
      </w:r>
    </w:p>
    <w:p>
      <w:pPr>
        <w:spacing w:after="0" w:line="360" w:lineRule="auto"/>
        <w:ind w:left="1200" w:right="12" w:firstLine="16" w:firstLineChars="7"/>
        <w:rPr>
          <w:color w:val="auto"/>
          <w:highlight w:val="none"/>
        </w:rPr>
      </w:pPr>
      <w:r>
        <w:rPr>
          <w:rFonts w:hint="eastAsia"/>
          <w:color w:val="auto"/>
          <w:highlight w:val="none"/>
        </w:rPr>
        <w:t>手持话筒参数要求：</w:t>
      </w:r>
    </w:p>
    <w:p>
      <w:pPr>
        <w:spacing w:after="0" w:line="360" w:lineRule="auto"/>
        <w:ind w:left="1200" w:right="12" w:firstLine="16" w:firstLineChars="7"/>
        <w:rPr>
          <w:color w:val="auto"/>
          <w:highlight w:val="none"/>
        </w:rPr>
      </w:pPr>
      <w:r>
        <w:rPr>
          <w:color w:val="auto"/>
          <w:highlight w:val="none"/>
        </w:rPr>
        <w:t>1. 频率范围为600-700MHz；</w:t>
      </w:r>
    </w:p>
    <w:p>
      <w:pPr>
        <w:spacing w:after="0" w:line="360" w:lineRule="auto"/>
        <w:ind w:left="1200" w:right="12" w:firstLine="16" w:firstLineChars="7"/>
        <w:rPr>
          <w:color w:val="auto"/>
          <w:highlight w:val="none"/>
        </w:rPr>
      </w:pPr>
      <w:r>
        <w:rPr>
          <w:color w:val="auto"/>
          <w:highlight w:val="none"/>
        </w:rPr>
        <w:t>2. 使用AA1.5V×2电池供电，可持续工作6小时；</w:t>
      </w:r>
    </w:p>
    <w:p>
      <w:pPr>
        <w:spacing w:after="0" w:line="360" w:lineRule="auto"/>
        <w:ind w:left="1200" w:right="12" w:firstLine="16" w:firstLineChars="7"/>
        <w:rPr>
          <w:color w:val="auto"/>
          <w:highlight w:val="none"/>
        </w:rPr>
      </w:pPr>
      <w:r>
        <w:rPr>
          <w:color w:val="auto"/>
          <w:highlight w:val="none"/>
        </w:rPr>
        <w:t>3. 话筒耗电量：130mA</w:t>
      </w:r>
    </w:p>
    <w:p>
      <w:pPr>
        <w:spacing w:after="0" w:line="360" w:lineRule="auto"/>
        <w:ind w:left="1200" w:right="12" w:firstLine="16" w:firstLineChars="7"/>
        <w:rPr>
          <w:color w:val="auto"/>
          <w:highlight w:val="none"/>
        </w:rPr>
      </w:pPr>
      <w:r>
        <w:rPr>
          <w:color w:val="auto"/>
          <w:highlight w:val="none"/>
        </w:rPr>
        <w:t xml:space="preserve">4. 发射功率：10mW </w:t>
      </w:r>
    </w:p>
    <w:p>
      <w:pPr>
        <w:spacing w:after="0" w:line="360" w:lineRule="auto"/>
        <w:ind w:left="1200" w:right="12" w:firstLine="16" w:firstLineChars="7"/>
        <w:rPr>
          <w:color w:val="auto"/>
          <w:highlight w:val="none"/>
        </w:rPr>
      </w:pPr>
      <w:r>
        <w:rPr>
          <w:color w:val="auto"/>
          <w:highlight w:val="none"/>
        </w:rPr>
        <w:t>5. 动态范围：&gt;100dB</w:t>
      </w:r>
    </w:p>
    <w:p>
      <w:pPr>
        <w:spacing w:after="0" w:line="360" w:lineRule="auto"/>
        <w:ind w:left="1200" w:right="12" w:firstLine="16" w:firstLineChars="7"/>
        <w:rPr>
          <w:color w:val="auto"/>
          <w:highlight w:val="none"/>
        </w:rPr>
      </w:pPr>
      <w:r>
        <w:rPr>
          <w:color w:val="auto"/>
          <w:highlight w:val="none"/>
        </w:rPr>
        <w:t>6. 类型：动圈式</w:t>
      </w:r>
    </w:p>
    <w:p>
      <w:pPr>
        <w:spacing w:after="0" w:line="360" w:lineRule="auto"/>
        <w:ind w:left="1200" w:right="12" w:firstLine="16" w:firstLineChars="7"/>
        <w:rPr>
          <w:color w:val="auto"/>
          <w:highlight w:val="none"/>
        </w:rPr>
      </w:pPr>
      <w:r>
        <w:rPr>
          <w:color w:val="auto"/>
          <w:highlight w:val="none"/>
        </w:rPr>
        <w:t>7. 频率响应：30Hz-20KHz</w:t>
      </w:r>
    </w:p>
    <w:p>
      <w:pPr>
        <w:spacing w:after="0" w:line="360" w:lineRule="auto"/>
        <w:ind w:left="1419" w:right="12" w:firstLine="0"/>
        <w:rPr>
          <w:color w:val="auto"/>
          <w:highlight w:val="none"/>
        </w:rPr>
      </w:pPr>
    </w:p>
    <w:p>
      <w:pPr>
        <w:numPr>
          <w:ilvl w:val="2"/>
          <w:numId w:val="3"/>
        </w:numPr>
        <w:spacing w:after="0" w:line="360" w:lineRule="auto"/>
        <w:ind w:left="284" w:leftChars="0" w:right="12" w:hanging="44" w:firstLineChars="0"/>
        <w:rPr>
          <w:rFonts w:hint="eastAsia"/>
          <w:color w:val="auto"/>
          <w:highlight w:val="none"/>
        </w:rPr>
      </w:pPr>
      <w:r>
        <w:rPr>
          <w:rFonts w:hint="eastAsia"/>
          <w:color w:val="auto"/>
          <w:highlight w:val="none"/>
        </w:rPr>
        <w:t>鹅颈会议话筒(含底座)技术要求</w:t>
      </w:r>
    </w:p>
    <w:p>
      <w:pPr>
        <w:spacing w:after="0" w:line="360" w:lineRule="auto"/>
        <w:ind w:left="1200" w:right="12" w:firstLine="0"/>
        <w:rPr>
          <w:color w:val="auto"/>
          <w:highlight w:val="none"/>
        </w:rPr>
      </w:pPr>
      <w:r>
        <w:rPr>
          <w:color w:val="auto"/>
          <w:highlight w:val="none"/>
        </w:rPr>
        <w:t>1.48V幻像电源;</w:t>
      </w:r>
    </w:p>
    <w:p>
      <w:pPr>
        <w:spacing w:after="0" w:line="360" w:lineRule="auto"/>
        <w:ind w:left="1200" w:right="12" w:firstLine="0"/>
        <w:rPr>
          <w:color w:val="auto"/>
          <w:highlight w:val="none"/>
        </w:rPr>
      </w:pPr>
      <w:r>
        <w:rPr>
          <w:color w:val="auto"/>
          <w:highlight w:val="none"/>
        </w:rPr>
        <w:t>2.超心型指向;</w:t>
      </w:r>
    </w:p>
    <w:p>
      <w:pPr>
        <w:spacing w:after="0" w:line="360" w:lineRule="auto"/>
        <w:ind w:left="1200" w:right="12" w:firstLine="0"/>
        <w:rPr>
          <w:color w:val="auto"/>
          <w:highlight w:val="none"/>
        </w:rPr>
      </w:pPr>
      <w:r>
        <w:rPr>
          <w:color w:val="auto"/>
          <w:highlight w:val="none"/>
        </w:rPr>
        <w:t>3.抗手机、RF射频干扰设计；</w:t>
      </w:r>
    </w:p>
    <w:p>
      <w:pPr>
        <w:spacing w:after="0" w:line="360" w:lineRule="auto"/>
        <w:ind w:left="1200" w:right="12" w:firstLine="0"/>
        <w:rPr>
          <w:color w:val="auto"/>
          <w:highlight w:val="none"/>
        </w:rPr>
      </w:pPr>
      <w:r>
        <w:rPr>
          <w:color w:val="auto"/>
          <w:highlight w:val="none"/>
        </w:rPr>
        <w:t>4.频率范围≥45Hz-16KHz;</w:t>
      </w:r>
    </w:p>
    <w:p>
      <w:pPr>
        <w:spacing w:after="0" w:line="360" w:lineRule="auto"/>
        <w:ind w:left="1200" w:right="12" w:firstLine="0"/>
        <w:rPr>
          <w:color w:val="auto"/>
          <w:highlight w:val="none"/>
        </w:rPr>
      </w:pPr>
      <w:r>
        <w:rPr>
          <w:color w:val="auto"/>
          <w:highlight w:val="none"/>
        </w:rPr>
        <w:t>5.灵敏感度≤-38dB;</w:t>
      </w:r>
    </w:p>
    <w:p>
      <w:pPr>
        <w:spacing w:after="0" w:line="360" w:lineRule="auto"/>
        <w:ind w:left="1200" w:right="12" w:firstLine="0"/>
        <w:rPr>
          <w:color w:val="auto"/>
          <w:highlight w:val="none"/>
        </w:rPr>
      </w:pPr>
      <w:r>
        <w:rPr>
          <w:color w:val="auto"/>
          <w:highlight w:val="none"/>
        </w:rPr>
        <w:t>6.输出阻抗≥2KΩ;</w:t>
      </w:r>
    </w:p>
    <w:p>
      <w:pPr>
        <w:spacing w:after="0" w:line="360" w:lineRule="auto"/>
        <w:ind w:left="1200" w:right="12" w:firstLine="0"/>
        <w:rPr>
          <w:color w:val="auto"/>
          <w:highlight w:val="none"/>
        </w:rPr>
      </w:pPr>
      <w:r>
        <w:rPr>
          <w:color w:val="auto"/>
          <w:highlight w:val="none"/>
        </w:rPr>
        <w:t>7.动态范围≥110dB;</w:t>
      </w:r>
    </w:p>
    <w:p>
      <w:pPr>
        <w:spacing w:after="0" w:line="360" w:lineRule="auto"/>
        <w:ind w:left="1200" w:right="12" w:firstLine="0"/>
        <w:rPr>
          <w:color w:val="auto"/>
          <w:highlight w:val="none"/>
        </w:rPr>
      </w:pPr>
      <w:r>
        <w:rPr>
          <w:color w:val="auto"/>
          <w:highlight w:val="none"/>
        </w:rPr>
        <w:t>8.拾音距离≥20cm;</w:t>
      </w:r>
      <w:r>
        <w:rPr>
          <w:rFonts w:hint="eastAsia"/>
          <w:color w:val="auto"/>
          <w:highlight w:val="none"/>
        </w:rPr>
        <w:t>（鹅颈话筒需配置短麦头）</w:t>
      </w:r>
    </w:p>
    <w:p>
      <w:pPr>
        <w:spacing w:after="0" w:line="360" w:lineRule="auto"/>
        <w:ind w:left="1419" w:right="12" w:firstLine="0"/>
        <w:rPr>
          <w:color w:val="auto"/>
          <w:highlight w:val="none"/>
        </w:rPr>
      </w:pPr>
    </w:p>
    <w:p>
      <w:pPr>
        <w:numPr>
          <w:ilvl w:val="2"/>
          <w:numId w:val="3"/>
        </w:numPr>
        <w:spacing w:after="0" w:line="360" w:lineRule="auto"/>
        <w:ind w:left="284" w:leftChars="0" w:right="12" w:hanging="44" w:firstLineChars="0"/>
        <w:rPr>
          <w:color w:val="auto"/>
          <w:highlight w:val="none"/>
        </w:rPr>
      </w:pPr>
      <w:r>
        <w:rPr>
          <w:rFonts w:hint="eastAsia"/>
          <w:color w:val="auto"/>
          <w:highlight w:val="none"/>
        </w:rPr>
        <w:t>全频音柱技术要求</w:t>
      </w:r>
    </w:p>
    <w:p>
      <w:pPr>
        <w:pStyle w:val="30"/>
        <w:numPr>
          <w:ilvl w:val="0"/>
          <w:numId w:val="39"/>
        </w:numPr>
        <w:spacing w:after="0" w:line="360" w:lineRule="auto"/>
        <w:ind w:left="1457" w:right="12" w:hanging="257" w:firstLineChars="0"/>
        <w:rPr>
          <w:color w:val="auto"/>
          <w:highlight w:val="none"/>
        </w:rPr>
      </w:pPr>
      <w:bookmarkStart w:id="114" w:name="_Hlk72232861"/>
      <w:r>
        <w:rPr>
          <w:rFonts w:hint="eastAsia"/>
          <w:color w:val="auto"/>
          <w:highlight w:val="none"/>
        </w:rPr>
        <w:t>类型：线性全频音柱；</w:t>
      </w:r>
    </w:p>
    <w:p>
      <w:pPr>
        <w:pStyle w:val="30"/>
        <w:numPr>
          <w:ilvl w:val="0"/>
          <w:numId w:val="39"/>
        </w:numPr>
        <w:spacing w:after="0" w:line="360" w:lineRule="auto"/>
        <w:ind w:left="1457" w:right="12" w:hanging="257" w:firstLineChars="0"/>
        <w:rPr>
          <w:color w:val="auto"/>
          <w:highlight w:val="none"/>
        </w:rPr>
      </w:pPr>
      <w:r>
        <w:rPr>
          <w:rFonts w:hint="eastAsia"/>
          <w:color w:val="auto"/>
          <w:highlight w:val="none"/>
        </w:rPr>
        <w:t>单元不小于</w:t>
      </w:r>
      <w:r>
        <w:rPr>
          <w:color w:val="auto"/>
          <w:highlight w:val="none"/>
        </w:rPr>
        <w:t>3"×8；</w:t>
      </w:r>
    </w:p>
    <w:p>
      <w:pPr>
        <w:pStyle w:val="30"/>
        <w:numPr>
          <w:ilvl w:val="0"/>
          <w:numId w:val="39"/>
        </w:numPr>
        <w:spacing w:after="0" w:line="360" w:lineRule="auto"/>
        <w:ind w:left="1457" w:right="12" w:hanging="257" w:firstLineChars="0"/>
        <w:rPr>
          <w:color w:val="auto"/>
          <w:highlight w:val="none"/>
        </w:rPr>
      </w:pPr>
      <w:r>
        <w:rPr>
          <w:rFonts w:hint="eastAsia"/>
          <w:color w:val="auto"/>
          <w:highlight w:val="none"/>
        </w:rPr>
        <w:t>持续功率不小于</w:t>
      </w:r>
      <w:r>
        <w:rPr>
          <w:color w:val="auto"/>
          <w:highlight w:val="none"/>
        </w:rPr>
        <w:t>200W；</w:t>
      </w:r>
    </w:p>
    <w:p>
      <w:pPr>
        <w:pStyle w:val="30"/>
        <w:numPr>
          <w:ilvl w:val="0"/>
          <w:numId w:val="39"/>
        </w:numPr>
        <w:spacing w:after="0" w:line="360" w:lineRule="auto"/>
        <w:ind w:left="1457" w:right="12" w:hanging="257" w:firstLineChars="0"/>
        <w:rPr>
          <w:color w:val="auto"/>
          <w:highlight w:val="none"/>
        </w:rPr>
      </w:pPr>
      <w:r>
        <w:rPr>
          <w:rFonts w:hint="eastAsia"/>
          <w:color w:val="auto"/>
          <w:highlight w:val="none"/>
        </w:rPr>
        <w:t>定阻：</w:t>
      </w:r>
      <w:r>
        <w:rPr>
          <w:color w:val="auto"/>
          <w:highlight w:val="none"/>
        </w:rPr>
        <w:t>8Ω；</w:t>
      </w:r>
    </w:p>
    <w:p>
      <w:pPr>
        <w:pStyle w:val="30"/>
        <w:numPr>
          <w:ilvl w:val="0"/>
          <w:numId w:val="39"/>
        </w:numPr>
        <w:spacing w:after="0" w:line="360" w:lineRule="auto"/>
        <w:ind w:left="1457" w:right="12" w:hanging="257" w:firstLineChars="0"/>
        <w:rPr>
          <w:color w:val="auto"/>
          <w:highlight w:val="none"/>
        </w:rPr>
      </w:pPr>
      <w:r>
        <w:rPr>
          <w:rFonts w:hint="eastAsia"/>
          <w:color w:val="auto"/>
          <w:highlight w:val="none"/>
        </w:rPr>
        <w:t>频率响应不低于</w:t>
      </w:r>
      <w:r>
        <w:rPr>
          <w:color w:val="auto"/>
          <w:highlight w:val="none"/>
        </w:rPr>
        <w:t>160Hz-20kHz(-10dB)；</w:t>
      </w:r>
    </w:p>
    <w:p>
      <w:pPr>
        <w:pStyle w:val="30"/>
        <w:numPr>
          <w:ilvl w:val="0"/>
          <w:numId w:val="39"/>
        </w:numPr>
        <w:spacing w:after="0" w:line="360" w:lineRule="auto"/>
        <w:ind w:left="1457" w:right="12" w:hanging="257" w:firstLineChars="0"/>
        <w:rPr>
          <w:color w:val="auto"/>
          <w:highlight w:val="none"/>
        </w:rPr>
      </w:pPr>
      <w:r>
        <w:rPr>
          <w:rFonts w:hint="eastAsia"/>
          <w:color w:val="auto"/>
          <w:highlight w:val="none"/>
        </w:rPr>
        <w:t>灵敏度不低于</w:t>
      </w:r>
      <w:r>
        <w:rPr>
          <w:color w:val="auto"/>
          <w:highlight w:val="none"/>
        </w:rPr>
        <w:t>90dB；</w:t>
      </w:r>
    </w:p>
    <w:p>
      <w:pPr>
        <w:pStyle w:val="30"/>
        <w:numPr>
          <w:ilvl w:val="0"/>
          <w:numId w:val="39"/>
        </w:numPr>
        <w:spacing w:after="0" w:line="360" w:lineRule="auto"/>
        <w:ind w:left="1457" w:right="12" w:hanging="257" w:firstLineChars="0"/>
        <w:rPr>
          <w:color w:val="auto"/>
          <w:highlight w:val="none"/>
        </w:rPr>
      </w:pPr>
      <w:r>
        <w:rPr>
          <w:rFonts w:hint="eastAsia"/>
          <w:color w:val="auto"/>
          <w:highlight w:val="none"/>
        </w:rPr>
        <w:t>最大声压级不小于</w:t>
      </w:r>
      <w:r>
        <w:rPr>
          <w:color w:val="auto"/>
          <w:highlight w:val="none"/>
        </w:rPr>
        <w:t>120dB；</w:t>
      </w:r>
    </w:p>
    <w:p>
      <w:pPr>
        <w:pStyle w:val="30"/>
        <w:numPr>
          <w:ilvl w:val="0"/>
          <w:numId w:val="39"/>
        </w:numPr>
        <w:spacing w:after="0" w:line="360" w:lineRule="auto"/>
        <w:ind w:left="1457" w:right="12" w:hanging="257" w:firstLineChars="0"/>
        <w:rPr>
          <w:color w:val="auto"/>
          <w:highlight w:val="none"/>
        </w:rPr>
      </w:pPr>
      <w:r>
        <w:rPr>
          <w:rFonts w:hint="eastAsia"/>
          <w:color w:val="auto"/>
          <w:highlight w:val="none"/>
        </w:rPr>
        <w:t>指向性不小于</w:t>
      </w:r>
      <w:r>
        <w:rPr>
          <w:color w:val="auto"/>
          <w:highlight w:val="none"/>
        </w:rPr>
        <w:t>110°×20°；</w:t>
      </w:r>
      <w:bookmarkEnd w:id="114"/>
    </w:p>
    <w:p>
      <w:pPr>
        <w:pStyle w:val="30"/>
        <w:spacing w:after="0" w:line="360" w:lineRule="auto"/>
        <w:ind w:left="1277" w:right="12" w:firstLine="0" w:firstLineChars="0"/>
        <w:rPr>
          <w:color w:val="auto"/>
          <w:highlight w:val="none"/>
        </w:rPr>
      </w:pPr>
    </w:p>
    <w:p>
      <w:pPr>
        <w:numPr>
          <w:ilvl w:val="2"/>
          <w:numId w:val="3"/>
        </w:numPr>
        <w:spacing w:after="0" w:line="360" w:lineRule="auto"/>
        <w:ind w:left="284" w:leftChars="0" w:right="12" w:hanging="44" w:firstLineChars="0"/>
        <w:rPr>
          <w:color w:val="auto"/>
          <w:highlight w:val="none"/>
        </w:rPr>
      </w:pPr>
      <w:r>
        <w:rPr>
          <w:rFonts w:hint="eastAsia"/>
          <w:color w:val="auto"/>
          <w:highlight w:val="none"/>
        </w:rPr>
        <w:t>吸顶天花扬声器技术要求</w:t>
      </w:r>
    </w:p>
    <w:p>
      <w:pPr>
        <w:pStyle w:val="30"/>
        <w:numPr>
          <w:ilvl w:val="3"/>
          <w:numId w:val="3"/>
        </w:numPr>
        <w:tabs>
          <w:tab w:val="left" w:pos="1440"/>
        </w:tabs>
        <w:spacing w:after="0" w:line="360" w:lineRule="auto"/>
        <w:ind w:left="1200" w:right="12" w:firstLineChars="0"/>
        <w:rPr>
          <w:color w:val="auto"/>
          <w:highlight w:val="none"/>
        </w:rPr>
      </w:pPr>
      <w:bookmarkStart w:id="115" w:name="_Hlk72232907"/>
      <w:r>
        <w:rPr>
          <w:rFonts w:hint="eastAsia"/>
          <w:color w:val="auto"/>
          <w:highlight w:val="none"/>
        </w:rPr>
        <w:t>不小于</w:t>
      </w:r>
      <w:r>
        <w:rPr>
          <w:color w:val="auto"/>
          <w:highlight w:val="none"/>
        </w:rPr>
        <w:t>6寸吸顶天花扬声器；</w:t>
      </w:r>
    </w:p>
    <w:p>
      <w:pPr>
        <w:pStyle w:val="30"/>
        <w:numPr>
          <w:ilvl w:val="3"/>
          <w:numId w:val="3"/>
        </w:numPr>
        <w:tabs>
          <w:tab w:val="left" w:pos="1440"/>
        </w:tabs>
        <w:spacing w:after="0" w:line="360" w:lineRule="auto"/>
        <w:ind w:left="1200" w:right="12" w:firstLineChars="0"/>
        <w:rPr>
          <w:color w:val="auto"/>
          <w:highlight w:val="none"/>
        </w:rPr>
      </w:pPr>
      <w:r>
        <w:rPr>
          <w:rFonts w:hint="eastAsia"/>
          <w:color w:val="auto"/>
          <w:highlight w:val="none"/>
        </w:rPr>
        <w:t>持续功率不小于</w:t>
      </w:r>
      <w:r>
        <w:rPr>
          <w:color w:val="auto"/>
          <w:highlight w:val="none"/>
        </w:rPr>
        <w:t>50W；</w:t>
      </w:r>
    </w:p>
    <w:p>
      <w:pPr>
        <w:pStyle w:val="30"/>
        <w:numPr>
          <w:ilvl w:val="3"/>
          <w:numId w:val="3"/>
        </w:numPr>
        <w:tabs>
          <w:tab w:val="left" w:pos="1440"/>
        </w:tabs>
        <w:spacing w:after="0" w:line="360" w:lineRule="auto"/>
        <w:ind w:left="1200" w:right="12" w:firstLineChars="0"/>
        <w:rPr>
          <w:color w:val="auto"/>
          <w:highlight w:val="none"/>
        </w:rPr>
      </w:pPr>
      <w:r>
        <w:rPr>
          <w:rFonts w:hint="eastAsia"/>
          <w:color w:val="auto"/>
          <w:highlight w:val="none"/>
        </w:rPr>
        <w:t>定阻：</w:t>
      </w:r>
      <w:r>
        <w:rPr>
          <w:color w:val="auto"/>
          <w:highlight w:val="none"/>
        </w:rPr>
        <w:t>16Ω；</w:t>
      </w:r>
    </w:p>
    <w:p>
      <w:pPr>
        <w:pStyle w:val="30"/>
        <w:numPr>
          <w:ilvl w:val="3"/>
          <w:numId w:val="3"/>
        </w:numPr>
        <w:tabs>
          <w:tab w:val="left" w:pos="1440"/>
        </w:tabs>
        <w:spacing w:after="0" w:line="360" w:lineRule="auto"/>
        <w:ind w:left="1200" w:right="12" w:firstLineChars="0"/>
        <w:rPr>
          <w:color w:val="auto"/>
          <w:highlight w:val="none"/>
        </w:rPr>
      </w:pPr>
      <w:r>
        <w:rPr>
          <w:rFonts w:hint="eastAsia"/>
          <w:color w:val="auto"/>
          <w:highlight w:val="none"/>
        </w:rPr>
        <w:t>频率响应不低于</w:t>
      </w:r>
      <w:r>
        <w:rPr>
          <w:color w:val="auto"/>
          <w:highlight w:val="none"/>
        </w:rPr>
        <w:t>80Hz-20kHz(-10dB)；</w:t>
      </w:r>
    </w:p>
    <w:p>
      <w:pPr>
        <w:pStyle w:val="30"/>
        <w:numPr>
          <w:ilvl w:val="3"/>
          <w:numId w:val="3"/>
        </w:numPr>
        <w:tabs>
          <w:tab w:val="left" w:pos="1440"/>
        </w:tabs>
        <w:spacing w:after="0" w:line="360" w:lineRule="auto"/>
        <w:ind w:left="1200" w:right="12" w:firstLineChars="0"/>
        <w:rPr>
          <w:color w:val="auto"/>
          <w:highlight w:val="none"/>
        </w:rPr>
      </w:pPr>
      <w:r>
        <w:rPr>
          <w:rFonts w:hint="eastAsia"/>
          <w:color w:val="auto"/>
          <w:highlight w:val="none"/>
        </w:rPr>
        <w:t>灵敏度不低于</w:t>
      </w:r>
      <w:r>
        <w:rPr>
          <w:color w:val="auto"/>
          <w:highlight w:val="none"/>
        </w:rPr>
        <w:t xml:space="preserve">88dB； </w:t>
      </w:r>
    </w:p>
    <w:p>
      <w:pPr>
        <w:pStyle w:val="30"/>
        <w:numPr>
          <w:ilvl w:val="3"/>
          <w:numId w:val="3"/>
        </w:numPr>
        <w:tabs>
          <w:tab w:val="left" w:pos="1440"/>
        </w:tabs>
        <w:spacing w:after="0" w:line="360" w:lineRule="auto"/>
        <w:ind w:left="1200" w:right="12" w:firstLineChars="0"/>
        <w:rPr>
          <w:color w:val="auto"/>
          <w:highlight w:val="none"/>
        </w:rPr>
      </w:pPr>
      <w:r>
        <w:rPr>
          <w:rFonts w:hint="eastAsia"/>
          <w:color w:val="auto"/>
          <w:highlight w:val="none"/>
        </w:rPr>
        <w:t>最大声压级不小于</w:t>
      </w:r>
      <w:r>
        <w:rPr>
          <w:color w:val="auto"/>
          <w:highlight w:val="none"/>
        </w:rPr>
        <w:t>110dB；</w:t>
      </w:r>
    </w:p>
    <w:p>
      <w:pPr>
        <w:pStyle w:val="30"/>
        <w:numPr>
          <w:ilvl w:val="3"/>
          <w:numId w:val="3"/>
        </w:numPr>
        <w:tabs>
          <w:tab w:val="left" w:pos="1440"/>
        </w:tabs>
        <w:spacing w:after="0" w:line="360" w:lineRule="auto"/>
        <w:ind w:left="1200" w:right="12" w:firstLineChars="0"/>
        <w:rPr>
          <w:color w:val="auto"/>
          <w:highlight w:val="none"/>
        </w:rPr>
      </w:pPr>
      <w:r>
        <w:rPr>
          <w:rFonts w:hint="eastAsia"/>
          <w:color w:val="auto"/>
          <w:highlight w:val="none"/>
        </w:rPr>
        <w:t>指向性不小于</w:t>
      </w:r>
      <w:r>
        <w:rPr>
          <w:color w:val="auto"/>
          <w:highlight w:val="none"/>
        </w:rPr>
        <w:t>120°×120°；</w:t>
      </w:r>
    </w:p>
    <w:p>
      <w:pPr>
        <w:pStyle w:val="30"/>
        <w:spacing w:after="0" w:line="360" w:lineRule="auto"/>
        <w:ind w:left="1418" w:right="12" w:firstLine="0" w:firstLineChars="0"/>
        <w:rPr>
          <w:color w:val="auto"/>
          <w:highlight w:val="none"/>
        </w:rPr>
      </w:pPr>
    </w:p>
    <w:bookmarkEnd w:id="115"/>
    <w:p>
      <w:pPr>
        <w:numPr>
          <w:ilvl w:val="2"/>
          <w:numId w:val="3"/>
        </w:numPr>
        <w:spacing w:after="0" w:line="360" w:lineRule="auto"/>
        <w:ind w:left="284" w:leftChars="0" w:right="12" w:hanging="44" w:firstLineChars="0"/>
        <w:rPr>
          <w:color w:val="auto"/>
          <w:highlight w:val="none"/>
        </w:rPr>
      </w:pPr>
      <w:r>
        <w:rPr>
          <w:rFonts w:hint="eastAsia"/>
          <w:color w:val="auto"/>
          <w:highlight w:val="none"/>
        </w:rPr>
        <w:t>两通道数字功率放大器技术要求</w:t>
      </w:r>
    </w:p>
    <w:p>
      <w:pPr>
        <w:pStyle w:val="30"/>
        <w:numPr>
          <w:ilvl w:val="3"/>
          <w:numId w:val="3"/>
        </w:numPr>
        <w:tabs>
          <w:tab w:val="left" w:pos="1440"/>
        </w:tabs>
        <w:spacing w:after="0" w:line="360" w:lineRule="auto"/>
        <w:ind w:left="1193" w:leftChars="497" w:right="12" w:firstLine="3" w:firstLineChars="0"/>
        <w:rPr>
          <w:color w:val="auto"/>
          <w:highlight w:val="none"/>
        </w:rPr>
      </w:pPr>
      <w:bookmarkStart w:id="116" w:name="_Hlk72232958"/>
      <w:r>
        <w:rPr>
          <w:rFonts w:hint="eastAsia"/>
          <w:color w:val="auto"/>
          <w:highlight w:val="none"/>
        </w:rPr>
        <w:t>采用</w:t>
      </w:r>
      <w:r>
        <w:rPr>
          <w:color w:val="auto"/>
          <w:highlight w:val="none"/>
        </w:rPr>
        <w:t>ClassD技术,转换效率可达90%以上;</w:t>
      </w:r>
    </w:p>
    <w:p>
      <w:pPr>
        <w:pStyle w:val="30"/>
        <w:numPr>
          <w:ilvl w:val="3"/>
          <w:numId w:val="3"/>
        </w:numPr>
        <w:tabs>
          <w:tab w:val="left" w:pos="1440"/>
        </w:tabs>
        <w:spacing w:after="0" w:line="360" w:lineRule="auto"/>
        <w:ind w:left="1193" w:leftChars="497" w:right="12" w:firstLine="3" w:firstLineChars="0"/>
        <w:rPr>
          <w:color w:val="auto"/>
          <w:highlight w:val="none"/>
        </w:rPr>
      </w:pPr>
      <w:r>
        <w:rPr>
          <w:rFonts w:hint="eastAsia"/>
          <w:color w:val="auto"/>
          <w:highlight w:val="none"/>
        </w:rPr>
        <w:t>自动限幅输出、短路、过载、过温、开机延时等保护功能</w:t>
      </w:r>
      <w:r>
        <w:rPr>
          <w:color w:val="auto"/>
          <w:highlight w:val="none"/>
        </w:rPr>
        <w:t>;</w:t>
      </w:r>
    </w:p>
    <w:p>
      <w:pPr>
        <w:pStyle w:val="30"/>
        <w:numPr>
          <w:ilvl w:val="3"/>
          <w:numId w:val="3"/>
        </w:numPr>
        <w:tabs>
          <w:tab w:val="left" w:pos="1440"/>
        </w:tabs>
        <w:spacing w:after="0" w:line="360" w:lineRule="auto"/>
        <w:ind w:left="1193" w:leftChars="497" w:right="12" w:firstLine="3" w:firstLineChars="0"/>
        <w:rPr>
          <w:color w:val="auto"/>
          <w:highlight w:val="none"/>
        </w:rPr>
      </w:pPr>
      <w:r>
        <w:rPr>
          <w:rFonts w:hint="eastAsia"/>
          <w:color w:val="auto"/>
          <w:highlight w:val="none"/>
        </w:rPr>
        <w:t>功放配备延时启动系统</w:t>
      </w:r>
      <w:r>
        <w:rPr>
          <w:color w:val="auto"/>
          <w:highlight w:val="none"/>
        </w:rPr>
        <w:t>,保护音箱不受冲击而损坏;</w:t>
      </w:r>
    </w:p>
    <w:p>
      <w:pPr>
        <w:pStyle w:val="30"/>
        <w:numPr>
          <w:ilvl w:val="3"/>
          <w:numId w:val="3"/>
        </w:numPr>
        <w:tabs>
          <w:tab w:val="left" w:pos="1440"/>
        </w:tabs>
        <w:spacing w:after="0" w:line="360" w:lineRule="auto"/>
        <w:ind w:left="1193" w:leftChars="497" w:right="12" w:firstLine="3" w:firstLineChars="0"/>
        <w:rPr>
          <w:color w:val="auto"/>
          <w:highlight w:val="none"/>
        </w:rPr>
      </w:pPr>
      <w:r>
        <w:rPr>
          <w:rFonts w:hint="eastAsia"/>
          <w:color w:val="auto"/>
          <w:highlight w:val="none"/>
        </w:rPr>
        <w:t>后板配备双通道、单通道、桥接输出转换</w:t>
      </w:r>
      <w:r>
        <w:rPr>
          <w:color w:val="auto"/>
          <w:highlight w:val="none"/>
        </w:rPr>
        <w:t>;</w:t>
      </w:r>
    </w:p>
    <w:p>
      <w:pPr>
        <w:pStyle w:val="30"/>
        <w:numPr>
          <w:ilvl w:val="3"/>
          <w:numId w:val="3"/>
        </w:numPr>
        <w:tabs>
          <w:tab w:val="left" w:pos="1440"/>
        </w:tabs>
        <w:spacing w:after="0" w:line="360" w:lineRule="auto"/>
        <w:ind w:left="1193" w:leftChars="497" w:right="12" w:firstLine="3" w:firstLineChars="0"/>
        <w:rPr>
          <w:color w:val="auto"/>
          <w:highlight w:val="none"/>
        </w:rPr>
      </w:pPr>
      <w:r>
        <w:rPr>
          <w:rFonts w:hint="eastAsia"/>
          <w:color w:val="auto"/>
          <w:highlight w:val="none"/>
        </w:rPr>
        <w:t>平衡输入接口</w:t>
      </w:r>
      <w:r>
        <w:rPr>
          <w:color w:val="auto"/>
          <w:highlight w:val="none"/>
        </w:rPr>
        <w:t>,SPEAKON输出;</w:t>
      </w:r>
    </w:p>
    <w:p>
      <w:pPr>
        <w:pStyle w:val="30"/>
        <w:numPr>
          <w:ilvl w:val="3"/>
          <w:numId w:val="3"/>
        </w:numPr>
        <w:tabs>
          <w:tab w:val="left" w:pos="1440"/>
        </w:tabs>
        <w:spacing w:after="0" w:line="360" w:lineRule="auto"/>
        <w:ind w:left="1193" w:leftChars="497" w:right="12" w:firstLine="3" w:firstLineChars="0"/>
        <w:rPr>
          <w:color w:val="auto"/>
          <w:highlight w:val="none"/>
        </w:rPr>
      </w:pPr>
      <w:r>
        <w:rPr>
          <w:rFonts w:hint="eastAsia"/>
          <w:color w:val="auto"/>
          <w:highlight w:val="none"/>
        </w:rPr>
        <w:t>功放开关电源带有单独的冷却系统</w:t>
      </w:r>
      <w:r>
        <w:rPr>
          <w:color w:val="auto"/>
          <w:highlight w:val="none"/>
        </w:rPr>
        <w:t>;</w:t>
      </w:r>
    </w:p>
    <w:p>
      <w:pPr>
        <w:pStyle w:val="30"/>
        <w:numPr>
          <w:ilvl w:val="3"/>
          <w:numId w:val="3"/>
        </w:numPr>
        <w:tabs>
          <w:tab w:val="left" w:pos="1440"/>
        </w:tabs>
        <w:spacing w:after="0" w:line="360" w:lineRule="auto"/>
        <w:ind w:left="1193" w:leftChars="497" w:right="12" w:firstLine="3" w:firstLineChars="0"/>
        <w:rPr>
          <w:color w:val="auto"/>
          <w:highlight w:val="none"/>
        </w:rPr>
      </w:pPr>
      <w:r>
        <w:rPr>
          <w:rFonts w:hint="eastAsia"/>
          <w:color w:val="auto"/>
          <w:highlight w:val="none"/>
        </w:rPr>
        <w:t>散热风扇采用先进的无级变速电路控制</w:t>
      </w:r>
      <w:r>
        <w:rPr>
          <w:color w:val="auto"/>
          <w:highlight w:val="none"/>
        </w:rPr>
        <w:t>;</w:t>
      </w:r>
    </w:p>
    <w:p>
      <w:pPr>
        <w:pStyle w:val="30"/>
        <w:numPr>
          <w:ilvl w:val="3"/>
          <w:numId w:val="3"/>
        </w:numPr>
        <w:tabs>
          <w:tab w:val="left" w:pos="1440"/>
        </w:tabs>
        <w:spacing w:after="0" w:line="360" w:lineRule="auto"/>
        <w:ind w:left="1193" w:leftChars="497" w:right="12" w:firstLine="3" w:firstLineChars="0"/>
        <w:rPr>
          <w:color w:val="auto"/>
          <w:highlight w:val="none"/>
        </w:rPr>
      </w:pPr>
      <w:r>
        <w:rPr>
          <w:rFonts w:hint="eastAsia"/>
          <w:color w:val="auto"/>
          <w:highlight w:val="none"/>
        </w:rPr>
        <w:t>额定功率</w:t>
      </w:r>
      <w:r>
        <w:rPr>
          <w:color w:val="auto"/>
          <w:highlight w:val="none"/>
        </w:rPr>
        <w:t>:2×350W/8欧,2×550W/4欧;桥接:1×1000W/8欧;</w:t>
      </w:r>
    </w:p>
    <w:p>
      <w:pPr>
        <w:pStyle w:val="30"/>
        <w:numPr>
          <w:ilvl w:val="3"/>
          <w:numId w:val="3"/>
        </w:numPr>
        <w:tabs>
          <w:tab w:val="left" w:pos="1440"/>
        </w:tabs>
        <w:spacing w:after="0" w:line="360" w:lineRule="auto"/>
        <w:ind w:left="1193" w:leftChars="497" w:right="12" w:firstLine="3" w:firstLineChars="0"/>
        <w:rPr>
          <w:color w:val="auto"/>
          <w:highlight w:val="none"/>
        </w:rPr>
      </w:pPr>
      <w:r>
        <w:rPr>
          <w:rFonts w:hint="eastAsia"/>
          <w:color w:val="auto"/>
          <w:highlight w:val="none"/>
        </w:rPr>
        <w:t>频率响应</w:t>
      </w:r>
      <w:r>
        <w:rPr>
          <w:color w:val="auto"/>
          <w:highlight w:val="none"/>
        </w:rPr>
        <w:t>:20Hz-20kHz(±3dB);</w:t>
      </w:r>
    </w:p>
    <w:p>
      <w:pPr>
        <w:pStyle w:val="30"/>
        <w:numPr>
          <w:ilvl w:val="3"/>
          <w:numId w:val="3"/>
        </w:numPr>
        <w:tabs>
          <w:tab w:val="left" w:pos="1440"/>
        </w:tabs>
        <w:spacing w:after="0" w:line="360" w:lineRule="auto"/>
        <w:ind w:left="1193" w:leftChars="497" w:right="12" w:firstLine="3" w:firstLineChars="0"/>
        <w:rPr>
          <w:color w:val="auto"/>
          <w:highlight w:val="none"/>
        </w:rPr>
      </w:pPr>
      <w:r>
        <w:rPr>
          <w:rFonts w:hint="eastAsia"/>
          <w:color w:val="auto"/>
          <w:highlight w:val="none"/>
        </w:rPr>
        <w:t>总谐波失真</w:t>
      </w:r>
      <w:r>
        <w:rPr>
          <w:color w:val="auto"/>
          <w:highlight w:val="none"/>
        </w:rPr>
        <w:t>(THD):≤0.05%；</w:t>
      </w:r>
    </w:p>
    <w:p>
      <w:pPr>
        <w:pStyle w:val="30"/>
        <w:numPr>
          <w:ilvl w:val="3"/>
          <w:numId w:val="3"/>
        </w:numPr>
        <w:tabs>
          <w:tab w:val="left" w:pos="1440"/>
        </w:tabs>
        <w:spacing w:after="0" w:line="360" w:lineRule="auto"/>
        <w:ind w:left="1193" w:leftChars="497" w:right="12" w:firstLine="3" w:firstLineChars="0"/>
        <w:rPr>
          <w:color w:val="auto"/>
          <w:highlight w:val="none"/>
        </w:rPr>
      </w:pPr>
      <w:r>
        <w:rPr>
          <w:rFonts w:hint="eastAsia"/>
          <w:color w:val="auto"/>
          <w:highlight w:val="none"/>
        </w:rPr>
        <w:t>输入灵敏度可选</w:t>
      </w:r>
      <w:r>
        <w:rPr>
          <w:color w:val="auto"/>
          <w:highlight w:val="none"/>
        </w:rPr>
        <w:t>:38dB,35dB,32dB,29dB;</w:t>
      </w:r>
    </w:p>
    <w:p>
      <w:pPr>
        <w:pStyle w:val="30"/>
        <w:numPr>
          <w:ilvl w:val="3"/>
          <w:numId w:val="3"/>
        </w:numPr>
        <w:tabs>
          <w:tab w:val="left" w:pos="1440"/>
        </w:tabs>
        <w:spacing w:after="0" w:line="360" w:lineRule="auto"/>
        <w:ind w:left="1193" w:leftChars="497" w:right="12" w:firstLine="3" w:firstLineChars="0"/>
        <w:rPr>
          <w:color w:val="auto"/>
          <w:highlight w:val="none"/>
        </w:rPr>
      </w:pPr>
      <w:r>
        <w:rPr>
          <w:rFonts w:hint="eastAsia"/>
          <w:color w:val="auto"/>
          <w:highlight w:val="none"/>
        </w:rPr>
        <w:t>输入阻抗</w:t>
      </w:r>
      <w:r>
        <w:rPr>
          <w:color w:val="auto"/>
          <w:highlight w:val="none"/>
        </w:rPr>
        <w:t>:10kΩ(电子平衡式);</w:t>
      </w:r>
    </w:p>
    <w:p>
      <w:pPr>
        <w:pStyle w:val="30"/>
        <w:numPr>
          <w:ilvl w:val="3"/>
          <w:numId w:val="3"/>
        </w:numPr>
        <w:tabs>
          <w:tab w:val="left" w:pos="1440"/>
        </w:tabs>
        <w:spacing w:after="0" w:line="360" w:lineRule="auto"/>
        <w:ind w:left="1193" w:leftChars="497" w:right="12" w:firstLine="3" w:firstLineChars="0"/>
        <w:rPr>
          <w:color w:val="auto"/>
          <w:highlight w:val="none"/>
        </w:rPr>
      </w:pPr>
      <w:r>
        <w:rPr>
          <w:rFonts w:hint="eastAsia"/>
          <w:color w:val="auto"/>
          <w:highlight w:val="none"/>
        </w:rPr>
        <w:t>信噪比</w:t>
      </w:r>
      <w:r>
        <w:rPr>
          <w:color w:val="auto"/>
          <w:highlight w:val="none"/>
        </w:rPr>
        <w:t>:≥80dB;</w:t>
      </w:r>
    </w:p>
    <w:p>
      <w:pPr>
        <w:pStyle w:val="30"/>
        <w:numPr>
          <w:ilvl w:val="3"/>
          <w:numId w:val="3"/>
        </w:numPr>
        <w:tabs>
          <w:tab w:val="left" w:pos="1440"/>
        </w:tabs>
        <w:spacing w:after="0" w:line="360" w:lineRule="auto"/>
        <w:ind w:left="1193" w:leftChars="497" w:right="12" w:firstLine="3" w:firstLineChars="0"/>
        <w:rPr>
          <w:color w:val="auto"/>
          <w:highlight w:val="none"/>
        </w:rPr>
      </w:pPr>
      <w:r>
        <w:rPr>
          <w:rFonts w:hint="eastAsia"/>
          <w:color w:val="auto"/>
          <w:highlight w:val="none"/>
        </w:rPr>
        <w:t>阻尼系数</w:t>
      </w:r>
      <w:r>
        <w:rPr>
          <w:color w:val="auto"/>
          <w:highlight w:val="none"/>
        </w:rPr>
        <w:t>(20Hz-200Hz):≥500;</w:t>
      </w:r>
    </w:p>
    <w:p>
      <w:pPr>
        <w:pStyle w:val="30"/>
        <w:spacing w:after="0" w:line="360" w:lineRule="auto"/>
        <w:ind w:left="1418" w:right="12" w:firstLine="0" w:firstLineChars="0"/>
        <w:rPr>
          <w:color w:val="auto"/>
          <w:highlight w:val="none"/>
        </w:rPr>
      </w:pPr>
    </w:p>
    <w:bookmarkEnd w:id="116"/>
    <w:p>
      <w:pPr>
        <w:numPr>
          <w:ilvl w:val="2"/>
          <w:numId w:val="3"/>
        </w:numPr>
        <w:spacing w:after="0" w:line="360" w:lineRule="auto"/>
        <w:ind w:left="284" w:leftChars="0" w:right="12" w:hanging="44" w:firstLineChars="0"/>
        <w:rPr>
          <w:color w:val="auto"/>
          <w:highlight w:val="none"/>
        </w:rPr>
      </w:pPr>
      <w:r>
        <w:rPr>
          <w:rFonts w:hint="eastAsia"/>
          <w:color w:val="auto"/>
          <w:highlight w:val="none"/>
        </w:rPr>
        <w:t>四通道数字功率放大器技术要求</w:t>
      </w:r>
    </w:p>
    <w:p>
      <w:pPr>
        <w:pStyle w:val="30"/>
        <w:numPr>
          <w:ilvl w:val="3"/>
          <w:numId w:val="3"/>
        </w:numPr>
        <w:tabs>
          <w:tab w:val="left" w:pos="1440"/>
        </w:tabs>
        <w:spacing w:after="0" w:line="360" w:lineRule="auto"/>
        <w:ind w:left="1200" w:right="12" w:firstLine="19" w:firstLineChars="8"/>
        <w:rPr>
          <w:color w:val="auto"/>
          <w:highlight w:val="none"/>
        </w:rPr>
      </w:pPr>
      <w:r>
        <w:rPr>
          <w:rFonts w:hint="eastAsia"/>
          <w:color w:val="auto"/>
          <w:highlight w:val="none"/>
        </w:rPr>
        <w:t>采用</w:t>
      </w:r>
      <w:r>
        <w:rPr>
          <w:color w:val="auto"/>
          <w:highlight w:val="none"/>
        </w:rPr>
        <w:t>ClassD技术,转换效率可达90%以上;</w:t>
      </w:r>
    </w:p>
    <w:p>
      <w:pPr>
        <w:pStyle w:val="30"/>
        <w:numPr>
          <w:ilvl w:val="3"/>
          <w:numId w:val="3"/>
        </w:numPr>
        <w:tabs>
          <w:tab w:val="left" w:pos="1440"/>
        </w:tabs>
        <w:spacing w:after="0" w:line="360" w:lineRule="auto"/>
        <w:ind w:left="1200" w:right="12" w:firstLine="19" w:firstLineChars="8"/>
        <w:rPr>
          <w:color w:val="auto"/>
          <w:highlight w:val="none"/>
        </w:rPr>
      </w:pPr>
      <w:r>
        <w:rPr>
          <w:rFonts w:hint="eastAsia"/>
          <w:color w:val="auto"/>
          <w:highlight w:val="none"/>
        </w:rPr>
        <w:t>自动限幅输出、短路、过载、过温、开机延时等保护功能</w:t>
      </w:r>
      <w:r>
        <w:rPr>
          <w:color w:val="auto"/>
          <w:highlight w:val="none"/>
        </w:rPr>
        <w:t>;</w:t>
      </w:r>
    </w:p>
    <w:p>
      <w:pPr>
        <w:pStyle w:val="30"/>
        <w:numPr>
          <w:ilvl w:val="3"/>
          <w:numId w:val="3"/>
        </w:numPr>
        <w:tabs>
          <w:tab w:val="left" w:pos="1440"/>
        </w:tabs>
        <w:spacing w:after="0" w:line="360" w:lineRule="auto"/>
        <w:ind w:left="1200" w:right="12" w:firstLine="19" w:firstLineChars="8"/>
        <w:rPr>
          <w:color w:val="auto"/>
          <w:highlight w:val="none"/>
        </w:rPr>
      </w:pPr>
      <w:r>
        <w:rPr>
          <w:rFonts w:hint="eastAsia"/>
          <w:color w:val="auto"/>
          <w:highlight w:val="none"/>
        </w:rPr>
        <w:t>功放配备延时启动系统</w:t>
      </w:r>
      <w:r>
        <w:rPr>
          <w:color w:val="auto"/>
          <w:highlight w:val="none"/>
        </w:rPr>
        <w:t>,保护音箱不受冲击而损坏;</w:t>
      </w:r>
    </w:p>
    <w:p>
      <w:pPr>
        <w:pStyle w:val="30"/>
        <w:numPr>
          <w:ilvl w:val="3"/>
          <w:numId w:val="3"/>
        </w:numPr>
        <w:tabs>
          <w:tab w:val="left" w:pos="1440"/>
        </w:tabs>
        <w:spacing w:after="0" w:line="360" w:lineRule="auto"/>
        <w:ind w:left="1200" w:right="12" w:firstLine="19" w:firstLineChars="8"/>
        <w:rPr>
          <w:color w:val="auto"/>
          <w:highlight w:val="none"/>
        </w:rPr>
      </w:pPr>
      <w:r>
        <w:rPr>
          <w:rFonts w:hint="eastAsia"/>
          <w:color w:val="auto"/>
          <w:highlight w:val="none"/>
        </w:rPr>
        <w:t>后板配备双通道、单通道、桥接输出转换</w:t>
      </w:r>
      <w:r>
        <w:rPr>
          <w:color w:val="auto"/>
          <w:highlight w:val="none"/>
        </w:rPr>
        <w:t>;</w:t>
      </w:r>
    </w:p>
    <w:p>
      <w:pPr>
        <w:pStyle w:val="30"/>
        <w:numPr>
          <w:ilvl w:val="3"/>
          <w:numId w:val="3"/>
        </w:numPr>
        <w:tabs>
          <w:tab w:val="left" w:pos="1440"/>
        </w:tabs>
        <w:spacing w:after="0" w:line="360" w:lineRule="auto"/>
        <w:ind w:left="1200" w:right="12" w:firstLine="19" w:firstLineChars="8"/>
        <w:rPr>
          <w:color w:val="auto"/>
          <w:highlight w:val="none"/>
        </w:rPr>
      </w:pPr>
      <w:r>
        <w:rPr>
          <w:rFonts w:hint="eastAsia"/>
          <w:color w:val="auto"/>
          <w:highlight w:val="none"/>
        </w:rPr>
        <w:t>平衡输入接口</w:t>
      </w:r>
      <w:r>
        <w:rPr>
          <w:color w:val="auto"/>
          <w:highlight w:val="none"/>
        </w:rPr>
        <w:t>,SPEAKON输出;</w:t>
      </w:r>
    </w:p>
    <w:p>
      <w:pPr>
        <w:pStyle w:val="30"/>
        <w:numPr>
          <w:ilvl w:val="3"/>
          <w:numId w:val="3"/>
        </w:numPr>
        <w:tabs>
          <w:tab w:val="left" w:pos="1440"/>
        </w:tabs>
        <w:spacing w:after="0" w:line="360" w:lineRule="auto"/>
        <w:ind w:left="1200" w:right="12" w:firstLine="19" w:firstLineChars="8"/>
        <w:rPr>
          <w:color w:val="auto"/>
          <w:highlight w:val="none"/>
        </w:rPr>
      </w:pPr>
      <w:r>
        <w:rPr>
          <w:rFonts w:hint="eastAsia"/>
          <w:color w:val="auto"/>
          <w:highlight w:val="none"/>
        </w:rPr>
        <w:t>功放开关电源带有单独的冷却系统</w:t>
      </w:r>
      <w:r>
        <w:rPr>
          <w:color w:val="auto"/>
          <w:highlight w:val="none"/>
        </w:rPr>
        <w:t>;</w:t>
      </w:r>
    </w:p>
    <w:p>
      <w:pPr>
        <w:pStyle w:val="30"/>
        <w:numPr>
          <w:ilvl w:val="3"/>
          <w:numId w:val="3"/>
        </w:numPr>
        <w:tabs>
          <w:tab w:val="left" w:pos="1440"/>
        </w:tabs>
        <w:spacing w:after="0" w:line="360" w:lineRule="auto"/>
        <w:ind w:left="1200" w:right="12" w:firstLine="19" w:firstLineChars="8"/>
        <w:rPr>
          <w:color w:val="auto"/>
          <w:highlight w:val="none"/>
        </w:rPr>
      </w:pPr>
      <w:r>
        <w:rPr>
          <w:rFonts w:hint="eastAsia"/>
          <w:color w:val="auto"/>
          <w:highlight w:val="none"/>
        </w:rPr>
        <w:t>散热风扇采用先进的无级变速电路控制</w:t>
      </w:r>
      <w:r>
        <w:rPr>
          <w:color w:val="auto"/>
          <w:highlight w:val="none"/>
        </w:rPr>
        <w:t>;</w:t>
      </w:r>
    </w:p>
    <w:p>
      <w:pPr>
        <w:pStyle w:val="30"/>
        <w:numPr>
          <w:ilvl w:val="3"/>
          <w:numId w:val="3"/>
        </w:numPr>
        <w:tabs>
          <w:tab w:val="left" w:pos="1440"/>
        </w:tabs>
        <w:spacing w:after="0" w:line="360" w:lineRule="auto"/>
        <w:ind w:left="1200" w:right="12" w:firstLine="19" w:firstLineChars="8"/>
        <w:rPr>
          <w:color w:val="auto"/>
          <w:highlight w:val="none"/>
        </w:rPr>
      </w:pPr>
      <w:r>
        <w:rPr>
          <w:rFonts w:hint="eastAsia"/>
          <w:color w:val="auto"/>
          <w:highlight w:val="none"/>
        </w:rPr>
        <w:t>额定功率</w:t>
      </w:r>
      <w:r>
        <w:rPr>
          <w:color w:val="auto"/>
          <w:highlight w:val="none"/>
        </w:rPr>
        <w:t>:4×350W/8欧,4×550W/4欧;桥接:2×1000W/8欧;</w:t>
      </w:r>
    </w:p>
    <w:p>
      <w:pPr>
        <w:pStyle w:val="30"/>
        <w:numPr>
          <w:ilvl w:val="3"/>
          <w:numId w:val="3"/>
        </w:numPr>
        <w:tabs>
          <w:tab w:val="left" w:pos="1440"/>
        </w:tabs>
        <w:spacing w:after="0" w:line="360" w:lineRule="auto"/>
        <w:ind w:left="1200" w:right="12" w:firstLine="19" w:firstLineChars="8"/>
        <w:rPr>
          <w:color w:val="auto"/>
          <w:highlight w:val="none"/>
        </w:rPr>
      </w:pPr>
      <w:r>
        <w:rPr>
          <w:rFonts w:hint="eastAsia"/>
          <w:color w:val="auto"/>
          <w:highlight w:val="none"/>
        </w:rPr>
        <w:t>频率响应</w:t>
      </w:r>
      <w:r>
        <w:rPr>
          <w:color w:val="auto"/>
          <w:highlight w:val="none"/>
        </w:rPr>
        <w:t>:20Hz-20kHz(±3dB);</w:t>
      </w:r>
    </w:p>
    <w:p>
      <w:pPr>
        <w:pStyle w:val="30"/>
        <w:numPr>
          <w:ilvl w:val="3"/>
          <w:numId w:val="3"/>
        </w:numPr>
        <w:tabs>
          <w:tab w:val="left" w:pos="1440"/>
        </w:tabs>
        <w:spacing w:after="0" w:line="360" w:lineRule="auto"/>
        <w:ind w:left="1200" w:right="12" w:firstLine="19" w:firstLineChars="8"/>
        <w:rPr>
          <w:color w:val="auto"/>
          <w:highlight w:val="none"/>
        </w:rPr>
      </w:pPr>
      <w:r>
        <w:rPr>
          <w:rFonts w:hint="eastAsia"/>
          <w:color w:val="auto"/>
          <w:highlight w:val="none"/>
        </w:rPr>
        <w:t>总谐波失真</w:t>
      </w:r>
      <w:r>
        <w:rPr>
          <w:color w:val="auto"/>
          <w:highlight w:val="none"/>
        </w:rPr>
        <w:t>(THD):≤0.05%；</w:t>
      </w:r>
    </w:p>
    <w:p>
      <w:pPr>
        <w:pStyle w:val="30"/>
        <w:numPr>
          <w:ilvl w:val="3"/>
          <w:numId w:val="3"/>
        </w:numPr>
        <w:tabs>
          <w:tab w:val="left" w:pos="1440"/>
        </w:tabs>
        <w:spacing w:after="0" w:line="360" w:lineRule="auto"/>
        <w:ind w:left="1200" w:right="12" w:firstLine="19" w:firstLineChars="8"/>
        <w:rPr>
          <w:color w:val="auto"/>
          <w:highlight w:val="none"/>
        </w:rPr>
      </w:pPr>
      <w:r>
        <w:rPr>
          <w:rFonts w:hint="eastAsia"/>
          <w:color w:val="auto"/>
          <w:highlight w:val="none"/>
        </w:rPr>
        <w:t>输入灵敏度可选</w:t>
      </w:r>
      <w:r>
        <w:rPr>
          <w:color w:val="auto"/>
          <w:highlight w:val="none"/>
        </w:rPr>
        <w:t>:38dB,35dB,32dB,29dB;</w:t>
      </w:r>
    </w:p>
    <w:p>
      <w:pPr>
        <w:pStyle w:val="30"/>
        <w:numPr>
          <w:ilvl w:val="3"/>
          <w:numId w:val="3"/>
        </w:numPr>
        <w:tabs>
          <w:tab w:val="left" w:pos="1440"/>
        </w:tabs>
        <w:spacing w:after="0" w:line="360" w:lineRule="auto"/>
        <w:ind w:left="1200" w:right="12" w:firstLine="19" w:firstLineChars="8"/>
        <w:rPr>
          <w:color w:val="auto"/>
          <w:highlight w:val="none"/>
        </w:rPr>
      </w:pPr>
      <w:r>
        <w:rPr>
          <w:rFonts w:hint="eastAsia"/>
          <w:color w:val="auto"/>
          <w:highlight w:val="none"/>
        </w:rPr>
        <w:t>输入阻抗</w:t>
      </w:r>
      <w:r>
        <w:rPr>
          <w:color w:val="auto"/>
          <w:highlight w:val="none"/>
        </w:rPr>
        <w:t>:10kΩ(电子平衡式);</w:t>
      </w:r>
    </w:p>
    <w:p>
      <w:pPr>
        <w:pStyle w:val="30"/>
        <w:numPr>
          <w:ilvl w:val="3"/>
          <w:numId w:val="3"/>
        </w:numPr>
        <w:tabs>
          <w:tab w:val="left" w:pos="1440"/>
        </w:tabs>
        <w:spacing w:after="0" w:line="360" w:lineRule="auto"/>
        <w:ind w:left="1200" w:right="12" w:firstLine="19" w:firstLineChars="8"/>
        <w:rPr>
          <w:color w:val="auto"/>
          <w:highlight w:val="none"/>
        </w:rPr>
      </w:pPr>
      <w:r>
        <w:rPr>
          <w:rFonts w:hint="eastAsia"/>
          <w:color w:val="auto"/>
          <w:highlight w:val="none"/>
        </w:rPr>
        <w:t>信噪比</w:t>
      </w:r>
      <w:r>
        <w:rPr>
          <w:color w:val="auto"/>
          <w:highlight w:val="none"/>
        </w:rPr>
        <w:t>:≥80dB;</w:t>
      </w:r>
    </w:p>
    <w:p>
      <w:pPr>
        <w:pStyle w:val="30"/>
        <w:numPr>
          <w:ilvl w:val="3"/>
          <w:numId w:val="3"/>
        </w:numPr>
        <w:tabs>
          <w:tab w:val="left" w:pos="1440"/>
        </w:tabs>
        <w:spacing w:after="0" w:line="360" w:lineRule="auto"/>
        <w:ind w:left="1200" w:right="12" w:firstLine="19" w:firstLineChars="8"/>
        <w:rPr>
          <w:color w:val="auto"/>
          <w:highlight w:val="none"/>
        </w:rPr>
      </w:pPr>
      <w:r>
        <w:rPr>
          <w:rFonts w:hint="eastAsia"/>
          <w:color w:val="auto"/>
          <w:highlight w:val="none"/>
        </w:rPr>
        <w:t>阻尼系数</w:t>
      </w:r>
      <w:r>
        <w:rPr>
          <w:color w:val="auto"/>
          <w:highlight w:val="none"/>
        </w:rPr>
        <w:t>(20Hz-200Hz):≥500;</w:t>
      </w:r>
    </w:p>
    <w:p>
      <w:pPr>
        <w:pStyle w:val="30"/>
        <w:spacing w:after="0" w:line="360" w:lineRule="auto"/>
        <w:ind w:left="1418" w:right="12" w:firstLine="0" w:firstLineChars="0"/>
        <w:rPr>
          <w:color w:val="auto"/>
          <w:highlight w:val="none"/>
        </w:rPr>
      </w:pPr>
    </w:p>
    <w:p>
      <w:pPr>
        <w:numPr>
          <w:ilvl w:val="2"/>
          <w:numId w:val="3"/>
        </w:numPr>
        <w:spacing w:after="0" w:line="360" w:lineRule="auto"/>
        <w:ind w:left="284" w:leftChars="0" w:right="12" w:hanging="44" w:firstLineChars="0"/>
        <w:rPr>
          <w:color w:val="auto"/>
          <w:highlight w:val="none"/>
        </w:rPr>
      </w:pPr>
      <w:r>
        <w:rPr>
          <w:rFonts w:hint="eastAsia"/>
          <w:color w:val="auto"/>
          <w:highlight w:val="none"/>
        </w:rPr>
        <w:t>数字音频处理器技术要求</w:t>
      </w:r>
    </w:p>
    <w:p>
      <w:pPr>
        <w:pStyle w:val="30"/>
        <w:numPr>
          <w:ilvl w:val="3"/>
          <w:numId w:val="3"/>
        </w:numPr>
        <w:tabs>
          <w:tab w:val="left" w:pos="1440"/>
        </w:tabs>
        <w:spacing w:after="0" w:line="360" w:lineRule="auto"/>
        <w:ind w:left="1193" w:leftChars="497" w:right="12" w:firstLineChars="0"/>
        <w:rPr>
          <w:color w:val="auto"/>
          <w:highlight w:val="none"/>
        </w:rPr>
      </w:pPr>
      <w:r>
        <w:rPr>
          <w:rFonts w:hint="eastAsia"/>
          <w:color w:val="auto"/>
          <w:highlight w:val="none"/>
        </w:rPr>
        <w:t>不少于12</w:t>
      </w:r>
      <w:r>
        <w:rPr>
          <w:color w:val="auto"/>
          <w:highlight w:val="none"/>
        </w:rPr>
        <w:t>路输入、</w:t>
      </w:r>
      <w:r>
        <w:rPr>
          <w:rFonts w:hint="eastAsia"/>
          <w:color w:val="auto"/>
          <w:highlight w:val="none"/>
        </w:rPr>
        <w:t>12</w:t>
      </w:r>
      <w:r>
        <w:rPr>
          <w:color w:val="auto"/>
          <w:highlight w:val="none"/>
        </w:rPr>
        <w:t>路输出平衡接口;</w:t>
      </w:r>
    </w:p>
    <w:p>
      <w:pPr>
        <w:pStyle w:val="30"/>
        <w:numPr>
          <w:ilvl w:val="3"/>
          <w:numId w:val="3"/>
        </w:numPr>
        <w:tabs>
          <w:tab w:val="left" w:pos="1440"/>
        </w:tabs>
        <w:spacing w:after="0" w:line="360" w:lineRule="auto"/>
        <w:ind w:left="1193" w:leftChars="497" w:right="12" w:firstLineChars="0"/>
        <w:rPr>
          <w:color w:val="auto"/>
          <w:highlight w:val="none"/>
        </w:rPr>
      </w:pPr>
      <w:r>
        <w:rPr>
          <w:rFonts w:hint="eastAsia"/>
          <w:color w:val="auto"/>
          <w:highlight w:val="none"/>
        </w:rPr>
        <w:t>支持浏览器方式获取设备控制软件、控制代码等相关资料；</w:t>
      </w:r>
    </w:p>
    <w:p>
      <w:pPr>
        <w:pStyle w:val="30"/>
        <w:numPr>
          <w:ilvl w:val="3"/>
          <w:numId w:val="3"/>
        </w:numPr>
        <w:tabs>
          <w:tab w:val="left" w:pos="1440"/>
        </w:tabs>
        <w:spacing w:after="0" w:line="360" w:lineRule="auto"/>
        <w:ind w:left="1193" w:leftChars="497" w:right="12" w:firstLineChars="0"/>
        <w:rPr>
          <w:color w:val="auto"/>
          <w:highlight w:val="none"/>
        </w:rPr>
      </w:pPr>
      <w:r>
        <w:rPr>
          <w:rFonts w:hint="eastAsia"/>
          <w:color w:val="auto"/>
          <w:highlight w:val="none"/>
        </w:rPr>
        <w:t>采用工业级嵌入式架构</w:t>
      </w:r>
      <w:r>
        <w:rPr>
          <w:color w:val="auto"/>
          <w:highlight w:val="none"/>
        </w:rPr>
        <w:t>;</w:t>
      </w:r>
    </w:p>
    <w:p>
      <w:pPr>
        <w:pStyle w:val="30"/>
        <w:numPr>
          <w:ilvl w:val="3"/>
          <w:numId w:val="3"/>
        </w:numPr>
        <w:tabs>
          <w:tab w:val="left" w:pos="1440"/>
        </w:tabs>
        <w:spacing w:after="0" w:line="360" w:lineRule="auto"/>
        <w:ind w:left="1193" w:leftChars="497" w:right="12" w:firstLineChars="0"/>
        <w:rPr>
          <w:color w:val="auto"/>
          <w:highlight w:val="none"/>
        </w:rPr>
      </w:pPr>
      <w:r>
        <w:rPr>
          <w:rFonts w:hint="eastAsia"/>
          <w:color w:val="auto"/>
          <w:highlight w:val="none"/>
        </w:rPr>
        <w:t>支持自动混音功能</w:t>
      </w:r>
      <w:r>
        <w:rPr>
          <w:color w:val="auto"/>
          <w:highlight w:val="none"/>
        </w:rPr>
        <w:t>AM，可对多只话筒分组管理，NOMA功能，可根据设定的开启MIC数量，算法自动控制允许输出的话筒数量；</w:t>
      </w:r>
    </w:p>
    <w:p>
      <w:pPr>
        <w:pStyle w:val="30"/>
        <w:numPr>
          <w:ilvl w:val="3"/>
          <w:numId w:val="3"/>
        </w:numPr>
        <w:tabs>
          <w:tab w:val="left" w:pos="1440"/>
        </w:tabs>
        <w:spacing w:after="0" w:line="360" w:lineRule="auto"/>
        <w:ind w:left="1193" w:leftChars="497" w:right="12" w:firstLineChars="0"/>
        <w:rPr>
          <w:color w:val="auto"/>
          <w:highlight w:val="none"/>
        </w:rPr>
      </w:pPr>
      <w:r>
        <w:rPr>
          <w:rFonts w:hint="eastAsia"/>
          <w:color w:val="auto"/>
          <w:highlight w:val="none"/>
        </w:rPr>
        <w:t>输入每通道功能</w:t>
      </w:r>
      <w:r>
        <w:rPr>
          <w:color w:val="auto"/>
          <w:highlight w:val="none"/>
        </w:rPr>
        <w:t>:前级放大器、扩展器、压缩器、5段动态均衡器、延时器;</w:t>
      </w:r>
    </w:p>
    <w:p>
      <w:pPr>
        <w:pStyle w:val="30"/>
        <w:numPr>
          <w:ilvl w:val="3"/>
          <w:numId w:val="3"/>
        </w:numPr>
        <w:tabs>
          <w:tab w:val="left" w:pos="1440"/>
        </w:tabs>
        <w:spacing w:after="0" w:line="360" w:lineRule="auto"/>
        <w:ind w:left="1193" w:leftChars="497" w:right="12" w:firstLineChars="0"/>
        <w:rPr>
          <w:color w:val="auto"/>
          <w:highlight w:val="none"/>
        </w:rPr>
      </w:pPr>
      <w:r>
        <w:rPr>
          <w:rFonts w:hint="eastAsia"/>
          <w:color w:val="auto"/>
          <w:highlight w:val="none"/>
        </w:rPr>
        <w:t>输出每通道功能</w:t>
      </w:r>
      <w:r>
        <w:rPr>
          <w:color w:val="auto"/>
          <w:highlight w:val="none"/>
        </w:rPr>
        <w:t>:8段动态均衡器、高低通滤波器、限幅器;</w:t>
      </w:r>
    </w:p>
    <w:p>
      <w:pPr>
        <w:pStyle w:val="30"/>
        <w:numPr>
          <w:ilvl w:val="3"/>
          <w:numId w:val="3"/>
        </w:numPr>
        <w:tabs>
          <w:tab w:val="left" w:pos="1440"/>
        </w:tabs>
        <w:spacing w:after="0" w:line="360" w:lineRule="auto"/>
        <w:ind w:left="1193" w:leftChars="497" w:right="12" w:firstLineChars="0"/>
        <w:rPr>
          <w:color w:val="auto"/>
          <w:highlight w:val="none"/>
        </w:rPr>
      </w:pPr>
      <w:r>
        <w:rPr>
          <w:rFonts w:hint="eastAsia"/>
          <w:color w:val="auto"/>
          <w:highlight w:val="none"/>
        </w:rPr>
        <w:t>每个通道可自定义设定推子的最大值和最小值；</w:t>
      </w:r>
    </w:p>
    <w:p>
      <w:pPr>
        <w:pStyle w:val="30"/>
        <w:numPr>
          <w:ilvl w:val="3"/>
          <w:numId w:val="3"/>
        </w:numPr>
        <w:tabs>
          <w:tab w:val="left" w:pos="1440"/>
        </w:tabs>
        <w:spacing w:after="0" w:line="360" w:lineRule="auto"/>
        <w:ind w:left="1193" w:leftChars="497" w:right="12" w:firstLineChars="0"/>
        <w:rPr>
          <w:color w:val="auto"/>
          <w:highlight w:val="none"/>
        </w:rPr>
      </w:pPr>
      <w:r>
        <w:rPr>
          <w:rFonts w:hint="eastAsia"/>
          <w:color w:val="auto"/>
          <w:highlight w:val="none"/>
        </w:rPr>
        <w:t>支持不少于</w:t>
      </w:r>
      <w:r>
        <w:rPr>
          <w:color w:val="auto"/>
          <w:highlight w:val="none"/>
        </w:rPr>
        <w:t>4个独立的自适应反馈消除AFC;</w:t>
      </w:r>
    </w:p>
    <w:p>
      <w:pPr>
        <w:pStyle w:val="30"/>
        <w:numPr>
          <w:ilvl w:val="3"/>
          <w:numId w:val="3"/>
        </w:numPr>
        <w:tabs>
          <w:tab w:val="left" w:pos="1440"/>
        </w:tabs>
        <w:spacing w:after="0" w:line="360" w:lineRule="auto"/>
        <w:ind w:left="1193" w:leftChars="497" w:right="12" w:firstLineChars="0"/>
        <w:rPr>
          <w:color w:val="auto"/>
          <w:highlight w:val="none"/>
        </w:rPr>
      </w:pPr>
      <w:r>
        <w:rPr>
          <w:rFonts w:hint="eastAsia"/>
          <w:color w:val="auto"/>
          <w:highlight w:val="none"/>
        </w:rPr>
        <w:t>支持不少于</w:t>
      </w:r>
      <w:r>
        <w:rPr>
          <w:color w:val="auto"/>
          <w:highlight w:val="none"/>
        </w:rPr>
        <w:t>2个独立的自适应回声消除AEC，自适应噪声消除ANC；</w:t>
      </w:r>
    </w:p>
    <w:p>
      <w:pPr>
        <w:pStyle w:val="30"/>
        <w:numPr>
          <w:ilvl w:val="3"/>
          <w:numId w:val="3"/>
        </w:numPr>
        <w:tabs>
          <w:tab w:val="left" w:pos="1440"/>
        </w:tabs>
        <w:spacing w:after="0" w:line="360" w:lineRule="auto"/>
        <w:ind w:left="1193" w:leftChars="497" w:right="12" w:firstLineChars="0"/>
        <w:rPr>
          <w:color w:val="auto"/>
          <w:highlight w:val="none"/>
        </w:rPr>
      </w:pPr>
      <w:r>
        <w:rPr>
          <w:rFonts w:hint="eastAsia"/>
          <w:color w:val="auto"/>
          <w:highlight w:val="none"/>
        </w:rPr>
        <w:t>支持</w:t>
      </w:r>
      <w:r>
        <w:rPr>
          <w:color w:val="auto"/>
          <w:highlight w:val="none"/>
        </w:rPr>
        <w:t>GPIO可编程控制接口;</w:t>
      </w:r>
    </w:p>
    <w:p>
      <w:pPr>
        <w:pStyle w:val="30"/>
        <w:numPr>
          <w:ilvl w:val="3"/>
          <w:numId w:val="3"/>
        </w:numPr>
        <w:tabs>
          <w:tab w:val="left" w:pos="1440"/>
        </w:tabs>
        <w:spacing w:after="0" w:line="360" w:lineRule="auto"/>
        <w:ind w:left="1193" w:leftChars="497" w:right="12" w:firstLineChars="0"/>
        <w:rPr>
          <w:color w:val="auto"/>
          <w:highlight w:val="none"/>
        </w:rPr>
      </w:pPr>
      <w:r>
        <w:rPr>
          <w:rFonts w:hint="eastAsia"/>
          <w:color w:val="auto"/>
          <w:highlight w:val="none"/>
        </w:rPr>
        <w:t>内置自动摄像跟踪功能</w:t>
      </w:r>
      <w:r>
        <w:rPr>
          <w:color w:val="auto"/>
          <w:highlight w:val="none"/>
        </w:rPr>
        <w:t>,可直接控制摄像头;</w:t>
      </w:r>
    </w:p>
    <w:p>
      <w:pPr>
        <w:pStyle w:val="30"/>
        <w:numPr>
          <w:ilvl w:val="3"/>
          <w:numId w:val="3"/>
        </w:numPr>
        <w:tabs>
          <w:tab w:val="left" w:pos="1440"/>
        </w:tabs>
        <w:spacing w:after="0" w:line="360" w:lineRule="auto"/>
        <w:ind w:left="1193" w:leftChars="497" w:right="12" w:firstLineChars="0"/>
        <w:rPr>
          <w:color w:val="auto"/>
          <w:highlight w:val="none"/>
        </w:rPr>
      </w:pPr>
      <w:r>
        <w:rPr>
          <w:rFonts w:hint="eastAsia"/>
          <w:color w:val="auto"/>
          <w:highlight w:val="none"/>
        </w:rPr>
        <w:t>具有</w:t>
      </w:r>
      <w:r>
        <w:rPr>
          <w:color w:val="auto"/>
          <w:highlight w:val="none"/>
        </w:rPr>
        <w:t>RS-232、RS-485、POE外部面板控制接口;</w:t>
      </w:r>
    </w:p>
    <w:p>
      <w:pPr>
        <w:pStyle w:val="30"/>
        <w:numPr>
          <w:ilvl w:val="3"/>
          <w:numId w:val="3"/>
        </w:numPr>
        <w:tabs>
          <w:tab w:val="left" w:pos="1440"/>
        </w:tabs>
        <w:spacing w:after="0" w:line="360" w:lineRule="auto"/>
        <w:ind w:left="1193" w:leftChars="497" w:right="12" w:firstLineChars="0"/>
        <w:rPr>
          <w:color w:val="auto"/>
          <w:highlight w:val="none"/>
        </w:rPr>
      </w:pPr>
      <w:r>
        <w:rPr>
          <w:rFonts w:hint="eastAsia"/>
          <w:color w:val="auto"/>
          <w:highlight w:val="none"/>
        </w:rPr>
        <w:t>支持跨网段控制；</w:t>
      </w:r>
    </w:p>
    <w:p>
      <w:pPr>
        <w:pStyle w:val="30"/>
        <w:numPr>
          <w:ilvl w:val="3"/>
          <w:numId w:val="3"/>
        </w:numPr>
        <w:tabs>
          <w:tab w:val="left" w:pos="1440"/>
        </w:tabs>
        <w:spacing w:after="0" w:line="360" w:lineRule="auto"/>
        <w:ind w:left="1193" w:leftChars="497" w:right="12" w:firstLineChars="0"/>
        <w:rPr>
          <w:color w:val="auto"/>
          <w:highlight w:val="none"/>
        </w:rPr>
      </w:pPr>
      <w:r>
        <w:rPr>
          <w:rFonts w:hint="eastAsia"/>
          <w:color w:val="auto"/>
          <w:highlight w:val="none"/>
        </w:rPr>
        <w:t>支持一个软件可同时管理系统中的多台设备；</w:t>
      </w:r>
    </w:p>
    <w:p>
      <w:pPr>
        <w:pStyle w:val="30"/>
        <w:numPr>
          <w:ilvl w:val="3"/>
          <w:numId w:val="3"/>
        </w:numPr>
        <w:tabs>
          <w:tab w:val="left" w:pos="1440"/>
        </w:tabs>
        <w:spacing w:after="0" w:line="360" w:lineRule="auto"/>
        <w:ind w:left="1193" w:leftChars="497" w:right="12" w:firstLineChars="0"/>
        <w:rPr>
          <w:color w:val="auto"/>
          <w:highlight w:val="none"/>
        </w:rPr>
      </w:pPr>
      <w:r>
        <w:rPr>
          <w:rFonts w:hint="eastAsia"/>
          <w:color w:val="auto"/>
          <w:highlight w:val="none"/>
        </w:rPr>
        <w:t>支持不少于</w:t>
      </w:r>
      <w:r>
        <w:rPr>
          <w:color w:val="auto"/>
          <w:highlight w:val="none"/>
        </w:rPr>
        <w:t>50组场景预设，可设置预设的调用模式淡入淡出或非静音;</w:t>
      </w:r>
    </w:p>
    <w:p>
      <w:pPr>
        <w:pStyle w:val="30"/>
        <w:numPr>
          <w:ilvl w:val="3"/>
          <w:numId w:val="3"/>
        </w:numPr>
        <w:tabs>
          <w:tab w:val="left" w:pos="1440"/>
        </w:tabs>
        <w:spacing w:after="0" w:line="360" w:lineRule="auto"/>
        <w:ind w:left="1193" w:leftChars="497" w:right="12" w:firstLineChars="0"/>
        <w:rPr>
          <w:color w:val="auto"/>
          <w:highlight w:val="none"/>
        </w:rPr>
      </w:pPr>
      <w:r>
        <w:rPr>
          <w:rFonts w:hint="eastAsia"/>
          <w:color w:val="auto"/>
          <w:highlight w:val="none"/>
        </w:rPr>
        <w:t>频率响应：</w:t>
      </w:r>
      <w:r>
        <w:rPr>
          <w:color w:val="auto"/>
          <w:highlight w:val="none"/>
        </w:rPr>
        <w:t>20Hz-20kHz(±0.2dB)；</w:t>
      </w:r>
    </w:p>
    <w:p>
      <w:pPr>
        <w:pStyle w:val="30"/>
        <w:numPr>
          <w:ilvl w:val="3"/>
          <w:numId w:val="3"/>
        </w:numPr>
        <w:tabs>
          <w:tab w:val="left" w:pos="1440"/>
        </w:tabs>
        <w:spacing w:after="0" w:line="360" w:lineRule="auto"/>
        <w:ind w:left="1193" w:leftChars="497" w:right="12" w:firstLineChars="0"/>
        <w:rPr>
          <w:color w:val="auto"/>
          <w:highlight w:val="none"/>
        </w:rPr>
      </w:pPr>
      <w:r>
        <w:rPr>
          <w:rFonts w:hint="eastAsia"/>
          <w:color w:val="auto"/>
          <w:highlight w:val="none"/>
        </w:rPr>
        <w:t>总谐波失真</w:t>
      </w:r>
      <w:r>
        <w:rPr>
          <w:color w:val="auto"/>
          <w:highlight w:val="none"/>
        </w:rPr>
        <w:t>+噪声：＜0.005% @1kHz；</w:t>
      </w:r>
    </w:p>
    <w:p>
      <w:pPr>
        <w:pStyle w:val="30"/>
        <w:numPr>
          <w:ilvl w:val="3"/>
          <w:numId w:val="3"/>
        </w:numPr>
        <w:tabs>
          <w:tab w:val="left" w:pos="1440"/>
        </w:tabs>
        <w:spacing w:after="0" w:line="360" w:lineRule="auto"/>
        <w:ind w:left="1193" w:leftChars="497" w:right="12" w:firstLineChars="0"/>
        <w:rPr>
          <w:color w:val="auto"/>
          <w:highlight w:val="none"/>
        </w:rPr>
      </w:pPr>
      <w:r>
        <w:rPr>
          <w:rFonts w:hint="eastAsia"/>
          <w:color w:val="auto"/>
          <w:highlight w:val="none"/>
        </w:rPr>
        <w:t>输入共模抑制：</w:t>
      </w:r>
      <w:r>
        <w:rPr>
          <w:color w:val="auto"/>
          <w:highlight w:val="none"/>
        </w:rPr>
        <w:t>&gt;70dB；</w:t>
      </w:r>
    </w:p>
    <w:p>
      <w:pPr>
        <w:pStyle w:val="30"/>
        <w:numPr>
          <w:ilvl w:val="3"/>
          <w:numId w:val="3"/>
        </w:numPr>
        <w:tabs>
          <w:tab w:val="left" w:pos="1440"/>
        </w:tabs>
        <w:spacing w:after="0" w:line="360" w:lineRule="auto"/>
        <w:ind w:left="1193" w:leftChars="497" w:right="12" w:firstLineChars="0"/>
        <w:rPr>
          <w:color w:val="auto"/>
          <w:highlight w:val="none"/>
        </w:rPr>
      </w:pPr>
      <w:r>
        <w:rPr>
          <w:rFonts w:hint="eastAsia"/>
          <w:color w:val="auto"/>
          <w:highlight w:val="none"/>
        </w:rPr>
        <w:t>动态范围（</w:t>
      </w:r>
      <w:r>
        <w:rPr>
          <w:color w:val="auto"/>
          <w:highlight w:val="none"/>
        </w:rPr>
        <w:t>20Hz～20kHz@0dB增益):&gt;110dB；</w:t>
      </w:r>
    </w:p>
    <w:p>
      <w:pPr>
        <w:pStyle w:val="30"/>
        <w:numPr>
          <w:ilvl w:val="3"/>
          <w:numId w:val="3"/>
        </w:numPr>
        <w:tabs>
          <w:tab w:val="left" w:pos="1440"/>
        </w:tabs>
        <w:spacing w:after="0" w:line="360" w:lineRule="auto"/>
        <w:ind w:left="1193" w:leftChars="497" w:right="12" w:firstLineChars="0"/>
        <w:rPr>
          <w:color w:val="auto"/>
          <w:highlight w:val="none"/>
        </w:rPr>
      </w:pPr>
      <w:r>
        <w:rPr>
          <w:rFonts w:hint="eastAsia"/>
          <w:color w:val="auto"/>
          <w:highlight w:val="none"/>
        </w:rPr>
        <w:t>通道隔离度</w:t>
      </w:r>
      <w:r>
        <w:rPr>
          <w:color w:val="auto"/>
          <w:highlight w:val="none"/>
        </w:rPr>
        <w:t>@1kHz:&gt;100dB；</w:t>
      </w:r>
    </w:p>
    <w:p>
      <w:pPr>
        <w:spacing w:line="360" w:lineRule="auto"/>
        <w:ind w:left="1418" w:right="12"/>
        <w:rPr>
          <w:color w:val="auto"/>
          <w:highlight w:val="none"/>
        </w:rPr>
      </w:pPr>
    </w:p>
    <w:p>
      <w:pPr>
        <w:numPr>
          <w:ilvl w:val="2"/>
          <w:numId w:val="3"/>
        </w:numPr>
        <w:spacing w:after="0" w:line="360" w:lineRule="auto"/>
        <w:ind w:left="284" w:leftChars="0" w:right="12" w:hanging="44" w:firstLineChars="0"/>
        <w:rPr>
          <w:color w:val="auto"/>
          <w:highlight w:val="none"/>
        </w:rPr>
      </w:pPr>
      <w:r>
        <w:rPr>
          <w:rFonts w:hint="eastAsia"/>
          <w:color w:val="auto"/>
          <w:highlight w:val="none"/>
        </w:rPr>
        <w:t>中控主机技术要求</w:t>
      </w:r>
    </w:p>
    <w:p>
      <w:pPr>
        <w:numPr>
          <w:ilvl w:val="0"/>
          <w:numId w:val="40"/>
        </w:numPr>
        <w:tabs>
          <w:tab w:val="left" w:pos="1440"/>
        </w:tabs>
        <w:spacing w:after="0" w:line="360" w:lineRule="auto"/>
        <w:ind w:left="1205" w:right="12" w:hanging="5"/>
        <w:rPr>
          <w:color w:val="auto"/>
          <w:highlight w:val="none"/>
        </w:rPr>
      </w:pPr>
      <w:r>
        <w:rPr>
          <w:rFonts w:hint="eastAsia"/>
          <w:color w:val="auto"/>
          <w:highlight w:val="none"/>
        </w:rPr>
        <w:t>通讯协议 双向CAN、RF、Ethernet、WIFI；</w:t>
      </w:r>
    </w:p>
    <w:p>
      <w:pPr>
        <w:numPr>
          <w:ilvl w:val="0"/>
          <w:numId w:val="40"/>
        </w:numPr>
        <w:tabs>
          <w:tab w:val="left" w:pos="1440"/>
        </w:tabs>
        <w:spacing w:after="0" w:line="360" w:lineRule="auto"/>
        <w:ind w:left="1205" w:right="12" w:hanging="5"/>
        <w:rPr>
          <w:color w:val="auto"/>
          <w:highlight w:val="none"/>
        </w:rPr>
      </w:pPr>
      <w:r>
        <w:rPr>
          <w:rFonts w:hint="eastAsia"/>
          <w:color w:val="auto"/>
          <w:highlight w:val="none"/>
        </w:rPr>
        <w:t>总线支持 2路，支持110台周边设备；</w:t>
      </w:r>
    </w:p>
    <w:p>
      <w:pPr>
        <w:numPr>
          <w:ilvl w:val="0"/>
          <w:numId w:val="40"/>
        </w:numPr>
        <w:tabs>
          <w:tab w:val="left" w:pos="1440"/>
        </w:tabs>
        <w:spacing w:after="0" w:line="360" w:lineRule="auto"/>
        <w:ind w:left="1205" w:right="12" w:hanging="5"/>
        <w:rPr>
          <w:color w:val="auto"/>
          <w:highlight w:val="none"/>
        </w:rPr>
      </w:pPr>
      <w:r>
        <w:rPr>
          <w:rFonts w:hint="eastAsia"/>
          <w:color w:val="auto"/>
          <w:highlight w:val="none"/>
        </w:rPr>
        <w:t>网络控制协议 支持TCP、UDP，自定义客户端或服务端；</w:t>
      </w:r>
    </w:p>
    <w:p>
      <w:pPr>
        <w:numPr>
          <w:ilvl w:val="0"/>
          <w:numId w:val="40"/>
        </w:numPr>
        <w:tabs>
          <w:tab w:val="left" w:pos="1440"/>
        </w:tabs>
        <w:spacing w:after="0" w:line="360" w:lineRule="auto"/>
        <w:ind w:left="1205" w:right="12" w:hanging="5"/>
        <w:rPr>
          <w:color w:val="auto"/>
          <w:highlight w:val="none"/>
        </w:rPr>
      </w:pPr>
      <w:r>
        <w:rPr>
          <w:rFonts w:hint="eastAsia"/>
          <w:color w:val="auto"/>
          <w:highlight w:val="none"/>
        </w:rPr>
        <w:t>串口数量 8路；</w:t>
      </w:r>
    </w:p>
    <w:p>
      <w:pPr>
        <w:numPr>
          <w:ilvl w:val="0"/>
          <w:numId w:val="40"/>
        </w:numPr>
        <w:tabs>
          <w:tab w:val="left" w:pos="1440"/>
        </w:tabs>
        <w:spacing w:after="0" w:line="360" w:lineRule="auto"/>
        <w:ind w:left="1205" w:right="12" w:hanging="5"/>
        <w:rPr>
          <w:color w:val="auto"/>
          <w:highlight w:val="none"/>
        </w:rPr>
      </w:pPr>
      <w:r>
        <w:rPr>
          <w:rFonts w:hint="eastAsia"/>
          <w:color w:val="auto"/>
          <w:highlight w:val="none"/>
        </w:rPr>
        <w:t>串口模式 全双向RS-232、RS-485、DMX512；</w:t>
      </w:r>
    </w:p>
    <w:p>
      <w:pPr>
        <w:numPr>
          <w:ilvl w:val="0"/>
          <w:numId w:val="40"/>
        </w:numPr>
        <w:tabs>
          <w:tab w:val="left" w:pos="1440"/>
        </w:tabs>
        <w:spacing w:after="0" w:line="360" w:lineRule="auto"/>
        <w:ind w:left="1205" w:right="12" w:hanging="5"/>
        <w:rPr>
          <w:color w:val="auto"/>
          <w:highlight w:val="none"/>
        </w:rPr>
      </w:pPr>
      <w:r>
        <w:rPr>
          <w:rFonts w:hint="eastAsia"/>
          <w:color w:val="auto"/>
          <w:highlight w:val="none"/>
        </w:rPr>
        <w:t>红外控制端口 8路，支持全频段载波红外调制信号发送；</w:t>
      </w:r>
    </w:p>
    <w:p>
      <w:pPr>
        <w:numPr>
          <w:ilvl w:val="0"/>
          <w:numId w:val="40"/>
        </w:numPr>
        <w:tabs>
          <w:tab w:val="left" w:pos="1440"/>
        </w:tabs>
        <w:spacing w:after="0" w:line="360" w:lineRule="auto"/>
        <w:ind w:left="1205" w:right="12" w:hanging="5"/>
        <w:rPr>
          <w:color w:val="auto"/>
          <w:highlight w:val="none"/>
        </w:rPr>
      </w:pPr>
      <w:r>
        <w:rPr>
          <w:rFonts w:hint="eastAsia"/>
          <w:color w:val="auto"/>
          <w:highlight w:val="none"/>
        </w:rPr>
        <w:t>数字I/O端口 8路，具备消抖处理；</w:t>
      </w:r>
    </w:p>
    <w:p>
      <w:pPr>
        <w:numPr>
          <w:ilvl w:val="0"/>
          <w:numId w:val="40"/>
        </w:numPr>
        <w:tabs>
          <w:tab w:val="left" w:pos="1440"/>
        </w:tabs>
        <w:spacing w:after="0" w:line="360" w:lineRule="auto"/>
        <w:ind w:left="1205" w:right="12" w:hanging="5"/>
        <w:rPr>
          <w:color w:val="auto"/>
          <w:highlight w:val="none"/>
        </w:rPr>
      </w:pPr>
      <w:r>
        <w:rPr>
          <w:rFonts w:hint="eastAsia"/>
          <w:color w:val="auto"/>
          <w:highlight w:val="none"/>
        </w:rPr>
        <w:t>触点端口 4路，支持30V/1A DC、125V/0.5A AC负载；</w:t>
      </w:r>
    </w:p>
    <w:p>
      <w:pPr>
        <w:numPr>
          <w:ilvl w:val="0"/>
          <w:numId w:val="40"/>
        </w:numPr>
        <w:tabs>
          <w:tab w:val="left" w:pos="1440"/>
        </w:tabs>
        <w:spacing w:after="0" w:line="360" w:lineRule="auto"/>
        <w:ind w:left="1205" w:right="12" w:hanging="5"/>
        <w:rPr>
          <w:color w:val="auto"/>
          <w:highlight w:val="none"/>
        </w:rPr>
      </w:pPr>
      <w:r>
        <w:rPr>
          <w:rFonts w:hint="eastAsia"/>
          <w:color w:val="auto"/>
          <w:highlight w:val="none"/>
        </w:rPr>
        <w:t>红外学习模块 内置</w:t>
      </w:r>
    </w:p>
    <w:p>
      <w:pPr>
        <w:numPr>
          <w:ilvl w:val="255"/>
          <w:numId w:val="0"/>
        </w:numPr>
        <w:spacing w:after="0" w:line="360" w:lineRule="auto"/>
        <w:ind w:left="480" w:right="12"/>
        <w:rPr>
          <w:color w:val="auto"/>
          <w:highlight w:val="none"/>
        </w:rPr>
      </w:pPr>
    </w:p>
    <w:p>
      <w:pPr>
        <w:numPr>
          <w:ilvl w:val="2"/>
          <w:numId w:val="3"/>
        </w:numPr>
        <w:spacing w:after="0" w:line="360" w:lineRule="auto"/>
        <w:ind w:left="284" w:leftChars="0" w:right="12" w:hanging="44" w:firstLineChars="0"/>
        <w:rPr>
          <w:color w:val="auto"/>
          <w:highlight w:val="none"/>
        </w:rPr>
      </w:pPr>
      <w:r>
        <w:rPr>
          <w:rFonts w:hint="eastAsia"/>
          <w:color w:val="auto"/>
          <w:highlight w:val="none"/>
        </w:rPr>
        <w:t>平板电脑技术要求</w:t>
      </w:r>
    </w:p>
    <w:p>
      <w:pPr>
        <w:numPr>
          <w:ilvl w:val="0"/>
          <w:numId w:val="41"/>
        </w:numPr>
        <w:tabs>
          <w:tab w:val="left" w:pos="1440"/>
        </w:tabs>
        <w:spacing w:after="0" w:line="360" w:lineRule="auto"/>
        <w:ind w:left="1425" w:right="12" w:hanging="225"/>
        <w:rPr>
          <w:color w:val="auto"/>
          <w:highlight w:val="none"/>
        </w:rPr>
      </w:pPr>
      <w:bookmarkStart w:id="117" w:name="OLE_LINK5"/>
      <w:r>
        <w:rPr>
          <w:rFonts w:hint="eastAsia"/>
          <w:color w:val="auto"/>
          <w:highlight w:val="none"/>
        </w:rPr>
        <w:t>10.8英寸；</w:t>
      </w:r>
    </w:p>
    <w:p>
      <w:pPr>
        <w:numPr>
          <w:ilvl w:val="0"/>
          <w:numId w:val="41"/>
        </w:numPr>
        <w:tabs>
          <w:tab w:val="left" w:pos="1440"/>
        </w:tabs>
        <w:spacing w:after="0" w:line="360" w:lineRule="auto"/>
        <w:ind w:left="1425" w:right="12" w:hanging="225"/>
        <w:rPr>
          <w:color w:val="auto"/>
          <w:highlight w:val="none"/>
        </w:rPr>
      </w:pPr>
      <w:r>
        <w:rPr>
          <w:rFonts w:hint="eastAsia"/>
          <w:color w:val="auto"/>
          <w:highlight w:val="none"/>
        </w:rPr>
        <w:t xml:space="preserve">平板电脑4GB+128GB </w:t>
      </w:r>
    </w:p>
    <w:p>
      <w:pPr>
        <w:numPr>
          <w:ilvl w:val="0"/>
          <w:numId w:val="41"/>
        </w:numPr>
        <w:tabs>
          <w:tab w:val="left" w:pos="1440"/>
        </w:tabs>
        <w:spacing w:after="0" w:line="360" w:lineRule="auto"/>
        <w:ind w:left="1425" w:right="12" w:hanging="225"/>
        <w:rPr>
          <w:color w:val="auto"/>
          <w:highlight w:val="none"/>
        </w:rPr>
      </w:pPr>
      <w:r>
        <w:rPr>
          <w:rFonts w:hint="eastAsia"/>
          <w:color w:val="auto"/>
          <w:highlight w:val="none"/>
        </w:rPr>
        <w:t>WIFI</w:t>
      </w:r>
    </w:p>
    <w:bookmarkEnd w:id="117"/>
    <w:p>
      <w:pPr>
        <w:numPr>
          <w:ilvl w:val="255"/>
          <w:numId w:val="0"/>
        </w:numPr>
        <w:spacing w:after="0" w:line="360" w:lineRule="auto"/>
        <w:ind w:left="1440" w:right="12"/>
        <w:rPr>
          <w:color w:val="auto"/>
          <w:highlight w:val="none"/>
        </w:rPr>
      </w:pPr>
    </w:p>
    <w:p>
      <w:pPr>
        <w:numPr>
          <w:ilvl w:val="2"/>
          <w:numId w:val="3"/>
        </w:numPr>
        <w:spacing w:after="0" w:line="360" w:lineRule="auto"/>
        <w:ind w:left="284" w:leftChars="0" w:right="12" w:hanging="44" w:firstLineChars="0"/>
        <w:rPr>
          <w:color w:val="auto"/>
          <w:highlight w:val="none"/>
        </w:rPr>
      </w:pPr>
      <w:r>
        <w:rPr>
          <w:rFonts w:hint="eastAsia"/>
          <w:color w:val="auto"/>
          <w:highlight w:val="none"/>
        </w:rPr>
        <w:t>无线AP技术要求</w:t>
      </w:r>
    </w:p>
    <w:p>
      <w:pPr>
        <w:numPr>
          <w:ilvl w:val="0"/>
          <w:numId w:val="42"/>
        </w:numPr>
        <w:tabs>
          <w:tab w:val="left" w:pos="1440"/>
        </w:tabs>
        <w:spacing w:after="0" w:line="360" w:lineRule="auto"/>
        <w:ind w:left="1205" w:right="12" w:hanging="5"/>
        <w:rPr>
          <w:color w:val="auto"/>
          <w:highlight w:val="none"/>
        </w:rPr>
      </w:pPr>
      <w:r>
        <w:rPr>
          <w:rFonts w:hint="eastAsia"/>
          <w:color w:val="auto"/>
          <w:highlight w:val="none"/>
        </w:rPr>
        <w:t>网络标准 802.11a/b/g/n/ac/ac wave2</w:t>
      </w:r>
    </w:p>
    <w:p>
      <w:pPr>
        <w:numPr>
          <w:ilvl w:val="0"/>
          <w:numId w:val="42"/>
        </w:numPr>
        <w:tabs>
          <w:tab w:val="left" w:pos="1440"/>
        </w:tabs>
        <w:spacing w:after="0" w:line="360" w:lineRule="auto"/>
        <w:ind w:left="1205" w:right="12" w:hanging="5"/>
        <w:rPr>
          <w:color w:val="auto"/>
          <w:highlight w:val="none"/>
        </w:rPr>
      </w:pPr>
      <w:r>
        <w:rPr>
          <w:rFonts w:hint="eastAsia"/>
          <w:color w:val="auto"/>
          <w:highlight w:val="none"/>
        </w:rPr>
        <w:t>最高传输速率 900M</w:t>
      </w:r>
    </w:p>
    <w:p>
      <w:pPr>
        <w:numPr>
          <w:ilvl w:val="0"/>
          <w:numId w:val="42"/>
        </w:numPr>
        <w:tabs>
          <w:tab w:val="left" w:pos="1440"/>
        </w:tabs>
        <w:spacing w:after="0" w:line="360" w:lineRule="auto"/>
        <w:ind w:left="1205" w:right="12" w:hanging="5"/>
        <w:rPr>
          <w:color w:val="auto"/>
          <w:highlight w:val="none"/>
        </w:rPr>
      </w:pPr>
      <w:r>
        <w:rPr>
          <w:rFonts w:hint="eastAsia"/>
          <w:color w:val="auto"/>
          <w:highlight w:val="none"/>
        </w:rPr>
        <w:t>频率范围 双频（2.4GHz，5GHz）</w:t>
      </w:r>
    </w:p>
    <w:p>
      <w:pPr>
        <w:numPr>
          <w:ilvl w:val="0"/>
          <w:numId w:val="42"/>
        </w:numPr>
        <w:tabs>
          <w:tab w:val="left" w:pos="1440"/>
        </w:tabs>
        <w:spacing w:after="0" w:line="360" w:lineRule="auto"/>
        <w:ind w:left="1205" w:right="12" w:hanging="5"/>
        <w:rPr>
          <w:color w:val="auto"/>
          <w:highlight w:val="none"/>
        </w:rPr>
      </w:pPr>
      <w:r>
        <w:rPr>
          <w:rFonts w:hint="eastAsia"/>
          <w:color w:val="auto"/>
          <w:highlight w:val="none"/>
        </w:rPr>
        <w:t>天线类型 内置双频全向天线</w:t>
      </w:r>
    </w:p>
    <w:p>
      <w:pPr>
        <w:numPr>
          <w:ilvl w:val="0"/>
          <w:numId w:val="42"/>
        </w:numPr>
        <w:tabs>
          <w:tab w:val="left" w:pos="1440"/>
        </w:tabs>
        <w:spacing w:after="0" w:line="360" w:lineRule="auto"/>
        <w:ind w:left="1205" w:right="12" w:hanging="5"/>
        <w:rPr>
          <w:color w:val="auto"/>
          <w:highlight w:val="none"/>
        </w:rPr>
      </w:pPr>
      <w:r>
        <w:rPr>
          <w:rFonts w:hint="eastAsia"/>
          <w:color w:val="auto"/>
          <w:highlight w:val="none"/>
        </w:rPr>
        <w:t>PoE供电：满足802.3af/at以太网供电标准</w:t>
      </w:r>
    </w:p>
    <w:p>
      <w:pPr>
        <w:numPr>
          <w:ilvl w:val="255"/>
          <w:numId w:val="0"/>
        </w:numPr>
        <w:spacing w:after="0" w:line="360" w:lineRule="auto"/>
        <w:ind w:left="1440" w:right="12"/>
        <w:rPr>
          <w:color w:val="auto"/>
          <w:highlight w:val="none"/>
        </w:rPr>
      </w:pPr>
    </w:p>
    <w:p>
      <w:pPr>
        <w:numPr>
          <w:ilvl w:val="2"/>
          <w:numId w:val="3"/>
        </w:numPr>
        <w:spacing w:after="0" w:line="360" w:lineRule="auto"/>
        <w:ind w:left="284" w:leftChars="0" w:right="12" w:hanging="44" w:firstLineChars="0"/>
        <w:rPr>
          <w:color w:val="auto"/>
          <w:highlight w:val="none"/>
        </w:rPr>
      </w:pPr>
      <w:r>
        <w:rPr>
          <w:rFonts w:hint="eastAsia"/>
          <w:color w:val="auto"/>
          <w:highlight w:val="none"/>
        </w:rPr>
        <w:t>视频矩阵技术要求</w:t>
      </w:r>
    </w:p>
    <w:p>
      <w:pPr>
        <w:numPr>
          <w:ilvl w:val="0"/>
          <w:numId w:val="43"/>
        </w:numPr>
        <w:tabs>
          <w:tab w:val="left" w:pos="1440"/>
        </w:tabs>
        <w:spacing w:after="0" w:line="360" w:lineRule="auto"/>
        <w:ind w:left="1200" w:leftChars="500" w:right="12" w:firstLine="0"/>
        <w:rPr>
          <w:color w:val="auto"/>
          <w:highlight w:val="none"/>
        </w:rPr>
      </w:pPr>
      <w:r>
        <w:rPr>
          <w:rFonts w:hint="eastAsia"/>
          <w:color w:val="auto"/>
          <w:highlight w:val="none"/>
        </w:rPr>
        <w:t>支持16路通道输入，16路通道输出（8层使用16进16出，22层使用12进8出）</w:t>
      </w:r>
    </w:p>
    <w:p>
      <w:pPr>
        <w:numPr>
          <w:ilvl w:val="0"/>
          <w:numId w:val="43"/>
        </w:numPr>
        <w:tabs>
          <w:tab w:val="left" w:pos="1440"/>
        </w:tabs>
        <w:spacing w:after="0" w:line="360" w:lineRule="auto"/>
        <w:ind w:left="1200" w:leftChars="500" w:right="12" w:firstLine="0"/>
        <w:rPr>
          <w:color w:val="auto"/>
          <w:highlight w:val="none"/>
        </w:rPr>
      </w:pPr>
      <w:r>
        <w:rPr>
          <w:rFonts w:hint="eastAsia"/>
          <w:color w:val="auto"/>
          <w:highlight w:val="none"/>
        </w:rPr>
        <w:t>模块化设计，支持HDMI、DVI、VGA、CVBS、YPBPR、SDI、HDBaseT信号输入与输出板卡</w:t>
      </w:r>
    </w:p>
    <w:p>
      <w:pPr>
        <w:numPr>
          <w:ilvl w:val="0"/>
          <w:numId w:val="43"/>
        </w:numPr>
        <w:tabs>
          <w:tab w:val="left" w:pos="1440"/>
        </w:tabs>
        <w:spacing w:after="0" w:line="360" w:lineRule="auto"/>
        <w:ind w:left="1200" w:leftChars="500" w:right="12" w:firstLine="0"/>
        <w:rPr>
          <w:color w:val="auto"/>
          <w:highlight w:val="none"/>
        </w:rPr>
      </w:pPr>
      <w:r>
        <w:rPr>
          <w:rFonts w:hint="eastAsia"/>
          <w:color w:val="auto"/>
          <w:highlight w:val="none"/>
        </w:rPr>
        <w:t>具有倍频倍线功能，对图像信号进行缩放、倍频增强显示，输出分辨率调整</w:t>
      </w:r>
    </w:p>
    <w:p>
      <w:pPr>
        <w:numPr>
          <w:ilvl w:val="0"/>
          <w:numId w:val="43"/>
        </w:numPr>
        <w:tabs>
          <w:tab w:val="left" w:pos="1440"/>
        </w:tabs>
        <w:spacing w:after="0" w:line="360" w:lineRule="auto"/>
        <w:ind w:left="1200" w:leftChars="500" w:right="12" w:firstLine="0"/>
        <w:rPr>
          <w:color w:val="auto"/>
          <w:highlight w:val="none"/>
        </w:rPr>
      </w:pPr>
      <w:r>
        <w:rPr>
          <w:rFonts w:hint="eastAsia"/>
          <w:color w:val="auto"/>
          <w:highlight w:val="none"/>
        </w:rPr>
        <w:t>最高分辨率支持4K 4:4:4 60Hz，支持HDCP</w:t>
      </w:r>
    </w:p>
    <w:p>
      <w:pPr>
        <w:numPr>
          <w:ilvl w:val="0"/>
          <w:numId w:val="43"/>
        </w:numPr>
        <w:tabs>
          <w:tab w:val="left" w:pos="1440"/>
        </w:tabs>
        <w:spacing w:after="0" w:line="360" w:lineRule="auto"/>
        <w:ind w:left="1200" w:leftChars="500" w:right="12" w:firstLine="0"/>
        <w:rPr>
          <w:color w:val="auto"/>
          <w:highlight w:val="none"/>
        </w:rPr>
      </w:pPr>
      <w:r>
        <w:rPr>
          <w:rFonts w:hint="eastAsia"/>
          <w:color w:val="auto"/>
          <w:highlight w:val="none"/>
        </w:rPr>
        <w:t>支持无缝切换</w:t>
      </w:r>
    </w:p>
    <w:p>
      <w:pPr>
        <w:numPr>
          <w:ilvl w:val="0"/>
          <w:numId w:val="43"/>
        </w:numPr>
        <w:tabs>
          <w:tab w:val="left" w:pos="1440"/>
        </w:tabs>
        <w:spacing w:after="0" w:line="360" w:lineRule="auto"/>
        <w:ind w:left="1200" w:leftChars="500" w:right="12" w:firstLine="0"/>
        <w:rPr>
          <w:color w:val="auto"/>
          <w:highlight w:val="none"/>
        </w:rPr>
      </w:pPr>
      <w:r>
        <w:rPr>
          <w:rFonts w:hint="eastAsia"/>
          <w:color w:val="auto"/>
          <w:highlight w:val="none"/>
        </w:rPr>
        <w:t>控制方式灵活，具有触摸屏操作，RS232控制功能，TCP/IP控制功能</w:t>
      </w:r>
    </w:p>
    <w:p>
      <w:pPr>
        <w:numPr>
          <w:ilvl w:val="0"/>
          <w:numId w:val="43"/>
        </w:numPr>
        <w:tabs>
          <w:tab w:val="left" w:pos="1440"/>
        </w:tabs>
        <w:spacing w:after="0" w:line="360" w:lineRule="auto"/>
        <w:ind w:left="1200" w:leftChars="500" w:right="12" w:firstLine="0"/>
        <w:rPr>
          <w:color w:val="auto"/>
          <w:highlight w:val="none"/>
        </w:rPr>
      </w:pPr>
      <w:r>
        <w:rPr>
          <w:rFonts w:hint="eastAsia"/>
          <w:color w:val="auto"/>
          <w:highlight w:val="none"/>
        </w:rPr>
        <w:t>支持中控控制，WEB控制与上位机软件控制</w:t>
      </w:r>
    </w:p>
    <w:p>
      <w:pPr>
        <w:numPr>
          <w:ilvl w:val="0"/>
          <w:numId w:val="43"/>
        </w:numPr>
        <w:tabs>
          <w:tab w:val="left" w:pos="1440"/>
        </w:tabs>
        <w:spacing w:after="0" w:line="360" w:lineRule="auto"/>
        <w:ind w:left="1200" w:leftChars="500" w:right="12" w:firstLine="0"/>
        <w:rPr>
          <w:color w:val="auto"/>
          <w:highlight w:val="none"/>
        </w:rPr>
      </w:pPr>
      <w:r>
        <w:rPr>
          <w:rFonts w:hint="eastAsia"/>
          <w:color w:val="auto"/>
          <w:highlight w:val="none"/>
        </w:rPr>
        <w:t>支持32组场景保存与调用功能</w:t>
      </w:r>
    </w:p>
    <w:p>
      <w:pPr>
        <w:numPr>
          <w:ilvl w:val="0"/>
          <w:numId w:val="43"/>
        </w:numPr>
        <w:tabs>
          <w:tab w:val="left" w:pos="1440"/>
        </w:tabs>
        <w:spacing w:after="0" w:line="360" w:lineRule="auto"/>
        <w:ind w:left="1200" w:leftChars="500" w:right="12" w:firstLine="0"/>
        <w:rPr>
          <w:color w:val="auto"/>
          <w:highlight w:val="none"/>
        </w:rPr>
      </w:pPr>
      <w:r>
        <w:rPr>
          <w:rFonts w:hint="eastAsia"/>
          <w:color w:val="auto"/>
          <w:highlight w:val="none"/>
        </w:rPr>
        <w:t>支持EDID学习功能</w:t>
      </w:r>
    </w:p>
    <w:p>
      <w:pPr>
        <w:numPr>
          <w:ilvl w:val="0"/>
          <w:numId w:val="43"/>
        </w:numPr>
        <w:tabs>
          <w:tab w:val="left" w:pos="1440"/>
        </w:tabs>
        <w:spacing w:after="0" w:line="360" w:lineRule="auto"/>
        <w:ind w:left="1200" w:leftChars="500" w:right="12" w:firstLine="0"/>
        <w:rPr>
          <w:color w:val="auto"/>
          <w:highlight w:val="none"/>
        </w:rPr>
      </w:pPr>
      <w:r>
        <w:rPr>
          <w:rFonts w:hint="eastAsia"/>
          <w:color w:val="auto"/>
          <w:highlight w:val="none"/>
        </w:rPr>
        <w:t>7*24小时不间断工作</w:t>
      </w:r>
    </w:p>
    <w:p>
      <w:pPr>
        <w:spacing w:after="0" w:line="360" w:lineRule="auto"/>
        <w:ind w:left="1419" w:right="12" w:firstLine="0"/>
        <w:rPr>
          <w:color w:val="auto"/>
          <w:highlight w:val="none"/>
        </w:rPr>
      </w:pPr>
    </w:p>
    <w:p>
      <w:pPr>
        <w:numPr>
          <w:ilvl w:val="2"/>
          <w:numId w:val="3"/>
        </w:numPr>
        <w:spacing w:after="0" w:line="360" w:lineRule="auto"/>
        <w:ind w:left="284" w:leftChars="0" w:right="12" w:hanging="44" w:firstLineChars="0"/>
        <w:rPr>
          <w:color w:val="auto"/>
          <w:highlight w:val="none"/>
        </w:rPr>
      </w:pPr>
      <w:r>
        <w:rPr>
          <w:rFonts w:hint="eastAsia"/>
          <w:color w:val="auto"/>
          <w:highlight w:val="none"/>
        </w:rPr>
        <w:t>网络型时序电源技术要求</w:t>
      </w:r>
    </w:p>
    <w:p>
      <w:pPr>
        <w:tabs>
          <w:tab w:val="left" w:pos="1440"/>
        </w:tabs>
        <w:spacing w:after="0" w:line="360" w:lineRule="auto"/>
        <w:ind w:left="1193" w:leftChars="497" w:right="12" w:firstLine="3"/>
        <w:rPr>
          <w:color w:val="auto"/>
          <w:highlight w:val="none"/>
        </w:rPr>
      </w:pPr>
      <w:r>
        <w:rPr>
          <w:color w:val="auto"/>
          <w:highlight w:val="none"/>
        </w:rPr>
        <w:t>1.总功率≥6</w:t>
      </w:r>
      <w:r>
        <w:rPr>
          <w:rFonts w:hint="eastAsia"/>
          <w:color w:val="auto"/>
          <w:highlight w:val="none"/>
        </w:rPr>
        <w:t>0</w:t>
      </w:r>
      <w:r>
        <w:rPr>
          <w:color w:val="auto"/>
          <w:highlight w:val="none"/>
        </w:rPr>
        <w:t>00W;</w:t>
      </w:r>
    </w:p>
    <w:p>
      <w:pPr>
        <w:tabs>
          <w:tab w:val="left" w:pos="1440"/>
        </w:tabs>
        <w:spacing w:after="0" w:line="360" w:lineRule="auto"/>
        <w:ind w:left="1193" w:leftChars="497" w:right="12" w:firstLine="3"/>
        <w:rPr>
          <w:color w:val="auto"/>
          <w:highlight w:val="none"/>
        </w:rPr>
      </w:pPr>
      <w:r>
        <w:rPr>
          <w:color w:val="auto"/>
          <w:highlight w:val="none"/>
        </w:rPr>
        <w:t>2.可控制万用插座电源≥8个;</w:t>
      </w:r>
    </w:p>
    <w:p>
      <w:pPr>
        <w:tabs>
          <w:tab w:val="left" w:pos="1440"/>
        </w:tabs>
        <w:spacing w:after="0" w:line="360" w:lineRule="auto"/>
        <w:ind w:left="1193" w:leftChars="497" w:right="12" w:firstLine="3"/>
        <w:rPr>
          <w:color w:val="auto"/>
          <w:highlight w:val="none"/>
        </w:rPr>
      </w:pPr>
      <w:r>
        <w:rPr>
          <w:color w:val="auto"/>
          <w:highlight w:val="none"/>
        </w:rPr>
        <w:t>3.可级联数量≥16台,RJ45级联方式;</w:t>
      </w:r>
    </w:p>
    <w:p>
      <w:pPr>
        <w:tabs>
          <w:tab w:val="left" w:pos="1440"/>
        </w:tabs>
        <w:spacing w:after="0" w:line="360" w:lineRule="auto"/>
        <w:ind w:left="1193" w:leftChars="497" w:right="12" w:firstLine="3"/>
        <w:rPr>
          <w:color w:val="auto"/>
          <w:highlight w:val="none"/>
        </w:rPr>
      </w:pPr>
      <w:r>
        <w:rPr>
          <w:color w:val="auto"/>
          <w:highlight w:val="none"/>
        </w:rPr>
        <w:t>4.电源通道开启模式≥3种,</w:t>
      </w:r>
    </w:p>
    <w:p>
      <w:pPr>
        <w:tabs>
          <w:tab w:val="left" w:pos="1440"/>
        </w:tabs>
        <w:spacing w:after="0" w:line="360" w:lineRule="auto"/>
        <w:ind w:left="1193" w:leftChars="497" w:right="12" w:firstLine="3"/>
        <w:rPr>
          <w:color w:val="auto"/>
          <w:highlight w:val="none"/>
        </w:rPr>
      </w:pPr>
      <w:r>
        <w:rPr>
          <w:color w:val="auto"/>
          <w:highlight w:val="none"/>
        </w:rPr>
        <w:t>6.每个电源插座可单独控制;</w:t>
      </w:r>
    </w:p>
    <w:p>
      <w:pPr>
        <w:tabs>
          <w:tab w:val="left" w:pos="1440"/>
        </w:tabs>
        <w:spacing w:after="0" w:line="360" w:lineRule="auto"/>
        <w:ind w:left="1193" w:leftChars="497" w:right="12" w:firstLine="3"/>
        <w:rPr>
          <w:color w:val="auto"/>
          <w:highlight w:val="none"/>
        </w:rPr>
      </w:pPr>
      <w:r>
        <w:rPr>
          <w:color w:val="auto"/>
          <w:highlight w:val="none"/>
        </w:rPr>
        <w:t>7.每通道开启或关闭时,可单独设置延时时间;</w:t>
      </w:r>
    </w:p>
    <w:p>
      <w:pPr>
        <w:tabs>
          <w:tab w:val="left" w:pos="1440"/>
        </w:tabs>
        <w:spacing w:after="0" w:line="360" w:lineRule="auto"/>
        <w:ind w:left="1193" w:leftChars="497" w:right="12" w:firstLine="3"/>
        <w:rPr>
          <w:color w:val="auto"/>
          <w:highlight w:val="none"/>
        </w:rPr>
      </w:pPr>
      <w:r>
        <w:rPr>
          <w:color w:val="auto"/>
          <w:highlight w:val="none"/>
        </w:rPr>
        <w:t>8.带RS232双向中控接口;</w:t>
      </w:r>
    </w:p>
    <w:p>
      <w:pPr>
        <w:tabs>
          <w:tab w:val="left" w:pos="1440"/>
        </w:tabs>
        <w:spacing w:after="0" w:line="360" w:lineRule="auto"/>
        <w:ind w:left="1193" w:leftChars="497" w:right="12" w:firstLine="3"/>
        <w:rPr>
          <w:color w:val="auto"/>
          <w:highlight w:val="none"/>
        </w:rPr>
      </w:pPr>
      <w:r>
        <w:rPr>
          <w:color w:val="auto"/>
          <w:highlight w:val="none"/>
        </w:rPr>
        <w:t>9.支持TCP/UDP网络控制;</w:t>
      </w:r>
    </w:p>
    <w:p>
      <w:pPr>
        <w:tabs>
          <w:tab w:val="left" w:pos="1440"/>
        </w:tabs>
        <w:spacing w:after="0" w:line="360" w:lineRule="auto"/>
        <w:ind w:left="1193" w:leftChars="497" w:right="12" w:firstLine="3"/>
        <w:rPr>
          <w:color w:val="auto"/>
          <w:highlight w:val="none"/>
        </w:rPr>
      </w:pPr>
      <w:r>
        <w:rPr>
          <w:color w:val="auto"/>
          <w:highlight w:val="none"/>
        </w:rPr>
        <w:t>10.支持定时功能,8个定时器个数≥8个;</w:t>
      </w:r>
    </w:p>
    <w:p>
      <w:pPr>
        <w:tabs>
          <w:tab w:val="left" w:pos="1440"/>
        </w:tabs>
        <w:spacing w:after="0" w:line="360" w:lineRule="auto"/>
        <w:ind w:left="1193" w:leftChars="497" w:right="12" w:firstLine="3"/>
        <w:rPr>
          <w:color w:val="auto"/>
          <w:highlight w:val="none"/>
        </w:rPr>
      </w:pPr>
      <w:r>
        <w:rPr>
          <w:color w:val="auto"/>
          <w:highlight w:val="none"/>
        </w:rPr>
        <w:t>11.自带液晶显示屏,支持中英文操作;</w:t>
      </w:r>
    </w:p>
    <w:p>
      <w:pPr>
        <w:spacing w:after="0" w:line="360" w:lineRule="auto"/>
        <w:ind w:left="1423" w:right="12" w:firstLine="0"/>
        <w:rPr>
          <w:color w:val="auto"/>
          <w:highlight w:val="none"/>
        </w:rPr>
      </w:pPr>
    </w:p>
    <w:p>
      <w:pPr>
        <w:numPr>
          <w:ilvl w:val="2"/>
          <w:numId w:val="3"/>
        </w:numPr>
        <w:spacing w:after="0" w:line="360" w:lineRule="auto"/>
        <w:ind w:left="284" w:leftChars="0" w:right="12" w:hanging="44" w:firstLineChars="0"/>
        <w:rPr>
          <w:color w:val="auto"/>
          <w:highlight w:val="none"/>
        </w:rPr>
      </w:pPr>
      <w:r>
        <w:rPr>
          <w:rFonts w:hint="eastAsia"/>
          <w:color w:val="auto"/>
          <w:highlight w:val="none"/>
        </w:rPr>
        <w:t>高清云台摄像机技术要求</w:t>
      </w:r>
    </w:p>
    <w:p>
      <w:pPr>
        <w:numPr>
          <w:ilvl w:val="0"/>
          <w:numId w:val="44"/>
        </w:numPr>
        <w:tabs>
          <w:tab w:val="left" w:pos="1440"/>
        </w:tabs>
        <w:spacing w:after="0" w:line="360" w:lineRule="auto"/>
        <w:ind w:left="1216" w:leftChars="500" w:right="12" w:hanging="16" w:hangingChars="7"/>
        <w:rPr>
          <w:color w:val="auto"/>
          <w:highlight w:val="none"/>
        </w:rPr>
      </w:pPr>
      <w:r>
        <w:rPr>
          <w:color w:val="auto"/>
          <w:highlight w:val="none"/>
        </w:rPr>
        <w:t xml:space="preserve">工业广播级ISP，1/2.8英寸 5MP图像传感器，输出高清通透图像。 </w:t>
      </w:r>
    </w:p>
    <w:p>
      <w:pPr>
        <w:numPr>
          <w:ilvl w:val="0"/>
          <w:numId w:val="44"/>
        </w:numPr>
        <w:tabs>
          <w:tab w:val="left" w:pos="1440"/>
        </w:tabs>
        <w:spacing w:after="0" w:line="360" w:lineRule="auto"/>
        <w:ind w:left="1216" w:leftChars="500" w:right="12" w:hanging="16" w:hangingChars="7"/>
        <w:rPr>
          <w:color w:val="auto"/>
          <w:highlight w:val="none"/>
        </w:rPr>
      </w:pPr>
      <w:r>
        <w:rPr>
          <w:color w:val="auto"/>
          <w:highlight w:val="none"/>
        </w:rPr>
        <w:t>不低于20x倍光学变倍和12x电子变倍，大于60度广角。</w:t>
      </w:r>
    </w:p>
    <w:p>
      <w:pPr>
        <w:tabs>
          <w:tab w:val="left" w:pos="1440"/>
        </w:tabs>
        <w:spacing w:after="0" w:line="360" w:lineRule="auto"/>
        <w:ind w:left="1216" w:leftChars="500" w:right="12" w:hanging="16" w:hangingChars="7"/>
        <w:rPr>
          <w:color w:val="auto"/>
          <w:highlight w:val="none"/>
        </w:rPr>
      </w:pPr>
      <w:r>
        <w:rPr>
          <w:color w:val="auto"/>
          <w:highlight w:val="none"/>
        </w:rPr>
        <w:t>3.支持H.264和H.265编码</w:t>
      </w:r>
    </w:p>
    <w:p>
      <w:pPr>
        <w:tabs>
          <w:tab w:val="left" w:pos="1440"/>
        </w:tabs>
        <w:spacing w:after="0" w:line="360" w:lineRule="auto"/>
        <w:ind w:left="1216" w:leftChars="500" w:right="12" w:hanging="16" w:hangingChars="7"/>
        <w:rPr>
          <w:color w:val="auto"/>
          <w:highlight w:val="none"/>
        </w:rPr>
      </w:pPr>
      <w:r>
        <w:rPr>
          <w:color w:val="auto"/>
          <w:highlight w:val="none"/>
        </w:rPr>
        <w:t>4.IP, HDMI, 3G-SDI接口同时输出图像画面</w:t>
      </w:r>
    </w:p>
    <w:p>
      <w:pPr>
        <w:tabs>
          <w:tab w:val="left" w:pos="1440"/>
        </w:tabs>
        <w:spacing w:after="0" w:line="360" w:lineRule="auto"/>
        <w:ind w:left="1216" w:leftChars="500" w:right="12" w:hanging="16" w:hangingChars="7"/>
        <w:rPr>
          <w:color w:val="auto"/>
          <w:highlight w:val="none"/>
        </w:rPr>
      </w:pPr>
      <w:r>
        <w:rPr>
          <w:color w:val="auto"/>
          <w:highlight w:val="none"/>
        </w:rPr>
        <w:t>5.支持WDR宽动态、背光补偿，白平衡调整，3D降噪功能</w:t>
      </w:r>
    </w:p>
    <w:p>
      <w:pPr>
        <w:tabs>
          <w:tab w:val="left" w:pos="1440"/>
        </w:tabs>
        <w:spacing w:after="0" w:line="360" w:lineRule="auto"/>
        <w:ind w:left="1216" w:leftChars="500" w:right="12" w:hanging="16" w:hangingChars="7"/>
        <w:rPr>
          <w:color w:val="auto"/>
          <w:highlight w:val="none"/>
        </w:rPr>
      </w:pPr>
      <w:r>
        <w:rPr>
          <w:color w:val="auto"/>
          <w:highlight w:val="none"/>
        </w:rPr>
        <w:t>6.支持POE，一条CAT5/6线传输图像，支持控制和供电</w:t>
      </w:r>
      <w:r>
        <w:rPr>
          <w:rFonts w:hint="eastAsia"/>
          <w:color w:val="auto"/>
          <w:highlight w:val="none"/>
        </w:rPr>
        <w:t>、带遥控功能</w:t>
      </w:r>
      <w:r>
        <w:rPr>
          <w:color w:val="auto"/>
          <w:highlight w:val="none"/>
        </w:rPr>
        <w:t>。</w:t>
      </w:r>
    </w:p>
    <w:p>
      <w:pPr>
        <w:tabs>
          <w:tab w:val="left" w:pos="1440"/>
        </w:tabs>
        <w:spacing w:after="0" w:line="360" w:lineRule="auto"/>
        <w:ind w:left="1216" w:leftChars="500" w:right="12" w:hanging="16" w:hangingChars="7"/>
        <w:rPr>
          <w:color w:val="auto"/>
          <w:highlight w:val="none"/>
        </w:rPr>
      </w:pPr>
      <w:r>
        <w:rPr>
          <w:color w:val="auto"/>
          <w:highlight w:val="none"/>
        </w:rPr>
        <w:t>7.高精度的电机定位，</w:t>
      </w:r>
    </w:p>
    <w:p>
      <w:pPr>
        <w:tabs>
          <w:tab w:val="left" w:pos="1440"/>
        </w:tabs>
        <w:spacing w:after="0" w:line="360" w:lineRule="auto"/>
        <w:ind w:left="1216" w:leftChars="500" w:right="12" w:hanging="16" w:hangingChars="7"/>
        <w:rPr>
          <w:color w:val="auto"/>
          <w:highlight w:val="none"/>
        </w:rPr>
      </w:pPr>
      <w:r>
        <w:rPr>
          <w:color w:val="auto"/>
          <w:highlight w:val="none"/>
        </w:rPr>
        <w:t xml:space="preserve">8.不少于128个预置位 </w:t>
      </w:r>
    </w:p>
    <w:p>
      <w:pPr>
        <w:tabs>
          <w:tab w:val="left" w:pos="1440"/>
        </w:tabs>
        <w:spacing w:after="0" w:line="360" w:lineRule="auto"/>
        <w:ind w:left="1216" w:leftChars="500" w:right="12" w:hanging="16" w:hangingChars="7"/>
        <w:rPr>
          <w:color w:val="auto"/>
          <w:highlight w:val="none"/>
        </w:rPr>
      </w:pPr>
      <w:r>
        <w:rPr>
          <w:color w:val="auto"/>
          <w:highlight w:val="none"/>
        </w:rPr>
        <w:t>9.标准的串口Visca和IP Visca, Pelco-P/D 控制协议.</w:t>
      </w:r>
    </w:p>
    <w:p>
      <w:pPr>
        <w:tabs>
          <w:tab w:val="left" w:pos="1440"/>
        </w:tabs>
        <w:spacing w:after="0" w:line="360" w:lineRule="auto"/>
        <w:ind w:left="1216" w:leftChars="500" w:right="12" w:hanging="16" w:hangingChars="7"/>
        <w:rPr>
          <w:color w:val="auto"/>
          <w:highlight w:val="none"/>
        </w:rPr>
      </w:pPr>
      <w:r>
        <w:rPr>
          <w:color w:val="auto"/>
          <w:highlight w:val="none"/>
        </w:rPr>
        <w:t>10.支持图像翻转功能：可正装、倒装</w:t>
      </w:r>
    </w:p>
    <w:p>
      <w:pPr>
        <w:spacing w:after="0" w:line="360" w:lineRule="auto"/>
        <w:ind w:left="1423" w:right="12" w:firstLine="0"/>
        <w:rPr>
          <w:color w:val="auto"/>
          <w:highlight w:val="none"/>
        </w:rPr>
      </w:pPr>
    </w:p>
    <w:p>
      <w:pPr>
        <w:numPr>
          <w:ilvl w:val="2"/>
          <w:numId w:val="3"/>
        </w:numPr>
        <w:spacing w:after="0" w:line="360" w:lineRule="auto"/>
        <w:ind w:left="284" w:leftChars="0" w:right="12" w:hanging="44" w:firstLineChars="0"/>
        <w:rPr>
          <w:color w:val="auto"/>
          <w:highlight w:val="none"/>
        </w:rPr>
      </w:pPr>
      <w:r>
        <w:rPr>
          <w:rFonts w:hint="eastAsia"/>
          <w:color w:val="auto"/>
          <w:highlight w:val="none"/>
        </w:rPr>
        <w:t>升降显示器</w:t>
      </w:r>
    </w:p>
    <w:p>
      <w:pPr>
        <w:pStyle w:val="30"/>
        <w:numPr>
          <w:ilvl w:val="3"/>
          <w:numId w:val="3"/>
        </w:numPr>
        <w:tabs>
          <w:tab w:val="left" w:pos="1440"/>
        </w:tabs>
        <w:spacing w:after="0" w:line="360" w:lineRule="auto"/>
        <w:ind w:left="1214" w:leftChars="506" w:right="12" w:firstLine="7" w:firstLineChars="0"/>
        <w:rPr>
          <w:color w:val="auto"/>
          <w:highlight w:val="none"/>
        </w:rPr>
      </w:pPr>
      <w:r>
        <w:rPr>
          <w:rFonts w:hint="eastAsia"/>
          <w:color w:val="auto"/>
          <w:highlight w:val="none"/>
        </w:rPr>
        <w:t>液晶屏尺寸不小于</w:t>
      </w:r>
      <w:r>
        <w:rPr>
          <w:color w:val="auto"/>
          <w:highlight w:val="none"/>
        </w:rPr>
        <w:t>15.6寸，背面可定制公司logo；</w:t>
      </w:r>
    </w:p>
    <w:p>
      <w:pPr>
        <w:pStyle w:val="30"/>
        <w:numPr>
          <w:ilvl w:val="3"/>
          <w:numId w:val="3"/>
        </w:numPr>
        <w:tabs>
          <w:tab w:val="left" w:pos="1440"/>
        </w:tabs>
        <w:spacing w:after="0" w:line="360" w:lineRule="auto"/>
        <w:ind w:left="1214" w:leftChars="506" w:right="12" w:firstLine="7" w:firstLineChars="0"/>
        <w:rPr>
          <w:color w:val="auto"/>
          <w:highlight w:val="none"/>
        </w:rPr>
      </w:pPr>
      <w:r>
        <w:rPr>
          <w:rFonts w:hint="eastAsia"/>
          <w:color w:val="auto"/>
          <w:highlight w:val="none"/>
        </w:rPr>
        <w:t>分辨率支持</w:t>
      </w:r>
      <w:r>
        <w:rPr>
          <w:color w:val="auto"/>
          <w:highlight w:val="none"/>
        </w:rPr>
        <w:t>1080P，支持10点触控；</w:t>
      </w:r>
    </w:p>
    <w:p>
      <w:pPr>
        <w:pStyle w:val="30"/>
        <w:numPr>
          <w:ilvl w:val="3"/>
          <w:numId w:val="3"/>
        </w:numPr>
        <w:tabs>
          <w:tab w:val="left" w:pos="1440"/>
        </w:tabs>
        <w:spacing w:after="0" w:line="360" w:lineRule="auto"/>
        <w:ind w:left="1214" w:leftChars="506" w:right="12" w:firstLine="7" w:firstLineChars="0"/>
        <w:rPr>
          <w:color w:val="auto"/>
          <w:highlight w:val="none"/>
        </w:rPr>
      </w:pPr>
      <w:r>
        <w:rPr>
          <w:rFonts w:hint="eastAsia"/>
          <w:color w:val="auto"/>
          <w:highlight w:val="none"/>
        </w:rPr>
        <w:t>屏幕采用高分辨率全视角</w:t>
      </w:r>
      <w:r>
        <w:rPr>
          <w:color w:val="auto"/>
          <w:highlight w:val="none"/>
        </w:rPr>
        <w:t>IPSA规液晶屏，可视角度打到178度；</w:t>
      </w:r>
    </w:p>
    <w:p>
      <w:pPr>
        <w:pStyle w:val="30"/>
        <w:numPr>
          <w:ilvl w:val="3"/>
          <w:numId w:val="3"/>
        </w:numPr>
        <w:tabs>
          <w:tab w:val="left" w:pos="1440"/>
        </w:tabs>
        <w:spacing w:after="0" w:line="360" w:lineRule="auto"/>
        <w:ind w:left="1214" w:leftChars="506" w:right="12" w:firstLine="7" w:firstLineChars="0"/>
        <w:rPr>
          <w:color w:val="auto"/>
          <w:highlight w:val="none"/>
        </w:rPr>
      </w:pPr>
      <w:r>
        <w:rPr>
          <w:rFonts w:hint="eastAsia"/>
          <w:color w:val="auto"/>
          <w:highlight w:val="none"/>
        </w:rPr>
        <w:t>屏幕升降静音设计，噪声小于</w:t>
      </w:r>
      <w:r>
        <w:rPr>
          <w:color w:val="auto"/>
          <w:highlight w:val="none"/>
        </w:rPr>
        <w:t>20分贝；</w:t>
      </w:r>
    </w:p>
    <w:p>
      <w:pPr>
        <w:pStyle w:val="30"/>
        <w:numPr>
          <w:ilvl w:val="3"/>
          <w:numId w:val="3"/>
        </w:numPr>
        <w:tabs>
          <w:tab w:val="left" w:pos="1440"/>
        </w:tabs>
        <w:spacing w:after="0" w:line="360" w:lineRule="auto"/>
        <w:ind w:left="1214" w:leftChars="506" w:right="12" w:firstLine="7" w:firstLineChars="0"/>
        <w:rPr>
          <w:color w:val="auto"/>
          <w:highlight w:val="none"/>
        </w:rPr>
      </w:pPr>
      <w:r>
        <w:rPr>
          <w:rFonts w:hint="eastAsia"/>
          <w:color w:val="auto"/>
          <w:highlight w:val="none"/>
        </w:rPr>
        <w:t>可以一键切换</w:t>
      </w:r>
      <w:r>
        <w:rPr>
          <w:color w:val="auto"/>
          <w:highlight w:val="none"/>
        </w:rPr>
        <w:t>HDMI信号和VGA信号输入；</w:t>
      </w:r>
    </w:p>
    <w:p>
      <w:pPr>
        <w:pStyle w:val="30"/>
        <w:numPr>
          <w:ilvl w:val="3"/>
          <w:numId w:val="3"/>
        </w:numPr>
        <w:tabs>
          <w:tab w:val="left" w:pos="1440"/>
        </w:tabs>
        <w:spacing w:after="0" w:line="360" w:lineRule="auto"/>
        <w:ind w:left="1214" w:leftChars="506" w:right="12" w:firstLine="7" w:firstLineChars="0"/>
        <w:rPr>
          <w:color w:val="auto"/>
          <w:highlight w:val="none"/>
        </w:rPr>
      </w:pPr>
      <w:r>
        <w:rPr>
          <w:rFonts w:hint="eastAsia"/>
          <w:color w:val="auto"/>
          <w:highlight w:val="none"/>
        </w:rPr>
        <w:t>可以控制外部连接电脑的开关机；</w:t>
      </w:r>
    </w:p>
    <w:p>
      <w:pPr>
        <w:pStyle w:val="30"/>
        <w:numPr>
          <w:ilvl w:val="3"/>
          <w:numId w:val="3"/>
        </w:numPr>
        <w:tabs>
          <w:tab w:val="left" w:pos="1440"/>
        </w:tabs>
        <w:spacing w:after="0" w:line="360" w:lineRule="auto"/>
        <w:ind w:left="1214" w:leftChars="506" w:right="12" w:firstLine="7" w:firstLineChars="0"/>
        <w:rPr>
          <w:color w:val="auto"/>
          <w:highlight w:val="none"/>
        </w:rPr>
      </w:pPr>
      <w:r>
        <w:rPr>
          <w:rFonts w:hint="eastAsia"/>
          <w:color w:val="auto"/>
          <w:highlight w:val="none"/>
        </w:rPr>
        <w:t>支持</w:t>
      </w:r>
      <w:r>
        <w:rPr>
          <w:color w:val="auto"/>
          <w:highlight w:val="none"/>
        </w:rPr>
        <w:t>HDMI和VAG输入信号，自动识别；</w:t>
      </w:r>
    </w:p>
    <w:p>
      <w:pPr>
        <w:pStyle w:val="30"/>
        <w:numPr>
          <w:ilvl w:val="3"/>
          <w:numId w:val="3"/>
        </w:numPr>
        <w:tabs>
          <w:tab w:val="left" w:pos="1440"/>
        </w:tabs>
        <w:spacing w:after="0" w:line="360" w:lineRule="auto"/>
        <w:ind w:left="1214" w:leftChars="506" w:right="12" w:firstLine="7" w:firstLineChars="0"/>
        <w:rPr>
          <w:color w:val="auto"/>
          <w:highlight w:val="none"/>
        </w:rPr>
      </w:pPr>
      <w:r>
        <w:rPr>
          <w:rFonts w:hint="eastAsia"/>
          <w:color w:val="auto"/>
          <w:highlight w:val="none"/>
        </w:rPr>
        <w:t>支持</w:t>
      </w:r>
      <w:r>
        <w:rPr>
          <w:color w:val="auto"/>
          <w:highlight w:val="none"/>
        </w:rPr>
        <w:t>RS232和RS485控制；</w:t>
      </w:r>
    </w:p>
    <w:p>
      <w:pPr>
        <w:pStyle w:val="30"/>
        <w:numPr>
          <w:ilvl w:val="3"/>
          <w:numId w:val="3"/>
        </w:numPr>
        <w:tabs>
          <w:tab w:val="left" w:pos="1440"/>
        </w:tabs>
        <w:spacing w:after="0" w:line="360" w:lineRule="auto"/>
        <w:ind w:left="1214" w:leftChars="506" w:right="12" w:firstLine="7" w:firstLineChars="0"/>
        <w:rPr>
          <w:color w:val="auto"/>
          <w:highlight w:val="none"/>
        </w:rPr>
      </w:pPr>
      <w:r>
        <w:rPr>
          <w:rFonts w:hint="eastAsia"/>
          <w:color w:val="auto"/>
          <w:highlight w:val="none"/>
        </w:rPr>
        <w:t>具备</w:t>
      </w:r>
      <w:r>
        <w:rPr>
          <w:color w:val="auto"/>
          <w:highlight w:val="none"/>
        </w:rPr>
        <w:t>220V电源环通口；</w:t>
      </w:r>
    </w:p>
    <w:p>
      <w:pPr>
        <w:pStyle w:val="30"/>
        <w:numPr>
          <w:ilvl w:val="3"/>
          <w:numId w:val="3"/>
        </w:numPr>
        <w:tabs>
          <w:tab w:val="left" w:pos="1440"/>
        </w:tabs>
        <w:spacing w:after="0" w:line="360" w:lineRule="auto"/>
        <w:ind w:left="1214" w:leftChars="506" w:right="12" w:firstLine="7" w:firstLineChars="0"/>
        <w:rPr>
          <w:color w:val="auto"/>
          <w:highlight w:val="none"/>
        </w:rPr>
      </w:pPr>
      <w:r>
        <w:rPr>
          <w:rFonts w:hint="eastAsia"/>
          <w:color w:val="auto"/>
          <w:highlight w:val="none"/>
        </w:rPr>
        <w:t>配置主机，性能要求</w:t>
      </w:r>
    </w:p>
    <w:p>
      <w:pPr>
        <w:numPr>
          <w:ilvl w:val="0"/>
          <w:numId w:val="45"/>
        </w:numPr>
        <w:tabs>
          <w:tab w:val="left" w:pos="1440"/>
        </w:tabs>
        <w:spacing w:after="0" w:line="360" w:lineRule="auto"/>
        <w:ind w:left="1214" w:leftChars="506" w:right="12" w:firstLine="7"/>
        <w:rPr>
          <w:color w:val="auto"/>
          <w:highlight w:val="none"/>
        </w:rPr>
      </w:pPr>
      <w:r>
        <w:rPr>
          <w:color w:val="auto"/>
          <w:highlight w:val="none"/>
        </w:rPr>
        <w:t>著名品牌计算机（含正版操作系统软件）</w:t>
      </w:r>
    </w:p>
    <w:p>
      <w:pPr>
        <w:numPr>
          <w:ilvl w:val="0"/>
          <w:numId w:val="45"/>
        </w:numPr>
        <w:tabs>
          <w:tab w:val="left" w:pos="1440"/>
        </w:tabs>
        <w:spacing w:after="0" w:line="360" w:lineRule="auto"/>
        <w:ind w:left="1214" w:leftChars="506" w:right="12" w:firstLine="7"/>
        <w:rPr>
          <w:color w:val="auto"/>
          <w:highlight w:val="none"/>
        </w:rPr>
      </w:pPr>
      <w:r>
        <w:rPr>
          <w:color w:val="auto"/>
          <w:highlight w:val="none"/>
        </w:rPr>
        <w:t>CPU：I Intel Core i7</w:t>
      </w:r>
      <w:r>
        <w:rPr>
          <w:rFonts w:hint="eastAsia"/>
          <w:color w:val="auto"/>
          <w:highlight w:val="none"/>
        </w:rPr>
        <w:t xml:space="preserve"> </w:t>
      </w:r>
      <w:r>
        <w:rPr>
          <w:color w:val="auto"/>
          <w:highlight w:val="none"/>
        </w:rPr>
        <w:t xml:space="preserve">  或以上。</w:t>
      </w:r>
    </w:p>
    <w:p>
      <w:pPr>
        <w:numPr>
          <w:ilvl w:val="0"/>
          <w:numId w:val="45"/>
        </w:numPr>
        <w:tabs>
          <w:tab w:val="left" w:pos="1440"/>
        </w:tabs>
        <w:spacing w:after="0" w:line="360" w:lineRule="auto"/>
        <w:ind w:left="1214" w:leftChars="506" w:right="12" w:firstLine="7"/>
        <w:rPr>
          <w:color w:val="auto"/>
          <w:highlight w:val="none"/>
        </w:rPr>
      </w:pPr>
      <w:r>
        <w:rPr>
          <w:color w:val="auto"/>
          <w:highlight w:val="none"/>
        </w:rPr>
        <w:t>内存：≥</w:t>
      </w:r>
      <w:r>
        <w:rPr>
          <w:rFonts w:hint="eastAsia"/>
          <w:color w:val="auto"/>
          <w:highlight w:val="none"/>
        </w:rPr>
        <w:t>32</w:t>
      </w:r>
      <w:r>
        <w:rPr>
          <w:color w:val="auto"/>
          <w:highlight w:val="none"/>
        </w:rPr>
        <w:t>G DDR3  或以上。</w:t>
      </w:r>
    </w:p>
    <w:p>
      <w:pPr>
        <w:numPr>
          <w:ilvl w:val="0"/>
          <w:numId w:val="45"/>
        </w:numPr>
        <w:tabs>
          <w:tab w:val="left" w:pos="1440"/>
        </w:tabs>
        <w:spacing w:after="0" w:line="360" w:lineRule="auto"/>
        <w:ind w:left="1214" w:leftChars="506" w:right="12" w:firstLine="7"/>
        <w:rPr>
          <w:color w:val="auto"/>
          <w:highlight w:val="none"/>
        </w:rPr>
      </w:pPr>
      <w:r>
        <w:rPr>
          <w:color w:val="auto"/>
          <w:highlight w:val="none"/>
        </w:rPr>
        <w:t>硬盘：</w:t>
      </w:r>
      <w:r>
        <w:rPr>
          <w:rFonts w:hint="eastAsia"/>
          <w:color w:val="auto"/>
          <w:highlight w:val="none"/>
        </w:rPr>
        <w:t>256G固态+</w:t>
      </w:r>
      <w:r>
        <w:rPr>
          <w:color w:val="auto"/>
          <w:highlight w:val="none"/>
        </w:rPr>
        <w:t>1T SATA 硬盘或以上。</w:t>
      </w:r>
    </w:p>
    <w:p>
      <w:pPr>
        <w:numPr>
          <w:ilvl w:val="0"/>
          <w:numId w:val="45"/>
        </w:numPr>
        <w:tabs>
          <w:tab w:val="left" w:pos="1440"/>
        </w:tabs>
        <w:spacing w:after="0" w:line="360" w:lineRule="auto"/>
        <w:ind w:left="1214" w:leftChars="506" w:right="12" w:firstLine="7"/>
        <w:rPr>
          <w:color w:val="auto"/>
          <w:highlight w:val="none"/>
        </w:rPr>
      </w:pPr>
      <w:r>
        <w:rPr>
          <w:color w:val="auto"/>
          <w:highlight w:val="none"/>
        </w:rPr>
        <w:t>显示器：22”液晶宽屏显示器，分辨率不低于 1680X1050。网络：10/100M 以太网卡。</w:t>
      </w:r>
    </w:p>
    <w:p>
      <w:pPr>
        <w:numPr>
          <w:ilvl w:val="0"/>
          <w:numId w:val="45"/>
        </w:numPr>
        <w:tabs>
          <w:tab w:val="left" w:pos="1440"/>
        </w:tabs>
        <w:spacing w:after="0" w:line="360" w:lineRule="auto"/>
        <w:ind w:left="1214" w:leftChars="506" w:right="12" w:firstLine="7"/>
        <w:rPr>
          <w:color w:val="auto"/>
          <w:highlight w:val="none"/>
        </w:rPr>
      </w:pPr>
      <w:r>
        <w:rPr>
          <w:color w:val="auto"/>
          <w:highlight w:val="none"/>
        </w:rPr>
        <w:t>其它：</w:t>
      </w:r>
      <w:r>
        <w:rPr>
          <w:rFonts w:hint="eastAsia"/>
          <w:color w:val="auto"/>
          <w:highlight w:val="none"/>
        </w:rPr>
        <w:t>无线</w:t>
      </w:r>
      <w:r>
        <w:rPr>
          <w:color w:val="auto"/>
          <w:highlight w:val="none"/>
        </w:rPr>
        <w:t>键盘鼠标 1 套，8 速或以上 DVD-RW，至少 2 个 RS-232 串行口和 1 个并行口。</w:t>
      </w:r>
    </w:p>
    <w:p>
      <w:pPr>
        <w:numPr>
          <w:ilvl w:val="0"/>
          <w:numId w:val="45"/>
        </w:numPr>
        <w:tabs>
          <w:tab w:val="left" w:pos="1440"/>
        </w:tabs>
        <w:spacing w:after="0" w:line="360" w:lineRule="auto"/>
        <w:ind w:left="1214" w:leftChars="506" w:right="12" w:firstLine="7"/>
        <w:rPr>
          <w:color w:val="auto"/>
          <w:highlight w:val="none"/>
        </w:rPr>
      </w:pPr>
      <w:r>
        <w:rPr>
          <w:color w:val="auto"/>
          <w:highlight w:val="none"/>
        </w:rPr>
        <w:t>操作系统：Windows 10（专业版）或以上</w:t>
      </w:r>
    </w:p>
    <w:p>
      <w:pPr>
        <w:numPr>
          <w:ilvl w:val="255"/>
          <w:numId w:val="0"/>
        </w:numPr>
        <w:tabs>
          <w:tab w:val="left" w:pos="1440"/>
        </w:tabs>
        <w:spacing w:after="0" w:line="360" w:lineRule="auto"/>
        <w:ind w:left="1214" w:leftChars="506" w:right="12" w:firstLine="7"/>
        <w:rPr>
          <w:color w:val="auto"/>
          <w:highlight w:val="none"/>
        </w:rPr>
      </w:pPr>
      <w:r>
        <w:rPr>
          <w:rFonts w:hint="eastAsia"/>
          <w:color w:val="auto"/>
          <w:highlight w:val="none"/>
        </w:rPr>
        <w:t>主机配置视频采集卡，参数如下：</w:t>
      </w:r>
    </w:p>
    <w:p>
      <w:pPr>
        <w:numPr>
          <w:ilvl w:val="255"/>
          <w:numId w:val="0"/>
        </w:numPr>
        <w:tabs>
          <w:tab w:val="left" w:pos="1440"/>
        </w:tabs>
        <w:spacing w:after="0" w:line="360" w:lineRule="auto"/>
        <w:ind w:left="1214" w:leftChars="506" w:right="12" w:firstLine="7"/>
        <w:rPr>
          <w:color w:val="auto"/>
          <w:highlight w:val="none"/>
        </w:rPr>
      </w:pPr>
      <w:r>
        <w:rPr>
          <w:rFonts w:hint="eastAsia"/>
          <w:color w:val="auto"/>
          <w:highlight w:val="none"/>
        </w:rPr>
        <w:t>带1路HDMI输入</w:t>
      </w:r>
      <w:r>
        <w:rPr>
          <w:color w:val="auto"/>
          <w:highlight w:val="none"/>
        </w:rPr>
        <w:t>；</w:t>
      </w:r>
    </w:p>
    <w:p>
      <w:pPr>
        <w:numPr>
          <w:ilvl w:val="255"/>
          <w:numId w:val="0"/>
        </w:numPr>
        <w:tabs>
          <w:tab w:val="left" w:pos="1440"/>
        </w:tabs>
        <w:spacing w:after="0" w:line="360" w:lineRule="auto"/>
        <w:ind w:left="1214" w:leftChars="506" w:right="12" w:firstLine="7"/>
        <w:rPr>
          <w:color w:val="auto"/>
          <w:highlight w:val="none"/>
        </w:rPr>
      </w:pPr>
      <w:r>
        <w:rPr>
          <w:rFonts w:hint="eastAsia"/>
          <w:color w:val="auto"/>
          <w:highlight w:val="none"/>
        </w:rPr>
        <w:t>带1路USB3.0接口</w:t>
      </w:r>
      <w:r>
        <w:rPr>
          <w:color w:val="auto"/>
          <w:highlight w:val="none"/>
        </w:rPr>
        <w:t>；</w:t>
      </w:r>
    </w:p>
    <w:p>
      <w:pPr>
        <w:numPr>
          <w:ilvl w:val="255"/>
          <w:numId w:val="0"/>
        </w:numPr>
        <w:tabs>
          <w:tab w:val="left" w:pos="1440"/>
        </w:tabs>
        <w:spacing w:after="0" w:line="360" w:lineRule="auto"/>
        <w:ind w:left="1214" w:leftChars="506" w:right="12" w:firstLine="7"/>
        <w:rPr>
          <w:color w:val="auto"/>
          <w:highlight w:val="none"/>
        </w:rPr>
      </w:pPr>
      <w:r>
        <w:rPr>
          <w:rFonts w:hint="eastAsia"/>
          <w:color w:val="auto"/>
          <w:highlight w:val="none"/>
        </w:rPr>
        <w:t>带1路音频信号输入，1路音频信号输出</w:t>
      </w:r>
      <w:r>
        <w:rPr>
          <w:color w:val="auto"/>
          <w:highlight w:val="none"/>
        </w:rPr>
        <w:t>；</w:t>
      </w:r>
    </w:p>
    <w:p>
      <w:pPr>
        <w:numPr>
          <w:ilvl w:val="255"/>
          <w:numId w:val="0"/>
        </w:numPr>
        <w:tabs>
          <w:tab w:val="left" w:pos="1440"/>
        </w:tabs>
        <w:spacing w:after="0" w:line="360" w:lineRule="auto"/>
        <w:ind w:left="1214" w:leftChars="506" w:right="12" w:firstLine="7"/>
        <w:rPr>
          <w:color w:val="auto"/>
          <w:highlight w:val="none"/>
        </w:rPr>
      </w:pPr>
      <w:r>
        <w:rPr>
          <w:rFonts w:hint="eastAsia"/>
          <w:color w:val="auto"/>
          <w:highlight w:val="none"/>
        </w:rPr>
        <w:t>配带采集软件</w:t>
      </w:r>
      <w:r>
        <w:rPr>
          <w:color w:val="auto"/>
          <w:highlight w:val="none"/>
        </w:rPr>
        <w:t>；</w:t>
      </w:r>
    </w:p>
    <w:p>
      <w:pPr>
        <w:numPr>
          <w:ilvl w:val="255"/>
          <w:numId w:val="0"/>
        </w:numPr>
        <w:spacing w:after="0" w:line="360" w:lineRule="auto"/>
        <w:ind w:left="1440" w:right="12"/>
        <w:rPr>
          <w:color w:val="auto"/>
          <w:highlight w:val="none"/>
        </w:rPr>
      </w:pPr>
    </w:p>
    <w:p>
      <w:pPr>
        <w:numPr>
          <w:ilvl w:val="2"/>
          <w:numId w:val="3"/>
        </w:numPr>
        <w:spacing w:after="0" w:line="360" w:lineRule="auto"/>
        <w:ind w:left="284" w:leftChars="0" w:right="12" w:hanging="44" w:firstLineChars="0"/>
        <w:rPr>
          <w:color w:val="auto"/>
          <w:highlight w:val="none"/>
        </w:rPr>
      </w:pPr>
      <w:r>
        <w:rPr>
          <w:rFonts w:hint="eastAsia"/>
          <w:color w:val="auto"/>
          <w:highlight w:val="none"/>
        </w:rPr>
        <w:t>高清小间距</w:t>
      </w:r>
      <w:r>
        <w:rPr>
          <w:color w:val="auto"/>
          <w:highlight w:val="none"/>
        </w:rPr>
        <w:t>LED</w:t>
      </w:r>
      <w:r>
        <w:rPr>
          <w:rFonts w:hint="eastAsia"/>
          <w:color w:val="auto"/>
          <w:highlight w:val="none"/>
        </w:rPr>
        <w:t>（8层会议室）技术要求</w:t>
      </w:r>
    </w:p>
    <w:p>
      <w:pPr>
        <w:numPr>
          <w:ilvl w:val="0"/>
          <w:numId w:val="46"/>
        </w:numPr>
        <w:tabs>
          <w:tab w:val="left" w:pos="1440"/>
        </w:tabs>
        <w:spacing w:after="0" w:line="360" w:lineRule="auto"/>
        <w:ind w:left="1181" w:leftChars="492" w:right="12" w:firstLine="16" w:firstLineChars="7"/>
        <w:rPr>
          <w:color w:val="auto"/>
          <w:highlight w:val="none"/>
        </w:rPr>
      </w:pPr>
      <w:r>
        <w:rPr>
          <w:rFonts w:hint="eastAsia"/>
          <w:color w:val="auto"/>
          <w:highlight w:val="none"/>
        </w:rPr>
        <w:t>显示尺寸(宽×高)≥ 3840 mm×2080  mm;</w:t>
      </w:r>
    </w:p>
    <w:p>
      <w:pPr>
        <w:numPr>
          <w:ilvl w:val="0"/>
          <w:numId w:val="46"/>
        </w:numPr>
        <w:tabs>
          <w:tab w:val="left" w:pos="1440"/>
        </w:tabs>
        <w:spacing w:after="0" w:line="360" w:lineRule="auto"/>
        <w:ind w:left="1181" w:leftChars="492" w:right="12" w:firstLine="16" w:firstLineChars="7"/>
        <w:rPr>
          <w:color w:val="auto"/>
          <w:highlight w:val="none"/>
        </w:rPr>
      </w:pPr>
      <w:r>
        <w:rPr>
          <w:rFonts w:hint="eastAsia"/>
          <w:color w:val="auto"/>
          <w:highlight w:val="none"/>
        </w:rPr>
        <w:t>屏幕分辨率(宽×高)≥3072*1664  像素点;</w:t>
      </w:r>
    </w:p>
    <w:p>
      <w:pPr>
        <w:numPr>
          <w:ilvl w:val="0"/>
          <w:numId w:val="46"/>
        </w:numPr>
        <w:tabs>
          <w:tab w:val="left" w:pos="1440"/>
        </w:tabs>
        <w:spacing w:after="0" w:line="360" w:lineRule="auto"/>
        <w:ind w:left="1181" w:leftChars="492" w:right="12" w:firstLine="16" w:firstLineChars="7"/>
        <w:rPr>
          <w:color w:val="auto"/>
          <w:highlight w:val="none"/>
        </w:rPr>
      </w:pPr>
      <w:r>
        <w:rPr>
          <w:rFonts w:hint="eastAsia"/>
          <w:color w:val="auto"/>
          <w:highlight w:val="none"/>
        </w:rPr>
        <w:t xml:space="preserve">像素间距≤1.25mm; </w:t>
      </w:r>
    </w:p>
    <w:p>
      <w:pPr>
        <w:numPr>
          <w:ilvl w:val="0"/>
          <w:numId w:val="46"/>
        </w:numPr>
        <w:tabs>
          <w:tab w:val="left" w:pos="1440"/>
        </w:tabs>
        <w:spacing w:after="0" w:line="360" w:lineRule="auto"/>
        <w:ind w:left="1181" w:leftChars="492" w:right="12" w:firstLine="16" w:firstLineChars="7"/>
        <w:rPr>
          <w:color w:val="auto"/>
          <w:highlight w:val="none"/>
        </w:rPr>
      </w:pPr>
      <w:r>
        <w:rPr>
          <w:rFonts w:hint="eastAsia"/>
          <w:color w:val="auto"/>
          <w:highlight w:val="none"/>
        </w:rPr>
        <w:t>整机亮度均匀性≥98%；整机色度均匀性≥96%；</w:t>
      </w:r>
    </w:p>
    <w:p>
      <w:pPr>
        <w:numPr>
          <w:ilvl w:val="0"/>
          <w:numId w:val="46"/>
        </w:numPr>
        <w:tabs>
          <w:tab w:val="left" w:pos="1440"/>
        </w:tabs>
        <w:spacing w:after="0" w:line="360" w:lineRule="auto"/>
        <w:ind w:left="1181" w:leftChars="492" w:right="12" w:firstLine="16" w:firstLineChars="7"/>
        <w:rPr>
          <w:color w:val="auto"/>
          <w:highlight w:val="none"/>
        </w:rPr>
      </w:pPr>
      <w:r>
        <w:rPr>
          <w:rFonts w:hint="eastAsia"/>
          <w:color w:val="auto"/>
          <w:highlight w:val="none"/>
        </w:rPr>
        <w:t>对比度≥6000：1；</w:t>
      </w:r>
    </w:p>
    <w:p>
      <w:pPr>
        <w:numPr>
          <w:ilvl w:val="0"/>
          <w:numId w:val="46"/>
        </w:numPr>
        <w:tabs>
          <w:tab w:val="left" w:pos="1440"/>
        </w:tabs>
        <w:spacing w:after="0" w:line="360" w:lineRule="auto"/>
        <w:ind w:left="1181" w:leftChars="492" w:right="12" w:firstLine="16" w:firstLineChars="7"/>
        <w:rPr>
          <w:color w:val="auto"/>
          <w:highlight w:val="none"/>
        </w:rPr>
      </w:pPr>
      <w:r>
        <w:rPr>
          <w:rFonts w:hint="eastAsia"/>
          <w:color w:val="auto"/>
          <w:highlight w:val="none"/>
        </w:rPr>
        <w:t>像素中心距相对偏差≤2%；</w:t>
      </w:r>
    </w:p>
    <w:p>
      <w:pPr>
        <w:numPr>
          <w:ilvl w:val="0"/>
          <w:numId w:val="46"/>
        </w:numPr>
        <w:tabs>
          <w:tab w:val="left" w:pos="1440"/>
        </w:tabs>
        <w:spacing w:after="0" w:line="360" w:lineRule="auto"/>
        <w:ind w:left="1181" w:leftChars="492" w:right="12" w:firstLine="16" w:firstLineChars="7"/>
        <w:rPr>
          <w:color w:val="auto"/>
          <w:highlight w:val="none"/>
        </w:rPr>
      </w:pPr>
      <w:r>
        <w:rPr>
          <w:rFonts w:hint="eastAsia"/>
          <w:color w:val="auto"/>
          <w:highlight w:val="none"/>
        </w:rPr>
        <w:t>LED像素失控率≤1/1000000；</w:t>
      </w:r>
    </w:p>
    <w:p>
      <w:pPr>
        <w:numPr>
          <w:ilvl w:val="0"/>
          <w:numId w:val="46"/>
        </w:numPr>
        <w:tabs>
          <w:tab w:val="left" w:pos="1440"/>
        </w:tabs>
        <w:spacing w:after="0" w:line="360" w:lineRule="auto"/>
        <w:ind w:left="1181" w:leftChars="492" w:right="12" w:firstLine="16" w:firstLineChars="7"/>
        <w:rPr>
          <w:color w:val="auto"/>
          <w:highlight w:val="none"/>
        </w:rPr>
      </w:pPr>
      <w:r>
        <w:rPr>
          <w:rFonts w:hint="eastAsia"/>
          <w:color w:val="auto"/>
          <w:highlight w:val="none"/>
        </w:rPr>
        <w:t>噪音测试≤25dB(A)（20cm）;≤5dB(A) （200cm）；</w:t>
      </w:r>
    </w:p>
    <w:p>
      <w:pPr>
        <w:numPr>
          <w:ilvl w:val="0"/>
          <w:numId w:val="46"/>
        </w:numPr>
        <w:tabs>
          <w:tab w:val="left" w:pos="1440"/>
        </w:tabs>
        <w:spacing w:after="0" w:line="360" w:lineRule="auto"/>
        <w:ind w:left="1181" w:leftChars="492" w:right="12" w:firstLine="16" w:firstLineChars="7"/>
        <w:rPr>
          <w:color w:val="auto"/>
          <w:highlight w:val="none"/>
        </w:rPr>
      </w:pPr>
      <w:r>
        <w:rPr>
          <w:rFonts w:hint="eastAsia"/>
          <w:color w:val="auto"/>
          <w:highlight w:val="none"/>
        </w:rPr>
        <w:t>LED灯板PCB板材料防火等级满足V-0级；</w:t>
      </w:r>
    </w:p>
    <w:p>
      <w:pPr>
        <w:numPr>
          <w:ilvl w:val="0"/>
          <w:numId w:val="46"/>
        </w:numPr>
        <w:tabs>
          <w:tab w:val="left" w:pos="1440"/>
        </w:tabs>
        <w:spacing w:after="0" w:line="360" w:lineRule="auto"/>
        <w:ind w:left="1181" w:leftChars="492" w:right="12" w:firstLine="16" w:firstLineChars="7"/>
        <w:rPr>
          <w:color w:val="auto"/>
          <w:highlight w:val="none"/>
        </w:rPr>
      </w:pPr>
      <w:r>
        <w:rPr>
          <w:rFonts w:hint="eastAsia"/>
          <w:color w:val="auto"/>
          <w:highlight w:val="none"/>
        </w:rPr>
        <w:t>采用直接贴合自然散热技术、无风扇设计；</w:t>
      </w:r>
    </w:p>
    <w:p>
      <w:pPr>
        <w:numPr>
          <w:ilvl w:val="0"/>
          <w:numId w:val="46"/>
        </w:numPr>
        <w:tabs>
          <w:tab w:val="left" w:pos="1440"/>
        </w:tabs>
        <w:spacing w:after="0" w:line="360" w:lineRule="auto"/>
        <w:ind w:left="1181" w:leftChars="492" w:right="12" w:firstLine="16" w:firstLineChars="7"/>
        <w:rPr>
          <w:color w:val="auto"/>
          <w:highlight w:val="none"/>
        </w:rPr>
      </w:pPr>
      <w:r>
        <w:rPr>
          <w:rFonts w:hint="eastAsia"/>
          <w:color w:val="auto"/>
          <w:highlight w:val="none"/>
        </w:rPr>
        <w:t>设备有任何硬件问题，能在不拆装箱体的基础上，支持全前维护</w:t>
      </w:r>
    </w:p>
    <w:p>
      <w:pPr>
        <w:numPr>
          <w:ilvl w:val="0"/>
          <w:numId w:val="46"/>
        </w:numPr>
        <w:tabs>
          <w:tab w:val="left" w:pos="1440"/>
        </w:tabs>
        <w:spacing w:after="0" w:line="360" w:lineRule="auto"/>
        <w:ind w:left="1181" w:leftChars="492" w:right="12" w:firstLine="16" w:firstLineChars="7"/>
        <w:rPr>
          <w:color w:val="auto"/>
          <w:highlight w:val="none"/>
        </w:rPr>
      </w:pPr>
      <w:r>
        <w:rPr>
          <w:rFonts w:hint="eastAsia"/>
          <w:color w:val="auto"/>
          <w:highlight w:val="none"/>
        </w:rPr>
        <w:t>无风扇设计,内置静音电源;</w:t>
      </w:r>
    </w:p>
    <w:p>
      <w:pPr>
        <w:numPr>
          <w:ilvl w:val="0"/>
          <w:numId w:val="46"/>
        </w:numPr>
        <w:tabs>
          <w:tab w:val="left" w:pos="1440"/>
        </w:tabs>
        <w:spacing w:after="0" w:line="360" w:lineRule="auto"/>
        <w:ind w:left="1181" w:leftChars="492" w:right="12" w:firstLine="16" w:firstLineChars="7"/>
        <w:rPr>
          <w:color w:val="auto"/>
          <w:highlight w:val="none"/>
        </w:rPr>
      </w:pPr>
      <w:r>
        <w:rPr>
          <w:rFonts w:hint="eastAsia"/>
          <w:color w:val="auto"/>
          <w:highlight w:val="none"/>
        </w:rPr>
        <w:t>发送盒：</w:t>
      </w:r>
    </w:p>
    <w:p>
      <w:pPr>
        <w:widowControl w:val="0"/>
        <w:numPr>
          <w:ilvl w:val="0"/>
          <w:numId w:val="47"/>
        </w:numPr>
        <w:tabs>
          <w:tab w:val="left" w:pos="1440"/>
        </w:tabs>
        <w:spacing w:line="360" w:lineRule="auto"/>
        <w:ind w:left="1181" w:leftChars="492" w:firstLine="16" w:firstLineChars="7"/>
        <w:jc w:val="both"/>
        <w:rPr>
          <w:highlight w:val="none"/>
        </w:rPr>
      </w:pPr>
      <w:r>
        <w:rPr>
          <w:highlight w:val="none"/>
        </w:rPr>
        <w:t>HDMI/DVI 视频输入；</w:t>
      </w:r>
    </w:p>
    <w:p>
      <w:pPr>
        <w:widowControl w:val="0"/>
        <w:numPr>
          <w:ilvl w:val="0"/>
          <w:numId w:val="47"/>
        </w:numPr>
        <w:tabs>
          <w:tab w:val="left" w:pos="1440"/>
        </w:tabs>
        <w:spacing w:line="360" w:lineRule="auto"/>
        <w:ind w:left="1181" w:leftChars="492" w:firstLine="16" w:firstLineChars="7"/>
        <w:jc w:val="both"/>
        <w:rPr>
          <w:highlight w:val="none"/>
        </w:rPr>
      </w:pPr>
      <w:r>
        <w:rPr>
          <w:highlight w:val="none"/>
        </w:rPr>
        <w:t>HDMI 音频输入/外部音频输入；</w:t>
      </w:r>
    </w:p>
    <w:p>
      <w:pPr>
        <w:widowControl w:val="0"/>
        <w:numPr>
          <w:ilvl w:val="0"/>
          <w:numId w:val="47"/>
        </w:numPr>
        <w:tabs>
          <w:tab w:val="left" w:pos="1440"/>
        </w:tabs>
        <w:spacing w:line="360" w:lineRule="auto"/>
        <w:ind w:left="1181" w:leftChars="492" w:firstLine="16" w:firstLineChars="7"/>
        <w:jc w:val="both"/>
        <w:rPr>
          <w:highlight w:val="none"/>
        </w:rPr>
      </w:pPr>
      <w:r>
        <w:rPr>
          <w:highlight w:val="none"/>
        </w:rPr>
        <w:t>六路网口输出，单台最大带载230万点</w:t>
      </w:r>
    </w:p>
    <w:p>
      <w:pPr>
        <w:widowControl w:val="0"/>
        <w:numPr>
          <w:ilvl w:val="0"/>
          <w:numId w:val="47"/>
        </w:numPr>
        <w:tabs>
          <w:tab w:val="left" w:pos="1440"/>
        </w:tabs>
        <w:spacing w:line="360" w:lineRule="auto"/>
        <w:ind w:left="1181" w:leftChars="492" w:firstLine="16" w:firstLineChars="7"/>
        <w:jc w:val="both"/>
        <w:rPr>
          <w:highlight w:val="none"/>
        </w:rPr>
      </w:pPr>
      <w:r>
        <w:rPr>
          <w:highlight w:val="none"/>
        </w:rPr>
        <w:t>支持高位阶视频输入，12bit/10bit/8bit；</w:t>
      </w:r>
    </w:p>
    <w:p>
      <w:pPr>
        <w:widowControl w:val="0"/>
        <w:numPr>
          <w:ilvl w:val="0"/>
          <w:numId w:val="47"/>
        </w:numPr>
        <w:tabs>
          <w:tab w:val="left" w:pos="1440"/>
        </w:tabs>
        <w:spacing w:line="360" w:lineRule="auto"/>
        <w:ind w:left="1181" w:leftChars="492" w:right="-9" w:firstLine="16" w:firstLineChars="7"/>
        <w:jc w:val="both"/>
        <w:rPr>
          <w:highlight w:val="none"/>
        </w:rPr>
      </w:pPr>
      <w:r>
        <w:rPr>
          <w:highlight w:val="none"/>
        </w:rPr>
        <w:t>普通视频源带载能力：1920×1200，2048×1152，2560×960；</w:t>
      </w:r>
    </w:p>
    <w:p>
      <w:pPr>
        <w:widowControl w:val="0"/>
        <w:numPr>
          <w:ilvl w:val="0"/>
          <w:numId w:val="47"/>
        </w:numPr>
        <w:tabs>
          <w:tab w:val="left" w:pos="1440"/>
        </w:tabs>
        <w:spacing w:line="360" w:lineRule="auto"/>
        <w:ind w:left="1181" w:leftChars="492" w:firstLine="16" w:firstLineChars="7"/>
        <w:jc w:val="both"/>
        <w:rPr>
          <w:highlight w:val="none"/>
        </w:rPr>
      </w:pPr>
      <w:r>
        <w:rPr>
          <w:highlight w:val="none"/>
        </w:rPr>
        <w:t>高位阶视频源带载能力：1440×900；</w:t>
      </w:r>
    </w:p>
    <w:p>
      <w:pPr>
        <w:widowControl w:val="0"/>
        <w:numPr>
          <w:ilvl w:val="0"/>
          <w:numId w:val="47"/>
        </w:numPr>
        <w:tabs>
          <w:tab w:val="left" w:pos="1440"/>
        </w:tabs>
        <w:spacing w:line="360" w:lineRule="auto"/>
        <w:ind w:left="1181" w:leftChars="492" w:firstLine="16" w:firstLineChars="7"/>
        <w:jc w:val="both"/>
        <w:rPr>
          <w:highlight w:val="none"/>
        </w:rPr>
      </w:pPr>
      <w:r>
        <w:rPr>
          <w:highlight w:val="none"/>
        </w:rPr>
        <w:t>7.18bit 灰阶处理与显示；</w:t>
      </w:r>
    </w:p>
    <w:p>
      <w:pPr>
        <w:widowControl w:val="0"/>
        <w:numPr>
          <w:ilvl w:val="0"/>
          <w:numId w:val="47"/>
        </w:numPr>
        <w:tabs>
          <w:tab w:val="left" w:pos="1440"/>
        </w:tabs>
        <w:spacing w:line="360" w:lineRule="auto"/>
        <w:ind w:left="1181" w:leftChars="492" w:firstLine="16" w:firstLineChars="7"/>
        <w:jc w:val="both"/>
        <w:rPr>
          <w:highlight w:val="none"/>
        </w:rPr>
      </w:pPr>
      <w:r>
        <w:rPr>
          <w:highlight w:val="none"/>
        </w:rPr>
        <w:t>可级联多台进行统一控制；</w:t>
      </w:r>
    </w:p>
    <w:p>
      <w:pPr>
        <w:widowControl w:val="0"/>
        <w:numPr>
          <w:ilvl w:val="0"/>
          <w:numId w:val="47"/>
        </w:numPr>
        <w:tabs>
          <w:tab w:val="left" w:pos="1440"/>
        </w:tabs>
        <w:spacing w:line="360" w:lineRule="auto"/>
        <w:ind w:left="1181" w:leftChars="492" w:firstLine="16" w:firstLineChars="7"/>
        <w:jc w:val="both"/>
        <w:rPr>
          <w:highlight w:val="none"/>
        </w:rPr>
      </w:pPr>
      <w:r>
        <w:rPr>
          <w:highlight w:val="none"/>
        </w:rPr>
        <w:t>支持视频格式：RGB，YCrCb4:2:2，YCrCb4:4:4；</w:t>
      </w:r>
    </w:p>
    <w:p>
      <w:pPr>
        <w:widowControl w:val="0"/>
        <w:numPr>
          <w:ilvl w:val="0"/>
          <w:numId w:val="47"/>
        </w:numPr>
        <w:tabs>
          <w:tab w:val="left" w:pos="1440"/>
        </w:tabs>
        <w:spacing w:line="360" w:lineRule="auto"/>
        <w:ind w:left="1181" w:leftChars="492" w:firstLine="16" w:firstLineChars="7"/>
        <w:jc w:val="both"/>
        <w:rPr>
          <w:highlight w:val="none"/>
        </w:rPr>
      </w:pPr>
      <w:r>
        <w:rPr>
          <w:highlight w:val="none"/>
        </w:rPr>
        <w:t>标准 1u 机箱设计，独立供电；</w:t>
      </w:r>
    </w:p>
    <w:p>
      <w:pPr>
        <w:widowControl w:val="0"/>
        <w:numPr>
          <w:ilvl w:val="0"/>
          <w:numId w:val="47"/>
        </w:numPr>
        <w:tabs>
          <w:tab w:val="left" w:pos="1440"/>
        </w:tabs>
        <w:spacing w:line="360" w:lineRule="auto"/>
        <w:ind w:left="1181" w:leftChars="492" w:right="-9" w:firstLine="16" w:firstLineChars="7"/>
        <w:jc w:val="both"/>
        <w:rPr>
          <w:highlight w:val="none"/>
        </w:rPr>
      </w:pPr>
      <w:r>
        <w:rPr>
          <w:highlight w:val="none"/>
        </w:rPr>
        <w:t>同步处理技术，独有的同步处理技术，可以解决显示屏因拼接带载而带来的撕裂问题</w:t>
      </w:r>
    </w:p>
    <w:p>
      <w:pPr>
        <w:widowControl w:val="0"/>
        <w:numPr>
          <w:ilvl w:val="0"/>
          <w:numId w:val="47"/>
        </w:numPr>
        <w:tabs>
          <w:tab w:val="left" w:pos="1440"/>
        </w:tabs>
        <w:spacing w:line="360" w:lineRule="auto"/>
        <w:ind w:left="1181" w:leftChars="492" w:right="-9" w:firstLine="16" w:firstLineChars="7"/>
        <w:jc w:val="both"/>
        <w:rPr>
          <w:highlight w:val="none"/>
        </w:rPr>
      </w:pPr>
      <w:r>
        <w:rPr>
          <w:highlight w:val="none"/>
        </w:rPr>
        <w:t>具备自动备份功能---让系统不担心信号中断问题，现场使用更稳定</w:t>
      </w:r>
    </w:p>
    <w:p>
      <w:pPr>
        <w:widowControl w:val="0"/>
        <w:numPr>
          <w:ilvl w:val="0"/>
          <w:numId w:val="47"/>
        </w:numPr>
        <w:tabs>
          <w:tab w:val="left" w:pos="1440"/>
        </w:tabs>
        <w:spacing w:line="360" w:lineRule="auto"/>
        <w:ind w:left="1181" w:leftChars="492" w:right="-9" w:firstLine="16" w:firstLineChars="7"/>
        <w:jc w:val="both"/>
        <w:rPr>
          <w:highlight w:val="none"/>
        </w:rPr>
      </w:pPr>
      <w:r>
        <w:rPr>
          <w:highlight w:val="none"/>
        </w:rPr>
        <w:t>设备具有接地和连接保护措施、设备耐腐蚀、具有一次电路过流保护和接地故障保护</w:t>
      </w:r>
    </w:p>
    <w:p>
      <w:pPr>
        <w:widowControl w:val="0"/>
        <w:numPr>
          <w:ilvl w:val="0"/>
          <w:numId w:val="47"/>
        </w:numPr>
        <w:tabs>
          <w:tab w:val="left" w:pos="1440"/>
        </w:tabs>
        <w:spacing w:line="360" w:lineRule="auto"/>
        <w:ind w:left="1181" w:leftChars="492" w:right="-9" w:firstLine="16" w:firstLineChars="7"/>
        <w:jc w:val="both"/>
        <w:rPr>
          <w:highlight w:val="none"/>
        </w:rPr>
      </w:pPr>
      <w:r>
        <w:rPr>
          <w:highlight w:val="none"/>
        </w:rPr>
        <w:t>设备所采取的器具插座、电源软线、交流电源软线均通过3C认证</w:t>
      </w:r>
    </w:p>
    <w:p>
      <w:pPr>
        <w:numPr>
          <w:ilvl w:val="0"/>
          <w:numId w:val="46"/>
        </w:numPr>
        <w:spacing w:after="0" w:line="360" w:lineRule="auto"/>
        <w:ind w:right="12" w:firstLine="1015"/>
        <w:rPr>
          <w:color w:val="auto"/>
          <w:highlight w:val="none"/>
        </w:rPr>
      </w:pPr>
      <w:r>
        <w:rPr>
          <w:rFonts w:hint="eastAsia"/>
          <w:color w:val="auto"/>
          <w:highlight w:val="none"/>
        </w:rPr>
        <w:t>视频处理器：</w:t>
      </w:r>
    </w:p>
    <w:p>
      <w:pPr>
        <w:widowControl w:val="0"/>
        <w:numPr>
          <w:ilvl w:val="0"/>
          <w:numId w:val="48"/>
        </w:numPr>
        <w:spacing w:line="360" w:lineRule="auto"/>
        <w:ind w:left="1200" w:right="471" w:firstLine="0"/>
        <w:jc w:val="both"/>
        <w:rPr>
          <w:highlight w:val="none"/>
        </w:rPr>
      </w:pPr>
      <w:r>
        <w:rPr>
          <w:rFonts w:hint="eastAsia"/>
          <w:highlight w:val="none"/>
        </w:rPr>
        <w:t>不少于4路HDMI信号输入，4路HDMI信号输出。</w:t>
      </w:r>
    </w:p>
    <w:p>
      <w:pPr>
        <w:widowControl w:val="0"/>
        <w:numPr>
          <w:ilvl w:val="0"/>
          <w:numId w:val="48"/>
        </w:numPr>
        <w:spacing w:line="360" w:lineRule="auto"/>
        <w:ind w:left="1200" w:right="471" w:firstLine="0"/>
        <w:jc w:val="both"/>
        <w:rPr>
          <w:highlight w:val="none"/>
        </w:rPr>
      </w:pPr>
      <w:r>
        <w:rPr>
          <w:highlight w:val="none"/>
        </w:rPr>
        <w:t>产品为 FPGA 纯硬件架构，没有内置任何操作系统，防止计算机出现蓝屏、死机等及设备运行不稳定问题。</w:t>
      </w:r>
    </w:p>
    <w:p>
      <w:pPr>
        <w:widowControl w:val="0"/>
        <w:numPr>
          <w:ilvl w:val="0"/>
          <w:numId w:val="48"/>
        </w:numPr>
        <w:spacing w:line="360" w:lineRule="auto"/>
        <w:ind w:left="1200" w:right="471" w:firstLine="0"/>
        <w:jc w:val="both"/>
        <w:rPr>
          <w:highlight w:val="none"/>
        </w:rPr>
      </w:pPr>
      <w:r>
        <w:rPr>
          <w:highlight w:val="none"/>
        </w:rPr>
        <w:t>控制板卡支持 RS232串口和网络TCP/IP控制</w:t>
      </w:r>
    </w:p>
    <w:p>
      <w:pPr>
        <w:widowControl w:val="0"/>
        <w:numPr>
          <w:ilvl w:val="0"/>
          <w:numId w:val="48"/>
        </w:numPr>
        <w:spacing w:line="360" w:lineRule="auto"/>
        <w:ind w:left="1200" w:right="471" w:firstLine="0"/>
        <w:jc w:val="both"/>
        <w:rPr>
          <w:highlight w:val="none"/>
        </w:rPr>
      </w:pPr>
      <w:r>
        <w:rPr>
          <w:highlight w:val="none"/>
        </w:rPr>
        <w:t>支持集中采集DVI、HDMI 信号；支持DVI信号输出</w:t>
      </w:r>
    </w:p>
    <w:p>
      <w:pPr>
        <w:widowControl w:val="0"/>
        <w:numPr>
          <w:ilvl w:val="0"/>
          <w:numId w:val="48"/>
        </w:numPr>
        <w:spacing w:line="360" w:lineRule="auto"/>
        <w:ind w:left="1200" w:right="471" w:firstLine="0"/>
        <w:jc w:val="both"/>
        <w:rPr>
          <w:highlight w:val="none"/>
        </w:rPr>
      </w:pPr>
      <w:r>
        <w:rPr>
          <w:highlight w:val="none"/>
        </w:rPr>
        <w:t>单口根据带载情况支持，2图层、4图层显示；</w:t>
      </w:r>
    </w:p>
    <w:p>
      <w:pPr>
        <w:widowControl w:val="0"/>
        <w:numPr>
          <w:ilvl w:val="0"/>
          <w:numId w:val="48"/>
        </w:numPr>
        <w:spacing w:line="360" w:lineRule="auto"/>
        <w:ind w:left="1200" w:right="471" w:firstLine="0"/>
        <w:jc w:val="both"/>
        <w:rPr>
          <w:highlight w:val="none"/>
        </w:rPr>
      </w:pPr>
      <w:r>
        <w:rPr>
          <w:highlight w:val="none"/>
        </w:rPr>
        <w:t>设备可实现任意一路画面的任意比例缩放、漫游、跨屏、叠加、开窗。</w:t>
      </w:r>
    </w:p>
    <w:p>
      <w:pPr>
        <w:widowControl w:val="0"/>
        <w:numPr>
          <w:ilvl w:val="0"/>
          <w:numId w:val="48"/>
        </w:numPr>
        <w:spacing w:line="360" w:lineRule="auto"/>
        <w:ind w:left="1200" w:right="471" w:firstLine="0"/>
        <w:jc w:val="both"/>
        <w:rPr>
          <w:highlight w:val="none"/>
        </w:rPr>
      </w:pPr>
      <w:r>
        <w:rPr>
          <w:highlight w:val="none"/>
        </w:rPr>
        <w:t>支持整面多行拼接屏的画面同步功能，针对快速变化的画面不会出现撕裂、错位的现象。</w:t>
      </w:r>
    </w:p>
    <w:p>
      <w:pPr>
        <w:widowControl w:val="0"/>
        <w:numPr>
          <w:ilvl w:val="0"/>
          <w:numId w:val="48"/>
        </w:numPr>
        <w:spacing w:line="360" w:lineRule="auto"/>
        <w:ind w:left="1200" w:right="471" w:firstLine="0"/>
        <w:jc w:val="both"/>
        <w:rPr>
          <w:highlight w:val="none"/>
        </w:rPr>
      </w:pPr>
      <w:r>
        <w:rPr>
          <w:highlight w:val="none"/>
        </w:rPr>
        <w:t>具备7x24 小时长时间连续开机工作的能力。</w:t>
      </w:r>
    </w:p>
    <w:p>
      <w:pPr>
        <w:widowControl w:val="0"/>
        <w:numPr>
          <w:ilvl w:val="0"/>
          <w:numId w:val="48"/>
        </w:numPr>
        <w:spacing w:line="360" w:lineRule="auto"/>
        <w:ind w:left="1200" w:right="471" w:firstLine="0"/>
        <w:jc w:val="both"/>
        <w:rPr>
          <w:highlight w:val="none"/>
        </w:rPr>
      </w:pPr>
      <w:r>
        <w:rPr>
          <w:highlight w:val="none"/>
        </w:rPr>
        <w:t>支持场景保存及快速调用，适应于不同的应用场景。</w:t>
      </w:r>
    </w:p>
    <w:p>
      <w:pPr>
        <w:widowControl w:val="0"/>
        <w:numPr>
          <w:ilvl w:val="0"/>
          <w:numId w:val="48"/>
        </w:numPr>
        <w:spacing w:line="360" w:lineRule="auto"/>
        <w:ind w:left="1200" w:right="471" w:firstLine="0"/>
        <w:jc w:val="both"/>
        <w:rPr>
          <w:highlight w:val="none"/>
        </w:rPr>
      </w:pPr>
      <w:r>
        <w:rPr>
          <w:highlight w:val="none"/>
        </w:rPr>
        <w:t>图像信号无压缩、无失真实时传输，保证图像质量无损耗。</w:t>
      </w:r>
    </w:p>
    <w:p>
      <w:pPr>
        <w:widowControl w:val="0"/>
        <w:numPr>
          <w:ilvl w:val="0"/>
          <w:numId w:val="48"/>
        </w:numPr>
        <w:spacing w:line="360" w:lineRule="auto"/>
        <w:ind w:left="1200" w:right="471" w:firstLine="0"/>
        <w:jc w:val="both"/>
        <w:rPr>
          <w:highlight w:val="none"/>
        </w:rPr>
      </w:pPr>
      <w:r>
        <w:rPr>
          <w:highlight w:val="none"/>
        </w:rPr>
        <w:t>支持画面拼接。</w:t>
      </w:r>
    </w:p>
    <w:p>
      <w:pPr>
        <w:widowControl w:val="0"/>
        <w:spacing w:line="360" w:lineRule="auto"/>
        <w:ind w:left="1200" w:right="471" w:firstLine="0"/>
        <w:jc w:val="both"/>
        <w:rPr>
          <w:highlight w:val="none"/>
        </w:rPr>
      </w:pPr>
    </w:p>
    <w:p>
      <w:pPr>
        <w:numPr>
          <w:ilvl w:val="2"/>
          <w:numId w:val="3"/>
        </w:numPr>
        <w:spacing w:after="0" w:line="360" w:lineRule="auto"/>
        <w:ind w:left="284" w:leftChars="0" w:right="12" w:hanging="44" w:firstLineChars="0"/>
        <w:rPr>
          <w:color w:val="auto"/>
          <w:highlight w:val="none"/>
        </w:rPr>
      </w:pPr>
      <w:r>
        <w:rPr>
          <w:rFonts w:hint="eastAsia"/>
          <w:color w:val="auto"/>
          <w:highlight w:val="none"/>
        </w:rPr>
        <w:t>高清小间距</w:t>
      </w:r>
      <w:r>
        <w:rPr>
          <w:color w:val="auto"/>
          <w:highlight w:val="none"/>
        </w:rPr>
        <w:t>LED</w:t>
      </w:r>
      <w:r>
        <w:rPr>
          <w:rFonts w:hint="eastAsia"/>
          <w:color w:val="auto"/>
          <w:highlight w:val="none"/>
        </w:rPr>
        <w:t>（22层会议室）技术要求</w:t>
      </w:r>
    </w:p>
    <w:p>
      <w:pPr>
        <w:spacing w:line="360" w:lineRule="auto"/>
        <w:ind w:left="1418" w:right="12" w:firstLine="0"/>
        <w:rPr>
          <w:color w:val="auto"/>
          <w:highlight w:val="none"/>
        </w:rPr>
      </w:pPr>
      <w:r>
        <w:rPr>
          <w:color w:val="auto"/>
          <w:highlight w:val="none"/>
        </w:rPr>
        <w:t>1. 显示尺寸(宽×高)≥3840  mm× 2400 mm;;</w:t>
      </w:r>
    </w:p>
    <w:p>
      <w:pPr>
        <w:spacing w:line="360" w:lineRule="auto"/>
        <w:ind w:left="1418" w:right="12" w:firstLine="0"/>
        <w:rPr>
          <w:color w:val="auto"/>
          <w:highlight w:val="none"/>
        </w:rPr>
      </w:pPr>
      <w:r>
        <w:rPr>
          <w:color w:val="auto"/>
          <w:highlight w:val="none"/>
        </w:rPr>
        <w:t>2. 屏幕分辨率(宽×高)≥</w:t>
      </w:r>
      <w:r>
        <w:rPr>
          <w:rFonts w:hint="eastAsia"/>
          <w:color w:val="auto"/>
          <w:highlight w:val="none"/>
        </w:rPr>
        <w:t>2496*1560</w:t>
      </w:r>
      <w:r>
        <w:rPr>
          <w:color w:val="auto"/>
          <w:highlight w:val="none"/>
        </w:rPr>
        <w:t>;</w:t>
      </w:r>
    </w:p>
    <w:p>
      <w:pPr>
        <w:spacing w:line="360" w:lineRule="auto"/>
        <w:ind w:left="1418" w:right="12" w:firstLine="0"/>
        <w:rPr>
          <w:color w:val="auto"/>
          <w:highlight w:val="none"/>
        </w:rPr>
      </w:pPr>
      <w:r>
        <w:rPr>
          <w:color w:val="auto"/>
          <w:highlight w:val="none"/>
        </w:rPr>
        <w:t>3. 像素间距＜</w:t>
      </w:r>
      <w:r>
        <w:rPr>
          <w:rFonts w:hint="eastAsia"/>
          <w:color w:val="auto"/>
          <w:highlight w:val="none"/>
        </w:rPr>
        <w:t>1.54</w:t>
      </w:r>
      <w:r>
        <w:rPr>
          <w:color w:val="auto"/>
          <w:highlight w:val="none"/>
        </w:rPr>
        <w:t>mm;</w:t>
      </w:r>
    </w:p>
    <w:p>
      <w:pPr>
        <w:spacing w:line="360" w:lineRule="auto"/>
        <w:ind w:left="1418" w:right="12" w:firstLine="0"/>
        <w:rPr>
          <w:color w:val="auto"/>
          <w:highlight w:val="none"/>
        </w:rPr>
      </w:pPr>
      <w:r>
        <w:rPr>
          <w:rFonts w:hint="eastAsia"/>
          <w:color w:val="auto"/>
          <w:highlight w:val="none"/>
        </w:rPr>
        <w:t>4. 整机亮度均匀性≥98%；整机色度均匀性≥96%；</w:t>
      </w:r>
    </w:p>
    <w:p>
      <w:pPr>
        <w:spacing w:line="360" w:lineRule="auto"/>
        <w:ind w:left="1418" w:right="12" w:firstLine="0"/>
        <w:rPr>
          <w:color w:val="auto"/>
          <w:highlight w:val="none"/>
        </w:rPr>
      </w:pPr>
      <w:r>
        <w:rPr>
          <w:rFonts w:hint="eastAsia"/>
          <w:color w:val="auto"/>
          <w:highlight w:val="none"/>
        </w:rPr>
        <w:t>5. 对比度≥6000：1；</w:t>
      </w:r>
    </w:p>
    <w:p>
      <w:pPr>
        <w:spacing w:line="360" w:lineRule="auto"/>
        <w:ind w:left="1418" w:right="12" w:firstLine="0"/>
        <w:rPr>
          <w:color w:val="auto"/>
          <w:highlight w:val="none"/>
        </w:rPr>
      </w:pPr>
      <w:r>
        <w:rPr>
          <w:rFonts w:hint="eastAsia"/>
          <w:color w:val="auto"/>
          <w:highlight w:val="none"/>
        </w:rPr>
        <w:t>6. 像素中心距相对偏差≤2%；</w:t>
      </w:r>
    </w:p>
    <w:p>
      <w:pPr>
        <w:spacing w:line="360" w:lineRule="auto"/>
        <w:ind w:left="1418" w:right="12" w:firstLine="0"/>
        <w:rPr>
          <w:color w:val="auto"/>
          <w:highlight w:val="none"/>
        </w:rPr>
      </w:pPr>
      <w:r>
        <w:rPr>
          <w:rFonts w:hint="eastAsia"/>
          <w:color w:val="auto"/>
          <w:highlight w:val="none"/>
        </w:rPr>
        <w:t>7. LED像素失控率≤1/1000000；</w:t>
      </w:r>
    </w:p>
    <w:p>
      <w:pPr>
        <w:spacing w:line="360" w:lineRule="auto"/>
        <w:ind w:left="1418" w:right="12" w:firstLine="0"/>
        <w:rPr>
          <w:color w:val="auto"/>
          <w:highlight w:val="none"/>
        </w:rPr>
      </w:pPr>
      <w:r>
        <w:rPr>
          <w:rFonts w:hint="eastAsia"/>
          <w:color w:val="auto"/>
          <w:highlight w:val="none"/>
        </w:rPr>
        <w:t>8. 噪音测试≤25dB(A)（20cm）;≤5dB(A) （200cm）；</w:t>
      </w:r>
    </w:p>
    <w:p>
      <w:pPr>
        <w:spacing w:line="360" w:lineRule="auto"/>
        <w:ind w:left="1418" w:right="12" w:firstLine="0"/>
        <w:rPr>
          <w:color w:val="auto"/>
          <w:highlight w:val="none"/>
        </w:rPr>
      </w:pPr>
      <w:r>
        <w:rPr>
          <w:rFonts w:hint="eastAsia"/>
          <w:color w:val="auto"/>
          <w:highlight w:val="none"/>
        </w:rPr>
        <w:t>9</w:t>
      </w:r>
      <w:r>
        <w:rPr>
          <w:color w:val="auto"/>
          <w:highlight w:val="none"/>
        </w:rPr>
        <w:t xml:space="preserve">. </w:t>
      </w:r>
      <w:r>
        <w:rPr>
          <w:rFonts w:hint="eastAsia"/>
          <w:color w:val="auto"/>
          <w:highlight w:val="none"/>
        </w:rPr>
        <w:t>LED灯板PCB板材料防火等级满足V-0级；</w:t>
      </w:r>
    </w:p>
    <w:p>
      <w:pPr>
        <w:spacing w:line="360" w:lineRule="auto"/>
        <w:ind w:left="1418" w:right="12" w:firstLine="0"/>
        <w:rPr>
          <w:color w:val="auto"/>
          <w:highlight w:val="none"/>
        </w:rPr>
      </w:pPr>
      <w:r>
        <w:rPr>
          <w:rFonts w:hint="eastAsia"/>
          <w:color w:val="auto"/>
          <w:highlight w:val="none"/>
        </w:rPr>
        <w:t>10.采用直接贴合自然散热技术、无风扇设计；</w:t>
      </w:r>
    </w:p>
    <w:p>
      <w:pPr>
        <w:spacing w:line="360" w:lineRule="auto"/>
        <w:ind w:left="1418" w:right="12" w:firstLine="0"/>
        <w:rPr>
          <w:color w:val="auto"/>
          <w:highlight w:val="none"/>
        </w:rPr>
      </w:pPr>
      <w:r>
        <w:rPr>
          <w:rFonts w:hint="eastAsia"/>
          <w:color w:val="auto"/>
          <w:highlight w:val="none"/>
        </w:rPr>
        <w:t>11.设备有任何硬件问题，能在不拆装箱体的基础上，支持全前维护</w:t>
      </w:r>
    </w:p>
    <w:p>
      <w:pPr>
        <w:spacing w:line="360" w:lineRule="auto"/>
        <w:ind w:left="1418" w:right="12" w:firstLine="0"/>
        <w:rPr>
          <w:color w:val="auto"/>
          <w:highlight w:val="none"/>
        </w:rPr>
      </w:pPr>
      <w:r>
        <w:rPr>
          <w:rFonts w:hint="eastAsia"/>
          <w:color w:val="auto"/>
          <w:highlight w:val="none"/>
        </w:rPr>
        <w:t>12.无风扇设计,内置静音电源;</w:t>
      </w:r>
    </w:p>
    <w:p>
      <w:pPr>
        <w:numPr>
          <w:ilvl w:val="255"/>
          <w:numId w:val="0"/>
        </w:numPr>
        <w:spacing w:after="0" w:line="360" w:lineRule="auto"/>
        <w:ind w:left="1440" w:right="12"/>
        <w:rPr>
          <w:highlight w:val="none"/>
        </w:rPr>
      </w:pPr>
      <w:r>
        <w:rPr>
          <w:rFonts w:hint="eastAsia"/>
          <w:highlight w:val="none"/>
        </w:rPr>
        <w:t>13.发送盒：</w:t>
      </w:r>
    </w:p>
    <w:p>
      <w:pPr>
        <w:widowControl w:val="0"/>
        <w:numPr>
          <w:ilvl w:val="0"/>
          <w:numId w:val="49"/>
        </w:numPr>
        <w:spacing w:line="360" w:lineRule="auto"/>
        <w:ind w:leftChars="177" w:right="-9" w:firstLine="1012" w:firstLineChars="422"/>
        <w:jc w:val="both"/>
        <w:rPr>
          <w:highlight w:val="none"/>
        </w:rPr>
      </w:pPr>
      <w:r>
        <w:rPr>
          <w:highlight w:val="none"/>
        </w:rPr>
        <w:t>HDMI/DVI 视频输入；</w:t>
      </w:r>
    </w:p>
    <w:p>
      <w:pPr>
        <w:widowControl w:val="0"/>
        <w:numPr>
          <w:ilvl w:val="0"/>
          <w:numId w:val="49"/>
        </w:numPr>
        <w:spacing w:line="360" w:lineRule="auto"/>
        <w:ind w:leftChars="177" w:right="-9" w:firstLine="1012" w:firstLineChars="422"/>
        <w:jc w:val="both"/>
        <w:rPr>
          <w:highlight w:val="none"/>
        </w:rPr>
      </w:pPr>
      <w:r>
        <w:rPr>
          <w:highlight w:val="none"/>
        </w:rPr>
        <w:t>HDMI 音频输入/外部音频输入；</w:t>
      </w:r>
    </w:p>
    <w:p>
      <w:pPr>
        <w:widowControl w:val="0"/>
        <w:numPr>
          <w:ilvl w:val="0"/>
          <w:numId w:val="49"/>
        </w:numPr>
        <w:spacing w:line="360" w:lineRule="auto"/>
        <w:ind w:leftChars="177" w:right="-9" w:firstLine="1012" w:firstLineChars="422"/>
        <w:jc w:val="both"/>
        <w:rPr>
          <w:highlight w:val="none"/>
        </w:rPr>
      </w:pPr>
      <w:r>
        <w:rPr>
          <w:highlight w:val="none"/>
        </w:rPr>
        <w:t>六路网口输出，单台最大带载230万点</w:t>
      </w:r>
    </w:p>
    <w:p>
      <w:pPr>
        <w:widowControl w:val="0"/>
        <w:numPr>
          <w:ilvl w:val="0"/>
          <w:numId w:val="49"/>
        </w:numPr>
        <w:spacing w:line="360" w:lineRule="auto"/>
        <w:ind w:leftChars="177" w:right="-9" w:firstLine="1012" w:firstLineChars="422"/>
        <w:jc w:val="both"/>
        <w:rPr>
          <w:highlight w:val="none"/>
        </w:rPr>
      </w:pPr>
      <w:r>
        <w:rPr>
          <w:highlight w:val="none"/>
        </w:rPr>
        <w:t>支持高位阶视频输入，12bit/10bit/8bit；</w:t>
      </w:r>
    </w:p>
    <w:p>
      <w:pPr>
        <w:widowControl w:val="0"/>
        <w:numPr>
          <w:ilvl w:val="0"/>
          <w:numId w:val="49"/>
        </w:numPr>
        <w:spacing w:line="360" w:lineRule="auto"/>
        <w:ind w:leftChars="177" w:right="-9" w:firstLine="1012" w:firstLineChars="422"/>
        <w:jc w:val="both"/>
        <w:rPr>
          <w:highlight w:val="none"/>
        </w:rPr>
      </w:pPr>
      <w:r>
        <w:rPr>
          <w:highlight w:val="none"/>
        </w:rPr>
        <w:t>普通视频源带载能力：1920×1200，2048×1152，2560×960；</w:t>
      </w:r>
    </w:p>
    <w:p>
      <w:pPr>
        <w:widowControl w:val="0"/>
        <w:numPr>
          <w:ilvl w:val="0"/>
          <w:numId w:val="49"/>
        </w:numPr>
        <w:spacing w:line="360" w:lineRule="auto"/>
        <w:ind w:leftChars="177" w:right="-9" w:firstLine="1012" w:firstLineChars="422"/>
        <w:jc w:val="both"/>
        <w:rPr>
          <w:highlight w:val="none"/>
        </w:rPr>
      </w:pPr>
      <w:r>
        <w:rPr>
          <w:highlight w:val="none"/>
        </w:rPr>
        <w:t>高位阶视频源带载能力：1440×900；</w:t>
      </w:r>
    </w:p>
    <w:p>
      <w:pPr>
        <w:widowControl w:val="0"/>
        <w:numPr>
          <w:ilvl w:val="0"/>
          <w:numId w:val="49"/>
        </w:numPr>
        <w:spacing w:line="360" w:lineRule="auto"/>
        <w:ind w:leftChars="177" w:right="-9" w:firstLine="1012" w:firstLineChars="422"/>
        <w:jc w:val="both"/>
        <w:rPr>
          <w:highlight w:val="none"/>
        </w:rPr>
      </w:pPr>
      <w:r>
        <w:rPr>
          <w:highlight w:val="none"/>
        </w:rPr>
        <w:t>7.18bit 灰阶处理与显示；</w:t>
      </w:r>
    </w:p>
    <w:p>
      <w:pPr>
        <w:widowControl w:val="0"/>
        <w:numPr>
          <w:ilvl w:val="0"/>
          <w:numId w:val="49"/>
        </w:numPr>
        <w:spacing w:line="360" w:lineRule="auto"/>
        <w:ind w:leftChars="177" w:right="-9" w:firstLine="1012" w:firstLineChars="422"/>
        <w:jc w:val="both"/>
        <w:rPr>
          <w:highlight w:val="none"/>
        </w:rPr>
      </w:pPr>
      <w:r>
        <w:rPr>
          <w:highlight w:val="none"/>
        </w:rPr>
        <w:t>可级联多台进行统一控制；</w:t>
      </w:r>
    </w:p>
    <w:p>
      <w:pPr>
        <w:widowControl w:val="0"/>
        <w:numPr>
          <w:ilvl w:val="0"/>
          <w:numId w:val="49"/>
        </w:numPr>
        <w:spacing w:line="360" w:lineRule="auto"/>
        <w:ind w:leftChars="177" w:right="-9" w:firstLine="1012" w:firstLineChars="422"/>
        <w:jc w:val="both"/>
        <w:rPr>
          <w:highlight w:val="none"/>
        </w:rPr>
      </w:pPr>
      <w:r>
        <w:rPr>
          <w:highlight w:val="none"/>
        </w:rPr>
        <w:t>支持视频格式：RGB，YCrCb4:2:2，YCrCb4:4:4；</w:t>
      </w:r>
    </w:p>
    <w:p>
      <w:pPr>
        <w:widowControl w:val="0"/>
        <w:numPr>
          <w:ilvl w:val="0"/>
          <w:numId w:val="49"/>
        </w:numPr>
        <w:spacing w:line="360" w:lineRule="auto"/>
        <w:ind w:leftChars="177" w:right="-9" w:firstLine="1012" w:firstLineChars="422"/>
        <w:jc w:val="both"/>
        <w:rPr>
          <w:highlight w:val="none"/>
        </w:rPr>
      </w:pPr>
      <w:r>
        <w:rPr>
          <w:highlight w:val="none"/>
        </w:rPr>
        <w:t>标准 1u 机箱设计，独立供电；</w:t>
      </w:r>
    </w:p>
    <w:p>
      <w:pPr>
        <w:widowControl w:val="0"/>
        <w:numPr>
          <w:ilvl w:val="0"/>
          <w:numId w:val="49"/>
        </w:numPr>
        <w:spacing w:line="360" w:lineRule="auto"/>
        <w:ind w:left="1423" w:leftChars="593" w:right="-9" w:firstLine="12" w:firstLineChars="5"/>
        <w:jc w:val="both"/>
        <w:rPr>
          <w:highlight w:val="none"/>
        </w:rPr>
      </w:pPr>
      <w:r>
        <w:rPr>
          <w:highlight w:val="none"/>
        </w:rPr>
        <w:t>同步处理技术，独有的同步处理技术，可以解决显示屏因拼接带载而带来的撕裂问题</w:t>
      </w:r>
    </w:p>
    <w:p>
      <w:pPr>
        <w:widowControl w:val="0"/>
        <w:numPr>
          <w:ilvl w:val="0"/>
          <w:numId w:val="49"/>
        </w:numPr>
        <w:spacing w:line="360" w:lineRule="auto"/>
        <w:ind w:left="1423" w:leftChars="593" w:right="-9" w:firstLine="12" w:firstLineChars="5"/>
        <w:jc w:val="both"/>
        <w:rPr>
          <w:highlight w:val="none"/>
        </w:rPr>
      </w:pPr>
      <w:r>
        <w:rPr>
          <w:highlight w:val="none"/>
        </w:rPr>
        <w:t>具备自动备份功能---让系统不担心信号中断问题，现场使用更稳定</w:t>
      </w:r>
    </w:p>
    <w:p>
      <w:pPr>
        <w:widowControl w:val="0"/>
        <w:numPr>
          <w:ilvl w:val="0"/>
          <w:numId w:val="49"/>
        </w:numPr>
        <w:spacing w:line="360" w:lineRule="auto"/>
        <w:ind w:left="1423" w:leftChars="593" w:right="-9" w:firstLine="12" w:firstLineChars="5"/>
        <w:jc w:val="both"/>
        <w:rPr>
          <w:highlight w:val="none"/>
        </w:rPr>
      </w:pPr>
      <w:r>
        <w:rPr>
          <w:highlight w:val="none"/>
        </w:rPr>
        <w:t>设备具有接地和连接保护措施、设备耐腐蚀、具有一次电路过流保护和接地故障保护</w:t>
      </w:r>
    </w:p>
    <w:p>
      <w:pPr>
        <w:widowControl w:val="0"/>
        <w:numPr>
          <w:ilvl w:val="0"/>
          <w:numId w:val="49"/>
        </w:numPr>
        <w:spacing w:line="360" w:lineRule="auto"/>
        <w:ind w:left="1423" w:leftChars="593" w:right="-9" w:firstLine="12" w:firstLineChars="5"/>
        <w:jc w:val="both"/>
        <w:rPr>
          <w:highlight w:val="none"/>
        </w:rPr>
      </w:pPr>
      <w:r>
        <w:rPr>
          <w:highlight w:val="none"/>
        </w:rPr>
        <w:t>绝缘材料未使用石棉或者吸湿性材料用于绝缘，同时通过在30℃,95%R.H的环境下经过,48h的湿热处理</w:t>
      </w:r>
    </w:p>
    <w:p>
      <w:pPr>
        <w:spacing w:after="0" w:line="360" w:lineRule="auto"/>
        <w:ind w:left="1423" w:right="12" w:firstLine="0"/>
        <w:rPr>
          <w:highlight w:val="none"/>
        </w:rPr>
      </w:pPr>
      <w:r>
        <w:rPr>
          <w:rFonts w:hint="eastAsia"/>
          <w:highlight w:val="none"/>
        </w:rPr>
        <w:t>18.视频处理器：</w:t>
      </w:r>
    </w:p>
    <w:p>
      <w:pPr>
        <w:widowControl w:val="0"/>
        <w:numPr>
          <w:ilvl w:val="0"/>
          <w:numId w:val="50"/>
        </w:numPr>
        <w:spacing w:line="360" w:lineRule="auto"/>
        <w:ind w:left="1440" w:right="-9" w:firstLine="0"/>
        <w:jc w:val="both"/>
        <w:rPr>
          <w:highlight w:val="none"/>
        </w:rPr>
      </w:pPr>
      <w:r>
        <w:rPr>
          <w:rFonts w:hint="eastAsia"/>
          <w:highlight w:val="none"/>
        </w:rPr>
        <w:t>不少于4路HDMI信号输入，4路HDMI信号输出。</w:t>
      </w:r>
    </w:p>
    <w:p>
      <w:pPr>
        <w:widowControl w:val="0"/>
        <w:numPr>
          <w:ilvl w:val="0"/>
          <w:numId w:val="50"/>
        </w:numPr>
        <w:spacing w:line="360" w:lineRule="auto"/>
        <w:ind w:left="1440" w:right="-9" w:firstLine="0"/>
        <w:jc w:val="both"/>
        <w:rPr>
          <w:highlight w:val="none"/>
        </w:rPr>
      </w:pPr>
      <w:r>
        <w:rPr>
          <w:highlight w:val="none"/>
        </w:rPr>
        <w:t>产品为 FPGA 纯硬件架构，没有内置任何操作系统，防止计算机出现蓝屏、死机等及设备运行不稳定问题。</w:t>
      </w:r>
    </w:p>
    <w:p>
      <w:pPr>
        <w:widowControl w:val="0"/>
        <w:numPr>
          <w:ilvl w:val="0"/>
          <w:numId w:val="50"/>
        </w:numPr>
        <w:spacing w:line="360" w:lineRule="auto"/>
        <w:ind w:left="1440" w:right="-9" w:firstLine="0"/>
        <w:jc w:val="both"/>
        <w:rPr>
          <w:highlight w:val="none"/>
        </w:rPr>
      </w:pPr>
      <w:r>
        <w:rPr>
          <w:highlight w:val="none"/>
        </w:rPr>
        <w:t>控制板卡支持 RS232串口和网络TCP/IP控制</w:t>
      </w:r>
    </w:p>
    <w:p>
      <w:pPr>
        <w:widowControl w:val="0"/>
        <w:numPr>
          <w:ilvl w:val="0"/>
          <w:numId w:val="50"/>
        </w:numPr>
        <w:spacing w:line="360" w:lineRule="auto"/>
        <w:ind w:left="1440" w:right="-9" w:firstLine="0"/>
        <w:jc w:val="both"/>
        <w:rPr>
          <w:highlight w:val="none"/>
        </w:rPr>
      </w:pPr>
      <w:r>
        <w:rPr>
          <w:highlight w:val="none"/>
        </w:rPr>
        <w:t>支持集中采集DVI、HDMI 信号；支持DVI信号输出</w:t>
      </w:r>
    </w:p>
    <w:p>
      <w:pPr>
        <w:widowControl w:val="0"/>
        <w:numPr>
          <w:ilvl w:val="0"/>
          <w:numId w:val="50"/>
        </w:numPr>
        <w:spacing w:line="360" w:lineRule="auto"/>
        <w:ind w:left="1440" w:right="-9" w:firstLine="0"/>
        <w:jc w:val="both"/>
        <w:rPr>
          <w:highlight w:val="none"/>
        </w:rPr>
      </w:pPr>
      <w:r>
        <w:rPr>
          <w:highlight w:val="none"/>
        </w:rPr>
        <w:t>单口根据带载情况支持，2图层、4图层显示；</w:t>
      </w:r>
    </w:p>
    <w:p>
      <w:pPr>
        <w:widowControl w:val="0"/>
        <w:numPr>
          <w:ilvl w:val="0"/>
          <w:numId w:val="50"/>
        </w:numPr>
        <w:spacing w:line="360" w:lineRule="auto"/>
        <w:ind w:left="1440" w:right="-9" w:firstLine="0"/>
        <w:jc w:val="both"/>
        <w:rPr>
          <w:highlight w:val="none"/>
        </w:rPr>
      </w:pPr>
      <w:r>
        <w:rPr>
          <w:highlight w:val="none"/>
        </w:rPr>
        <w:t>设备可实现任意一路画面的任意比例缩放、漫游、跨屏、叠加、开窗。</w:t>
      </w:r>
    </w:p>
    <w:p>
      <w:pPr>
        <w:widowControl w:val="0"/>
        <w:numPr>
          <w:ilvl w:val="0"/>
          <w:numId w:val="50"/>
        </w:numPr>
        <w:spacing w:line="360" w:lineRule="auto"/>
        <w:ind w:left="1440" w:right="-9" w:firstLine="0"/>
        <w:jc w:val="both"/>
        <w:rPr>
          <w:highlight w:val="none"/>
        </w:rPr>
      </w:pPr>
      <w:r>
        <w:rPr>
          <w:highlight w:val="none"/>
        </w:rPr>
        <w:t>支持整面多行拼接屏的画面同步功能，针对快速变化的画面不会出现撕裂、错位的现象。</w:t>
      </w:r>
    </w:p>
    <w:p>
      <w:pPr>
        <w:widowControl w:val="0"/>
        <w:numPr>
          <w:ilvl w:val="0"/>
          <w:numId w:val="50"/>
        </w:numPr>
        <w:spacing w:line="360" w:lineRule="auto"/>
        <w:ind w:left="1440" w:right="-9" w:firstLine="0"/>
        <w:jc w:val="both"/>
        <w:rPr>
          <w:highlight w:val="none"/>
        </w:rPr>
      </w:pPr>
      <w:r>
        <w:rPr>
          <w:highlight w:val="none"/>
        </w:rPr>
        <w:t>具备7x24 小时长时间连续开机工作的能力。</w:t>
      </w:r>
    </w:p>
    <w:p>
      <w:pPr>
        <w:widowControl w:val="0"/>
        <w:numPr>
          <w:ilvl w:val="0"/>
          <w:numId w:val="50"/>
        </w:numPr>
        <w:spacing w:line="360" w:lineRule="auto"/>
        <w:ind w:left="1440" w:right="-9" w:firstLine="0"/>
        <w:jc w:val="both"/>
        <w:rPr>
          <w:highlight w:val="none"/>
        </w:rPr>
      </w:pPr>
      <w:r>
        <w:rPr>
          <w:highlight w:val="none"/>
        </w:rPr>
        <w:t>支持场景保存及快速调用，适应于不同的应用场景。</w:t>
      </w:r>
    </w:p>
    <w:p>
      <w:pPr>
        <w:widowControl w:val="0"/>
        <w:numPr>
          <w:ilvl w:val="0"/>
          <w:numId w:val="50"/>
        </w:numPr>
        <w:spacing w:line="360" w:lineRule="auto"/>
        <w:ind w:left="1440" w:right="-9" w:firstLine="0"/>
        <w:jc w:val="both"/>
        <w:rPr>
          <w:highlight w:val="none"/>
        </w:rPr>
      </w:pPr>
      <w:r>
        <w:rPr>
          <w:highlight w:val="none"/>
        </w:rPr>
        <w:t>图像信号无压缩、无失真实时传输，保证图像质量无损耗。</w:t>
      </w:r>
    </w:p>
    <w:p>
      <w:pPr>
        <w:widowControl w:val="0"/>
        <w:numPr>
          <w:ilvl w:val="0"/>
          <w:numId w:val="50"/>
        </w:numPr>
        <w:spacing w:line="360" w:lineRule="auto"/>
        <w:ind w:left="1440" w:right="-9" w:firstLine="0"/>
        <w:jc w:val="both"/>
        <w:rPr>
          <w:highlight w:val="none"/>
        </w:rPr>
      </w:pPr>
      <w:r>
        <w:rPr>
          <w:highlight w:val="none"/>
        </w:rPr>
        <w:t>支持画面拼接。</w:t>
      </w:r>
    </w:p>
    <w:p>
      <w:pPr>
        <w:numPr>
          <w:ilvl w:val="255"/>
          <w:numId w:val="0"/>
        </w:numPr>
        <w:spacing w:after="0" w:line="360" w:lineRule="auto"/>
        <w:ind w:left="1440" w:right="12"/>
        <w:rPr>
          <w:color w:val="auto"/>
          <w:highlight w:val="none"/>
        </w:rPr>
      </w:pPr>
    </w:p>
    <w:p>
      <w:pPr>
        <w:numPr>
          <w:ilvl w:val="2"/>
          <w:numId w:val="3"/>
        </w:numPr>
        <w:spacing w:after="0" w:line="360" w:lineRule="auto"/>
        <w:ind w:left="284" w:leftChars="0" w:right="12" w:hanging="44" w:firstLineChars="0"/>
        <w:rPr>
          <w:color w:val="auto"/>
          <w:highlight w:val="none"/>
        </w:rPr>
      </w:pPr>
      <w:r>
        <w:rPr>
          <w:rFonts w:hint="eastAsia"/>
          <w:color w:val="auto"/>
          <w:highlight w:val="none"/>
        </w:rPr>
        <w:t>调音台技术要求</w:t>
      </w:r>
    </w:p>
    <w:p>
      <w:pPr>
        <w:widowControl w:val="0"/>
        <w:numPr>
          <w:ilvl w:val="0"/>
          <w:numId w:val="51"/>
        </w:numPr>
        <w:tabs>
          <w:tab w:val="left" w:pos="1680"/>
        </w:tabs>
        <w:spacing w:after="0" w:line="360" w:lineRule="auto"/>
        <w:ind w:left="1440" w:leftChars="600" w:right="-9" w:firstLine="0"/>
        <w:jc w:val="both"/>
        <w:rPr>
          <w:color w:val="auto"/>
          <w:highlight w:val="none"/>
        </w:rPr>
      </w:pPr>
      <w:r>
        <w:rPr>
          <w:rFonts w:hint="eastAsia"/>
          <w:color w:val="auto"/>
          <w:highlight w:val="none"/>
        </w:rPr>
        <w:t>单声道输入通道：8路；</w:t>
      </w:r>
    </w:p>
    <w:p>
      <w:pPr>
        <w:widowControl w:val="0"/>
        <w:numPr>
          <w:ilvl w:val="0"/>
          <w:numId w:val="51"/>
        </w:numPr>
        <w:tabs>
          <w:tab w:val="left" w:pos="1680"/>
        </w:tabs>
        <w:spacing w:after="0" w:line="360" w:lineRule="auto"/>
        <w:ind w:left="1440" w:leftChars="600" w:right="-9" w:firstLine="0"/>
        <w:jc w:val="both"/>
        <w:rPr>
          <w:color w:val="auto"/>
          <w:highlight w:val="none"/>
        </w:rPr>
      </w:pPr>
      <w:r>
        <w:rPr>
          <w:rFonts w:hint="eastAsia"/>
          <w:color w:val="auto"/>
          <w:highlight w:val="none"/>
        </w:rPr>
        <w:t>立体声输入通道：2组（4路单声道）；</w:t>
      </w:r>
    </w:p>
    <w:p>
      <w:pPr>
        <w:widowControl w:val="0"/>
        <w:numPr>
          <w:ilvl w:val="0"/>
          <w:numId w:val="51"/>
        </w:numPr>
        <w:tabs>
          <w:tab w:val="left" w:pos="1680"/>
        </w:tabs>
        <w:spacing w:after="0" w:line="360" w:lineRule="auto"/>
        <w:ind w:left="1440" w:leftChars="600" w:right="-9" w:firstLine="0"/>
        <w:jc w:val="both"/>
        <w:rPr>
          <w:color w:val="auto"/>
          <w:highlight w:val="none"/>
        </w:rPr>
      </w:pPr>
      <w:r>
        <w:rPr>
          <w:rFonts w:hint="eastAsia"/>
          <w:color w:val="auto"/>
          <w:highlight w:val="none"/>
        </w:rPr>
        <w:t>单声道插入通道：8路；</w:t>
      </w:r>
    </w:p>
    <w:p>
      <w:pPr>
        <w:widowControl w:val="0"/>
        <w:numPr>
          <w:ilvl w:val="0"/>
          <w:numId w:val="51"/>
        </w:numPr>
        <w:tabs>
          <w:tab w:val="left" w:pos="1680"/>
        </w:tabs>
        <w:spacing w:after="0" w:line="360" w:lineRule="auto"/>
        <w:ind w:left="1440" w:leftChars="600" w:right="-9" w:firstLine="0"/>
        <w:jc w:val="both"/>
        <w:rPr>
          <w:color w:val="auto"/>
          <w:highlight w:val="none"/>
        </w:rPr>
      </w:pPr>
      <w:r>
        <w:rPr>
          <w:rFonts w:hint="eastAsia"/>
          <w:color w:val="auto"/>
          <w:highlight w:val="none"/>
        </w:rPr>
        <w:t>单声道话筒接口幻像电源：+48V；</w:t>
      </w:r>
    </w:p>
    <w:p>
      <w:pPr>
        <w:widowControl w:val="0"/>
        <w:numPr>
          <w:ilvl w:val="0"/>
          <w:numId w:val="51"/>
        </w:numPr>
        <w:tabs>
          <w:tab w:val="left" w:pos="1680"/>
        </w:tabs>
        <w:spacing w:after="0" w:line="360" w:lineRule="auto"/>
        <w:ind w:left="1440" w:leftChars="600" w:right="-9" w:firstLine="0"/>
        <w:jc w:val="both"/>
        <w:rPr>
          <w:color w:val="auto"/>
          <w:highlight w:val="none"/>
        </w:rPr>
      </w:pPr>
      <w:r>
        <w:rPr>
          <w:rFonts w:hint="eastAsia"/>
          <w:color w:val="auto"/>
          <w:highlight w:val="none"/>
        </w:rPr>
        <w:t>输出通道：一组立体声主输出、两路编组输出、两组辅助输出、一组立体声监听输出、一组CD/TAPE输出、USB声卡播放输出、蓝牙播放输出；频率响应：20Hz~20KHz ±0.5dB；</w:t>
      </w:r>
    </w:p>
    <w:p>
      <w:pPr>
        <w:widowControl w:val="0"/>
        <w:spacing w:after="0" w:line="360" w:lineRule="auto"/>
        <w:ind w:left="1920" w:right="-9" w:firstLine="0"/>
        <w:jc w:val="both"/>
        <w:rPr>
          <w:color w:val="auto"/>
          <w:highlight w:val="none"/>
        </w:rPr>
      </w:pPr>
    </w:p>
    <w:p>
      <w:pPr>
        <w:numPr>
          <w:ilvl w:val="2"/>
          <w:numId w:val="3"/>
        </w:numPr>
        <w:spacing w:after="0" w:line="360" w:lineRule="auto"/>
        <w:ind w:left="284" w:leftChars="0" w:right="12" w:hanging="44" w:firstLineChars="0"/>
        <w:rPr>
          <w:color w:val="auto"/>
          <w:highlight w:val="none"/>
        </w:rPr>
      </w:pPr>
      <w:r>
        <w:rPr>
          <w:rFonts w:hint="eastAsia"/>
          <w:color w:val="auto"/>
          <w:highlight w:val="none"/>
        </w:rPr>
        <w:t>会议室用24口接入交换机</w:t>
      </w:r>
    </w:p>
    <w:p>
      <w:pPr>
        <w:widowControl w:val="0"/>
        <w:numPr>
          <w:ilvl w:val="0"/>
          <w:numId w:val="52"/>
        </w:numPr>
        <w:tabs>
          <w:tab w:val="left" w:pos="1680"/>
        </w:tabs>
        <w:spacing w:after="0" w:line="360" w:lineRule="auto"/>
        <w:ind w:left="1440" w:leftChars="600" w:right="-9" w:firstLine="0"/>
        <w:jc w:val="both"/>
        <w:rPr>
          <w:color w:val="auto"/>
          <w:highlight w:val="none"/>
        </w:rPr>
      </w:pPr>
      <w:r>
        <w:rPr>
          <w:rFonts w:hint="eastAsia"/>
          <w:color w:val="auto"/>
          <w:highlight w:val="none"/>
        </w:rPr>
        <w:t>交换容量≥330Gbps</w:t>
      </w:r>
    </w:p>
    <w:p>
      <w:pPr>
        <w:widowControl w:val="0"/>
        <w:numPr>
          <w:ilvl w:val="0"/>
          <w:numId w:val="52"/>
        </w:numPr>
        <w:tabs>
          <w:tab w:val="left" w:pos="1680"/>
        </w:tabs>
        <w:spacing w:after="0" w:line="360" w:lineRule="auto"/>
        <w:ind w:left="1440" w:leftChars="600" w:right="-9" w:firstLine="0"/>
        <w:jc w:val="both"/>
        <w:rPr>
          <w:color w:val="auto"/>
          <w:highlight w:val="none"/>
        </w:rPr>
      </w:pPr>
      <w:r>
        <w:rPr>
          <w:rFonts w:hint="eastAsia"/>
          <w:color w:val="auto"/>
          <w:highlight w:val="none"/>
        </w:rPr>
        <w:t xml:space="preserve">转发性能≥51Mpps </w:t>
      </w:r>
    </w:p>
    <w:p>
      <w:pPr>
        <w:widowControl w:val="0"/>
        <w:numPr>
          <w:ilvl w:val="0"/>
          <w:numId w:val="52"/>
        </w:numPr>
        <w:tabs>
          <w:tab w:val="left" w:pos="1680"/>
        </w:tabs>
        <w:spacing w:after="0" w:line="360" w:lineRule="auto"/>
        <w:ind w:left="1440" w:leftChars="600" w:right="-9" w:firstLine="0"/>
        <w:jc w:val="both"/>
        <w:rPr>
          <w:color w:val="auto"/>
          <w:highlight w:val="none"/>
        </w:rPr>
      </w:pPr>
      <w:r>
        <w:rPr>
          <w:rFonts w:hint="eastAsia"/>
          <w:color w:val="auto"/>
          <w:highlight w:val="none"/>
        </w:rPr>
        <w:t>24个10/100/1000Base-T自适应以太网端口，4个千兆SFP口</w:t>
      </w:r>
    </w:p>
    <w:p>
      <w:pPr>
        <w:widowControl w:val="0"/>
        <w:numPr>
          <w:ilvl w:val="0"/>
          <w:numId w:val="52"/>
        </w:numPr>
        <w:tabs>
          <w:tab w:val="left" w:pos="1680"/>
        </w:tabs>
        <w:spacing w:after="0" w:line="360" w:lineRule="auto"/>
        <w:ind w:left="1440" w:leftChars="600" w:right="-9" w:firstLine="0"/>
        <w:jc w:val="both"/>
        <w:rPr>
          <w:color w:val="auto"/>
          <w:highlight w:val="none"/>
        </w:rPr>
      </w:pPr>
      <w:r>
        <w:rPr>
          <w:rFonts w:hint="eastAsia"/>
          <w:color w:val="auto"/>
          <w:highlight w:val="none"/>
        </w:rPr>
        <w:t>实现ERPS功能，能够快速阻断环路，链路收敛时间≤50ms；</w:t>
      </w:r>
      <w:r>
        <w:rPr>
          <w:color w:val="auto"/>
          <w:highlight w:val="none"/>
        </w:rPr>
        <w:t xml:space="preserve"> </w:t>
      </w:r>
    </w:p>
    <w:p>
      <w:pPr>
        <w:widowControl w:val="0"/>
        <w:numPr>
          <w:ilvl w:val="0"/>
          <w:numId w:val="52"/>
        </w:numPr>
        <w:tabs>
          <w:tab w:val="left" w:pos="1680"/>
        </w:tabs>
        <w:spacing w:after="0" w:line="360" w:lineRule="auto"/>
        <w:ind w:left="1440" w:leftChars="600" w:right="-9" w:firstLine="0"/>
        <w:jc w:val="both"/>
        <w:rPr>
          <w:color w:val="auto"/>
          <w:highlight w:val="none"/>
        </w:rPr>
      </w:pPr>
      <w:r>
        <w:rPr>
          <w:rFonts w:hint="eastAsia"/>
          <w:color w:val="auto"/>
          <w:highlight w:val="none"/>
        </w:rPr>
        <w:t>实现CPU保护功能，能限制非法报文对CPU的攻击，保护交换机在各种环境下稳定工作；</w:t>
      </w:r>
      <w:r>
        <w:rPr>
          <w:color w:val="auto"/>
          <w:highlight w:val="none"/>
        </w:rPr>
        <w:t xml:space="preserve"> </w:t>
      </w:r>
    </w:p>
    <w:p>
      <w:pPr>
        <w:widowControl w:val="0"/>
        <w:numPr>
          <w:ilvl w:val="0"/>
          <w:numId w:val="52"/>
        </w:numPr>
        <w:tabs>
          <w:tab w:val="left" w:pos="1680"/>
        </w:tabs>
        <w:spacing w:after="0" w:line="360" w:lineRule="auto"/>
        <w:ind w:left="1440" w:leftChars="600" w:right="-9" w:firstLine="0"/>
        <w:jc w:val="both"/>
        <w:rPr>
          <w:color w:val="auto"/>
          <w:highlight w:val="none"/>
        </w:rPr>
      </w:pPr>
      <w:r>
        <w:rPr>
          <w:rFonts w:hint="eastAsia"/>
          <w:color w:val="auto"/>
          <w:highlight w:val="none"/>
        </w:rPr>
        <w:t>最大堆叠台数&gt;=9台；</w:t>
      </w:r>
      <w:r>
        <w:rPr>
          <w:color w:val="auto"/>
          <w:highlight w:val="none"/>
        </w:rPr>
        <w:t xml:space="preserve"> </w:t>
      </w:r>
    </w:p>
    <w:p>
      <w:pPr>
        <w:widowControl w:val="0"/>
        <w:numPr>
          <w:ilvl w:val="0"/>
          <w:numId w:val="52"/>
        </w:numPr>
        <w:tabs>
          <w:tab w:val="left" w:pos="1680"/>
        </w:tabs>
        <w:spacing w:after="0" w:line="360" w:lineRule="auto"/>
        <w:ind w:left="1440" w:leftChars="600" w:right="-9" w:firstLine="0"/>
        <w:jc w:val="both"/>
        <w:rPr>
          <w:color w:val="auto"/>
          <w:highlight w:val="none"/>
        </w:rPr>
      </w:pPr>
      <w:r>
        <w:rPr>
          <w:rFonts w:hint="eastAsia"/>
          <w:color w:val="auto"/>
          <w:highlight w:val="none"/>
        </w:rPr>
        <w:t>支持基于端口的VLAN，支持基于协议的VLAN；</w:t>
      </w:r>
    </w:p>
    <w:p>
      <w:pPr>
        <w:widowControl w:val="0"/>
        <w:numPr>
          <w:ilvl w:val="0"/>
          <w:numId w:val="52"/>
        </w:numPr>
        <w:tabs>
          <w:tab w:val="left" w:pos="1680"/>
        </w:tabs>
        <w:spacing w:after="0" w:line="360" w:lineRule="auto"/>
        <w:ind w:left="1440" w:leftChars="600" w:right="-9" w:firstLine="0"/>
        <w:jc w:val="both"/>
        <w:rPr>
          <w:color w:val="auto"/>
          <w:highlight w:val="none"/>
        </w:rPr>
      </w:pPr>
      <w:r>
        <w:rPr>
          <w:rFonts w:hint="eastAsia"/>
          <w:color w:val="auto"/>
          <w:highlight w:val="none"/>
        </w:rPr>
        <w:t>支持最多8个端口聚合；支持最多128个聚合组；支持LACP</w:t>
      </w:r>
    </w:p>
    <w:p>
      <w:pPr>
        <w:widowControl w:val="0"/>
        <w:numPr>
          <w:ilvl w:val="0"/>
          <w:numId w:val="52"/>
        </w:numPr>
        <w:tabs>
          <w:tab w:val="left" w:pos="1680"/>
        </w:tabs>
        <w:spacing w:after="0" w:line="360" w:lineRule="auto"/>
        <w:ind w:left="1440" w:leftChars="600" w:right="-9" w:firstLine="0"/>
        <w:jc w:val="both"/>
        <w:rPr>
          <w:color w:val="auto"/>
          <w:highlight w:val="none"/>
        </w:rPr>
      </w:pPr>
      <w:r>
        <w:rPr>
          <w:rFonts w:hint="eastAsia"/>
          <w:color w:val="auto"/>
          <w:highlight w:val="none"/>
        </w:rPr>
        <w:t>支持IGMP v1/v2/v3，MLD v1/v2；支持IGMP Snooping v1/v2/v3，MLD Snooping v1/v2</w:t>
      </w:r>
    </w:p>
    <w:p>
      <w:pPr>
        <w:widowControl w:val="0"/>
        <w:numPr>
          <w:ilvl w:val="0"/>
          <w:numId w:val="52"/>
        </w:numPr>
        <w:tabs>
          <w:tab w:val="left" w:pos="1680"/>
        </w:tabs>
        <w:spacing w:after="0" w:line="360" w:lineRule="auto"/>
        <w:ind w:left="1440" w:leftChars="600" w:right="-9" w:firstLine="0"/>
        <w:jc w:val="both"/>
        <w:rPr>
          <w:color w:val="auto"/>
          <w:highlight w:val="none"/>
        </w:rPr>
      </w:pPr>
      <w:r>
        <w:rPr>
          <w:rFonts w:hint="eastAsia"/>
          <w:color w:val="auto"/>
          <w:highlight w:val="none"/>
        </w:rPr>
        <w:t>支持IPv4静态路由、RIP V1/V2、OSPF</w:t>
      </w:r>
    </w:p>
    <w:p>
      <w:pPr>
        <w:widowControl w:val="0"/>
        <w:numPr>
          <w:ilvl w:val="0"/>
          <w:numId w:val="52"/>
        </w:numPr>
        <w:tabs>
          <w:tab w:val="left" w:pos="1680"/>
        </w:tabs>
        <w:spacing w:after="0" w:line="360" w:lineRule="auto"/>
        <w:ind w:left="1440" w:leftChars="600" w:right="-9" w:firstLine="0"/>
        <w:jc w:val="both"/>
        <w:rPr>
          <w:color w:val="auto"/>
          <w:highlight w:val="none"/>
        </w:rPr>
      </w:pPr>
      <w:r>
        <w:rPr>
          <w:rFonts w:hint="eastAsia"/>
          <w:color w:val="auto"/>
          <w:highlight w:val="none"/>
        </w:rPr>
        <w:t>支持IPv6静态路由、RIPng</w:t>
      </w:r>
    </w:p>
    <w:p>
      <w:pPr>
        <w:widowControl w:val="0"/>
        <w:numPr>
          <w:ilvl w:val="0"/>
          <w:numId w:val="52"/>
        </w:numPr>
        <w:tabs>
          <w:tab w:val="left" w:pos="1680"/>
        </w:tabs>
        <w:spacing w:after="0" w:line="360" w:lineRule="auto"/>
        <w:ind w:left="1440" w:leftChars="600" w:right="-9" w:firstLine="0"/>
        <w:jc w:val="both"/>
        <w:rPr>
          <w:color w:val="auto"/>
          <w:highlight w:val="none"/>
        </w:rPr>
      </w:pPr>
      <w:r>
        <w:rPr>
          <w:rFonts w:hint="eastAsia"/>
          <w:color w:val="auto"/>
          <w:highlight w:val="none"/>
        </w:rPr>
        <w:t>支持远程镜像、支持流镜像、支持端口镜像</w:t>
      </w:r>
    </w:p>
    <w:p>
      <w:pPr>
        <w:widowControl w:val="0"/>
        <w:numPr>
          <w:ilvl w:val="0"/>
          <w:numId w:val="52"/>
        </w:numPr>
        <w:tabs>
          <w:tab w:val="left" w:pos="1680"/>
        </w:tabs>
        <w:spacing w:after="0" w:line="360" w:lineRule="auto"/>
        <w:ind w:left="1440" w:leftChars="600" w:right="-9" w:firstLine="0"/>
        <w:jc w:val="both"/>
        <w:rPr>
          <w:color w:val="auto"/>
          <w:highlight w:val="none"/>
        </w:rPr>
      </w:pPr>
      <w:r>
        <w:rPr>
          <w:rFonts w:hint="eastAsia"/>
          <w:color w:val="auto"/>
          <w:highlight w:val="none"/>
        </w:rPr>
        <w:t>支持Telemetry技术，可通过GRPC协议将交换机的实时资源信息与告警信息上送至运维平台，运维平台针对实时数据进行分析，可实现网络质量回溯，故障排查，风险预警，架构优化等功能</w:t>
      </w:r>
    </w:p>
    <w:p>
      <w:pPr>
        <w:widowControl w:val="0"/>
        <w:numPr>
          <w:ilvl w:val="0"/>
          <w:numId w:val="52"/>
        </w:numPr>
        <w:tabs>
          <w:tab w:val="left" w:pos="1680"/>
        </w:tabs>
        <w:spacing w:after="0" w:line="360" w:lineRule="auto"/>
        <w:ind w:left="1440" w:leftChars="600" w:right="-9" w:firstLine="0"/>
        <w:jc w:val="both"/>
        <w:rPr>
          <w:color w:val="auto"/>
          <w:highlight w:val="none"/>
        </w:rPr>
      </w:pPr>
      <w:r>
        <w:rPr>
          <w:rFonts w:hint="eastAsia"/>
          <w:color w:val="auto"/>
          <w:highlight w:val="none"/>
        </w:rPr>
        <w:t>支持RRPP（快速环网保护协议），环网故障恢复时间不超过50ms；</w:t>
      </w:r>
      <w:r>
        <w:rPr>
          <w:color w:val="auto"/>
          <w:highlight w:val="none"/>
        </w:rPr>
        <w:t xml:space="preserve"> </w:t>
      </w:r>
    </w:p>
    <w:p>
      <w:pPr>
        <w:widowControl w:val="0"/>
        <w:numPr>
          <w:ilvl w:val="0"/>
          <w:numId w:val="52"/>
        </w:numPr>
        <w:tabs>
          <w:tab w:val="left" w:pos="1680"/>
        </w:tabs>
        <w:spacing w:after="0" w:line="360" w:lineRule="auto"/>
        <w:ind w:left="1440" w:leftChars="600" w:right="-9" w:firstLine="0"/>
        <w:jc w:val="both"/>
        <w:rPr>
          <w:color w:val="auto"/>
          <w:highlight w:val="none"/>
        </w:rPr>
      </w:pPr>
      <w:r>
        <w:rPr>
          <w:rFonts w:hint="eastAsia"/>
          <w:color w:val="auto"/>
          <w:highlight w:val="none"/>
        </w:rPr>
        <w:t>支持Smartlink，收敛时间≤50ms；</w:t>
      </w:r>
      <w:r>
        <w:rPr>
          <w:color w:val="auto"/>
          <w:highlight w:val="none"/>
        </w:rPr>
        <w:t xml:space="preserve"> </w:t>
      </w:r>
    </w:p>
    <w:p>
      <w:pPr>
        <w:widowControl w:val="0"/>
        <w:numPr>
          <w:ilvl w:val="0"/>
          <w:numId w:val="52"/>
        </w:numPr>
        <w:tabs>
          <w:tab w:val="left" w:pos="1680"/>
        </w:tabs>
        <w:spacing w:after="0" w:line="360" w:lineRule="auto"/>
        <w:ind w:left="1440" w:leftChars="600" w:right="-9" w:firstLine="0"/>
        <w:jc w:val="both"/>
        <w:rPr>
          <w:color w:val="auto"/>
          <w:highlight w:val="none"/>
        </w:rPr>
      </w:pPr>
      <w:r>
        <w:rPr>
          <w:rFonts w:hint="eastAsia"/>
          <w:color w:val="auto"/>
          <w:highlight w:val="none"/>
        </w:rPr>
        <w:t>支持基于第二层、第三层和第四层的ACL；支持基于端口和VLAN的 ACL；</w:t>
      </w:r>
    </w:p>
    <w:p>
      <w:pPr>
        <w:widowControl w:val="0"/>
        <w:numPr>
          <w:ilvl w:val="0"/>
          <w:numId w:val="52"/>
        </w:numPr>
        <w:tabs>
          <w:tab w:val="left" w:pos="1680"/>
        </w:tabs>
        <w:spacing w:after="0" w:line="360" w:lineRule="auto"/>
        <w:ind w:left="1440" w:leftChars="600" w:right="-9" w:firstLine="0"/>
        <w:jc w:val="both"/>
        <w:rPr>
          <w:color w:val="auto"/>
          <w:highlight w:val="none"/>
        </w:rPr>
      </w:pPr>
      <w:r>
        <w:rPr>
          <w:rFonts w:hint="eastAsia"/>
          <w:color w:val="auto"/>
          <w:highlight w:val="none"/>
        </w:rPr>
        <w:t>支持OPENFLOW 1.3标准支持普通模式和Openflow 模式切换</w:t>
      </w:r>
    </w:p>
    <w:p>
      <w:pPr>
        <w:widowControl w:val="0"/>
        <w:numPr>
          <w:ilvl w:val="0"/>
          <w:numId w:val="52"/>
        </w:numPr>
        <w:tabs>
          <w:tab w:val="left" w:pos="1680"/>
        </w:tabs>
        <w:spacing w:after="0" w:line="360" w:lineRule="auto"/>
        <w:ind w:left="1440" w:leftChars="600" w:right="-9" w:firstLine="0"/>
        <w:jc w:val="both"/>
        <w:rPr>
          <w:color w:val="auto"/>
          <w:highlight w:val="none"/>
        </w:rPr>
      </w:pPr>
      <w:r>
        <w:rPr>
          <w:rFonts w:hint="eastAsia"/>
          <w:color w:val="auto"/>
          <w:highlight w:val="none"/>
        </w:rPr>
        <w:t>支持SNMP V1/V2/V3、RMON、SSHV2</w:t>
      </w:r>
    </w:p>
    <w:p>
      <w:pPr>
        <w:widowControl w:val="0"/>
        <w:spacing w:after="0" w:line="360" w:lineRule="auto"/>
        <w:ind w:left="1500" w:right="-9" w:firstLine="0"/>
        <w:jc w:val="both"/>
        <w:rPr>
          <w:color w:val="auto"/>
          <w:highlight w:val="none"/>
        </w:rPr>
      </w:pPr>
    </w:p>
    <w:p>
      <w:pPr>
        <w:numPr>
          <w:ilvl w:val="2"/>
          <w:numId w:val="3"/>
        </w:numPr>
        <w:spacing w:after="0" w:line="360" w:lineRule="auto"/>
        <w:ind w:left="284" w:leftChars="0" w:right="12" w:hanging="44" w:firstLineChars="0"/>
        <w:rPr>
          <w:color w:val="auto"/>
          <w:highlight w:val="none"/>
        </w:rPr>
      </w:pPr>
      <w:r>
        <w:rPr>
          <w:rFonts w:hint="eastAsia"/>
          <w:color w:val="auto"/>
          <w:highlight w:val="none"/>
        </w:rPr>
        <w:t>会议室用16口接入交换机</w:t>
      </w:r>
    </w:p>
    <w:p>
      <w:pPr>
        <w:widowControl w:val="0"/>
        <w:numPr>
          <w:ilvl w:val="0"/>
          <w:numId w:val="53"/>
        </w:numPr>
        <w:spacing w:after="0" w:line="360" w:lineRule="auto"/>
        <w:ind w:left="1920" w:right="-9"/>
        <w:jc w:val="both"/>
        <w:rPr>
          <w:color w:val="auto"/>
          <w:highlight w:val="none"/>
        </w:rPr>
      </w:pPr>
      <w:r>
        <w:rPr>
          <w:rFonts w:hint="eastAsia"/>
          <w:color w:val="auto"/>
          <w:highlight w:val="none"/>
        </w:rPr>
        <w:t>交换容量≥330Gbps</w:t>
      </w:r>
    </w:p>
    <w:p>
      <w:pPr>
        <w:widowControl w:val="0"/>
        <w:numPr>
          <w:ilvl w:val="0"/>
          <w:numId w:val="53"/>
        </w:numPr>
        <w:spacing w:after="0" w:line="360" w:lineRule="auto"/>
        <w:ind w:left="1920" w:right="-9"/>
        <w:jc w:val="both"/>
        <w:rPr>
          <w:color w:val="auto"/>
          <w:highlight w:val="none"/>
        </w:rPr>
      </w:pPr>
      <w:r>
        <w:rPr>
          <w:rFonts w:hint="eastAsia"/>
          <w:color w:val="auto"/>
          <w:highlight w:val="none"/>
        </w:rPr>
        <w:t xml:space="preserve">转发性能≥30Mpps </w:t>
      </w:r>
    </w:p>
    <w:p>
      <w:pPr>
        <w:widowControl w:val="0"/>
        <w:numPr>
          <w:ilvl w:val="0"/>
          <w:numId w:val="53"/>
        </w:numPr>
        <w:spacing w:after="0" w:line="360" w:lineRule="auto"/>
        <w:ind w:left="1920" w:right="-9"/>
        <w:jc w:val="both"/>
        <w:rPr>
          <w:color w:val="auto"/>
          <w:highlight w:val="none"/>
        </w:rPr>
      </w:pPr>
      <w:r>
        <w:rPr>
          <w:rFonts w:hint="eastAsia"/>
          <w:color w:val="auto"/>
          <w:highlight w:val="none"/>
        </w:rPr>
        <w:t>16个10/100/1000Base-T自适应以太网端口，4个千兆SFP口</w:t>
      </w:r>
    </w:p>
    <w:p>
      <w:pPr>
        <w:widowControl w:val="0"/>
        <w:numPr>
          <w:ilvl w:val="0"/>
          <w:numId w:val="53"/>
        </w:numPr>
        <w:spacing w:after="0" w:line="360" w:lineRule="auto"/>
        <w:ind w:left="1920" w:right="-9"/>
        <w:jc w:val="both"/>
        <w:rPr>
          <w:color w:val="auto"/>
          <w:highlight w:val="none"/>
        </w:rPr>
      </w:pPr>
      <w:r>
        <w:rPr>
          <w:rFonts w:hint="eastAsia"/>
          <w:color w:val="auto"/>
          <w:highlight w:val="none"/>
        </w:rPr>
        <w:t>实现ERPS功能，能够快速阻断环路，链路收敛时间≤50ms；</w:t>
      </w:r>
      <w:r>
        <w:rPr>
          <w:color w:val="auto"/>
          <w:highlight w:val="none"/>
        </w:rPr>
        <w:t xml:space="preserve"> </w:t>
      </w:r>
    </w:p>
    <w:p>
      <w:pPr>
        <w:widowControl w:val="0"/>
        <w:numPr>
          <w:ilvl w:val="0"/>
          <w:numId w:val="53"/>
        </w:numPr>
        <w:spacing w:after="0" w:line="360" w:lineRule="auto"/>
        <w:ind w:left="1920" w:right="-9"/>
        <w:jc w:val="both"/>
        <w:rPr>
          <w:color w:val="auto"/>
          <w:highlight w:val="none"/>
        </w:rPr>
      </w:pPr>
      <w:r>
        <w:rPr>
          <w:rFonts w:hint="eastAsia"/>
          <w:color w:val="auto"/>
          <w:highlight w:val="none"/>
        </w:rPr>
        <w:t>实现CPU保护功能，能限制非法报文对CPU的攻击，保护交换机在各种环境下稳定工作；</w:t>
      </w:r>
      <w:r>
        <w:rPr>
          <w:color w:val="auto"/>
          <w:highlight w:val="none"/>
        </w:rPr>
        <w:t xml:space="preserve"> </w:t>
      </w:r>
    </w:p>
    <w:p>
      <w:pPr>
        <w:widowControl w:val="0"/>
        <w:numPr>
          <w:ilvl w:val="0"/>
          <w:numId w:val="53"/>
        </w:numPr>
        <w:spacing w:after="0" w:line="360" w:lineRule="auto"/>
        <w:ind w:left="1920" w:right="-9"/>
        <w:jc w:val="both"/>
        <w:rPr>
          <w:color w:val="auto"/>
          <w:highlight w:val="none"/>
        </w:rPr>
      </w:pPr>
      <w:r>
        <w:rPr>
          <w:rFonts w:hint="eastAsia"/>
          <w:color w:val="auto"/>
          <w:highlight w:val="none"/>
        </w:rPr>
        <w:t>最大堆叠台数&gt;=9台；</w:t>
      </w:r>
      <w:r>
        <w:rPr>
          <w:color w:val="auto"/>
          <w:highlight w:val="none"/>
        </w:rPr>
        <w:t xml:space="preserve"> </w:t>
      </w:r>
    </w:p>
    <w:p>
      <w:pPr>
        <w:widowControl w:val="0"/>
        <w:numPr>
          <w:ilvl w:val="0"/>
          <w:numId w:val="53"/>
        </w:numPr>
        <w:spacing w:after="0" w:line="360" w:lineRule="auto"/>
        <w:ind w:left="1920" w:right="-9"/>
        <w:jc w:val="both"/>
        <w:rPr>
          <w:color w:val="auto"/>
          <w:highlight w:val="none"/>
        </w:rPr>
      </w:pPr>
      <w:r>
        <w:rPr>
          <w:rFonts w:hint="eastAsia"/>
          <w:color w:val="auto"/>
          <w:highlight w:val="none"/>
        </w:rPr>
        <w:t>支持基于端口的VLAN，支持基于协议的VLAN；</w:t>
      </w:r>
    </w:p>
    <w:p>
      <w:pPr>
        <w:widowControl w:val="0"/>
        <w:numPr>
          <w:ilvl w:val="0"/>
          <w:numId w:val="53"/>
        </w:numPr>
        <w:spacing w:after="0" w:line="360" w:lineRule="auto"/>
        <w:ind w:left="1920" w:right="-9"/>
        <w:jc w:val="both"/>
        <w:rPr>
          <w:color w:val="auto"/>
          <w:highlight w:val="none"/>
        </w:rPr>
      </w:pPr>
      <w:r>
        <w:rPr>
          <w:rFonts w:hint="eastAsia"/>
          <w:color w:val="auto"/>
          <w:highlight w:val="none"/>
        </w:rPr>
        <w:t>支持最多8个端口聚合；支持最多128个聚合组；支持LACP</w:t>
      </w:r>
    </w:p>
    <w:p>
      <w:pPr>
        <w:widowControl w:val="0"/>
        <w:numPr>
          <w:ilvl w:val="0"/>
          <w:numId w:val="53"/>
        </w:numPr>
        <w:spacing w:after="0" w:line="360" w:lineRule="auto"/>
        <w:ind w:left="1920" w:right="-9"/>
        <w:jc w:val="both"/>
        <w:rPr>
          <w:color w:val="auto"/>
          <w:highlight w:val="none"/>
        </w:rPr>
      </w:pPr>
      <w:r>
        <w:rPr>
          <w:rFonts w:hint="eastAsia"/>
          <w:color w:val="auto"/>
          <w:highlight w:val="none"/>
        </w:rPr>
        <w:t>支持IGMP v1/v2/v3，MLD v1/v2；支持IGMP Snooping v1/v2/v3，MLD Snooping v1/v2</w:t>
      </w:r>
    </w:p>
    <w:p>
      <w:pPr>
        <w:widowControl w:val="0"/>
        <w:numPr>
          <w:ilvl w:val="0"/>
          <w:numId w:val="53"/>
        </w:numPr>
        <w:spacing w:after="0" w:line="360" w:lineRule="auto"/>
        <w:ind w:left="1920" w:right="-9"/>
        <w:jc w:val="both"/>
        <w:rPr>
          <w:color w:val="auto"/>
          <w:highlight w:val="none"/>
        </w:rPr>
      </w:pPr>
      <w:r>
        <w:rPr>
          <w:rFonts w:hint="eastAsia"/>
          <w:color w:val="auto"/>
          <w:highlight w:val="none"/>
        </w:rPr>
        <w:t>支持IPv4静态路由、RIP V1/V2、OSPF</w:t>
      </w:r>
    </w:p>
    <w:p>
      <w:pPr>
        <w:widowControl w:val="0"/>
        <w:numPr>
          <w:ilvl w:val="0"/>
          <w:numId w:val="53"/>
        </w:numPr>
        <w:spacing w:after="0" w:line="360" w:lineRule="auto"/>
        <w:ind w:left="1920" w:right="-9"/>
        <w:jc w:val="both"/>
        <w:rPr>
          <w:color w:val="auto"/>
          <w:highlight w:val="none"/>
        </w:rPr>
      </w:pPr>
      <w:r>
        <w:rPr>
          <w:rFonts w:hint="eastAsia"/>
          <w:color w:val="auto"/>
          <w:highlight w:val="none"/>
        </w:rPr>
        <w:t>支持IPv6静态路由、RIPng</w:t>
      </w:r>
    </w:p>
    <w:p>
      <w:pPr>
        <w:widowControl w:val="0"/>
        <w:numPr>
          <w:ilvl w:val="0"/>
          <w:numId w:val="53"/>
        </w:numPr>
        <w:spacing w:after="0" w:line="360" w:lineRule="auto"/>
        <w:ind w:left="1920" w:right="-9"/>
        <w:jc w:val="both"/>
        <w:rPr>
          <w:color w:val="auto"/>
          <w:highlight w:val="none"/>
        </w:rPr>
      </w:pPr>
      <w:r>
        <w:rPr>
          <w:rFonts w:hint="eastAsia"/>
          <w:color w:val="auto"/>
          <w:highlight w:val="none"/>
        </w:rPr>
        <w:t>支持远程镜像、支持流镜像、支持端口镜像</w:t>
      </w:r>
    </w:p>
    <w:p>
      <w:pPr>
        <w:widowControl w:val="0"/>
        <w:numPr>
          <w:ilvl w:val="0"/>
          <w:numId w:val="53"/>
        </w:numPr>
        <w:spacing w:after="0" w:line="360" w:lineRule="auto"/>
        <w:ind w:left="1920" w:right="-9"/>
        <w:jc w:val="both"/>
        <w:rPr>
          <w:color w:val="auto"/>
          <w:highlight w:val="none"/>
        </w:rPr>
      </w:pPr>
      <w:r>
        <w:rPr>
          <w:rFonts w:hint="eastAsia"/>
          <w:color w:val="auto"/>
          <w:highlight w:val="none"/>
        </w:rPr>
        <w:t>支持Telemetry技术，可通过GRPC协议将交换机的实时资源信息与告警信息上送至运维平台，运维平台针对实时数据进行分析，可实现网络质量回溯，故障排查，风险预警，架构优化等功能</w:t>
      </w:r>
    </w:p>
    <w:p>
      <w:pPr>
        <w:widowControl w:val="0"/>
        <w:numPr>
          <w:ilvl w:val="0"/>
          <w:numId w:val="53"/>
        </w:numPr>
        <w:spacing w:after="0" w:line="360" w:lineRule="auto"/>
        <w:ind w:left="1920" w:right="-9"/>
        <w:jc w:val="both"/>
        <w:rPr>
          <w:color w:val="auto"/>
          <w:highlight w:val="none"/>
        </w:rPr>
      </w:pPr>
      <w:r>
        <w:rPr>
          <w:rFonts w:hint="eastAsia"/>
          <w:color w:val="auto"/>
          <w:highlight w:val="none"/>
        </w:rPr>
        <w:t>支持RRPP（快速环网保护协议），环网故障恢复时间不超过50ms；</w:t>
      </w:r>
      <w:r>
        <w:rPr>
          <w:color w:val="auto"/>
          <w:highlight w:val="none"/>
        </w:rPr>
        <w:t xml:space="preserve"> </w:t>
      </w:r>
    </w:p>
    <w:p>
      <w:pPr>
        <w:widowControl w:val="0"/>
        <w:numPr>
          <w:ilvl w:val="0"/>
          <w:numId w:val="53"/>
        </w:numPr>
        <w:spacing w:after="0" w:line="360" w:lineRule="auto"/>
        <w:ind w:left="1920" w:right="-9"/>
        <w:jc w:val="both"/>
        <w:rPr>
          <w:color w:val="auto"/>
          <w:highlight w:val="none"/>
        </w:rPr>
      </w:pPr>
      <w:r>
        <w:rPr>
          <w:rFonts w:hint="eastAsia"/>
          <w:color w:val="auto"/>
          <w:highlight w:val="none"/>
        </w:rPr>
        <w:t>支持Smartlink，收敛时间≤50ms；</w:t>
      </w:r>
      <w:r>
        <w:rPr>
          <w:color w:val="auto"/>
          <w:highlight w:val="none"/>
        </w:rPr>
        <w:t xml:space="preserve"> </w:t>
      </w:r>
    </w:p>
    <w:p>
      <w:pPr>
        <w:widowControl w:val="0"/>
        <w:numPr>
          <w:ilvl w:val="0"/>
          <w:numId w:val="53"/>
        </w:numPr>
        <w:spacing w:after="0" w:line="360" w:lineRule="auto"/>
        <w:ind w:left="1920" w:right="-9"/>
        <w:jc w:val="both"/>
        <w:rPr>
          <w:color w:val="auto"/>
          <w:highlight w:val="none"/>
        </w:rPr>
      </w:pPr>
      <w:r>
        <w:rPr>
          <w:rFonts w:hint="eastAsia"/>
          <w:color w:val="auto"/>
          <w:highlight w:val="none"/>
        </w:rPr>
        <w:t>支持基于第二层、第三层和第四层的ACL；支持基于端口和VLAN的 ACL；</w:t>
      </w:r>
    </w:p>
    <w:p>
      <w:pPr>
        <w:widowControl w:val="0"/>
        <w:numPr>
          <w:ilvl w:val="0"/>
          <w:numId w:val="53"/>
        </w:numPr>
        <w:spacing w:after="0" w:line="360" w:lineRule="auto"/>
        <w:ind w:left="1920" w:right="-9"/>
        <w:jc w:val="both"/>
        <w:rPr>
          <w:color w:val="auto"/>
          <w:highlight w:val="none"/>
        </w:rPr>
      </w:pPr>
      <w:r>
        <w:rPr>
          <w:rFonts w:hint="eastAsia"/>
          <w:color w:val="auto"/>
          <w:highlight w:val="none"/>
        </w:rPr>
        <w:t>支持OPENFLOW 1.3标准支持普通模式和Openflow 模式切换</w:t>
      </w:r>
    </w:p>
    <w:p>
      <w:pPr>
        <w:widowControl w:val="0"/>
        <w:numPr>
          <w:ilvl w:val="0"/>
          <w:numId w:val="53"/>
        </w:numPr>
        <w:spacing w:after="0" w:line="360" w:lineRule="auto"/>
        <w:ind w:left="1920" w:right="-9"/>
        <w:jc w:val="both"/>
        <w:rPr>
          <w:color w:val="auto"/>
          <w:highlight w:val="none"/>
        </w:rPr>
      </w:pPr>
      <w:r>
        <w:rPr>
          <w:rFonts w:hint="eastAsia"/>
          <w:color w:val="auto"/>
          <w:highlight w:val="none"/>
        </w:rPr>
        <w:t>支持SNMP V1/V2/V3、RMON、SSHV2</w:t>
      </w:r>
    </w:p>
    <w:p>
      <w:pPr>
        <w:widowControl w:val="0"/>
        <w:spacing w:after="0" w:line="360" w:lineRule="auto"/>
        <w:ind w:left="1500" w:right="-9" w:firstLine="0"/>
        <w:jc w:val="both"/>
        <w:rPr>
          <w:color w:val="auto"/>
          <w:highlight w:val="none"/>
        </w:rPr>
      </w:pPr>
    </w:p>
    <w:p>
      <w:pPr>
        <w:numPr>
          <w:ilvl w:val="2"/>
          <w:numId w:val="3"/>
        </w:numPr>
        <w:spacing w:after="0" w:line="360" w:lineRule="auto"/>
        <w:ind w:left="284" w:leftChars="0" w:right="12" w:hanging="44" w:firstLineChars="0"/>
        <w:rPr>
          <w:color w:val="auto"/>
          <w:highlight w:val="none"/>
        </w:rPr>
      </w:pPr>
      <w:r>
        <w:rPr>
          <w:rFonts w:hint="eastAsia"/>
          <w:color w:val="auto"/>
          <w:highlight w:val="none"/>
        </w:rPr>
        <w:t>会议室用8口接入交换机</w:t>
      </w:r>
    </w:p>
    <w:p>
      <w:pPr>
        <w:widowControl w:val="0"/>
        <w:numPr>
          <w:ilvl w:val="0"/>
          <w:numId w:val="54"/>
        </w:numPr>
        <w:tabs>
          <w:tab w:val="left" w:pos="1920"/>
        </w:tabs>
        <w:spacing w:after="0" w:line="360" w:lineRule="auto"/>
        <w:ind w:left="1440" w:right="-9" w:firstLine="0"/>
        <w:jc w:val="both"/>
        <w:rPr>
          <w:color w:val="auto"/>
          <w:highlight w:val="none"/>
        </w:rPr>
      </w:pPr>
      <w:r>
        <w:rPr>
          <w:rFonts w:hint="eastAsia"/>
          <w:color w:val="auto"/>
          <w:highlight w:val="none"/>
        </w:rPr>
        <w:t>交换容量≥330Gbps</w:t>
      </w:r>
    </w:p>
    <w:p>
      <w:pPr>
        <w:widowControl w:val="0"/>
        <w:numPr>
          <w:ilvl w:val="0"/>
          <w:numId w:val="54"/>
        </w:numPr>
        <w:tabs>
          <w:tab w:val="left" w:pos="1920"/>
        </w:tabs>
        <w:spacing w:after="0" w:line="360" w:lineRule="auto"/>
        <w:ind w:left="1440" w:right="-9" w:firstLine="0"/>
        <w:jc w:val="both"/>
        <w:rPr>
          <w:color w:val="auto"/>
          <w:highlight w:val="none"/>
        </w:rPr>
      </w:pPr>
      <w:r>
        <w:rPr>
          <w:rFonts w:hint="eastAsia"/>
          <w:color w:val="auto"/>
          <w:highlight w:val="none"/>
        </w:rPr>
        <w:t xml:space="preserve">转发性能≥27Mpps </w:t>
      </w:r>
    </w:p>
    <w:p>
      <w:pPr>
        <w:widowControl w:val="0"/>
        <w:numPr>
          <w:ilvl w:val="0"/>
          <w:numId w:val="54"/>
        </w:numPr>
        <w:tabs>
          <w:tab w:val="left" w:pos="1920"/>
        </w:tabs>
        <w:spacing w:after="0" w:line="360" w:lineRule="auto"/>
        <w:ind w:left="1440" w:right="-9" w:firstLine="0"/>
        <w:jc w:val="both"/>
        <w:rPr>
          <w:color w:val="auto"/>
          <w:highlight w:val="none"/>
        </w:rPr>
      </w:pPr>
      <w:r>
        <w:rPr>
          <w:rFonts w:hint="eastAsia"/>
          <w:color w:val="auto"/>
          <w:highlight w:val="none"/>
        </w:rPr>
        <w:t xml:space="preserve"> 8个10/100/1000Base-T自适应以太网端口，2个千兆SFP口</w:t>
      </w:r>
    </w:p>
    <w:p>
      <w:pPr>
        <w:widowControl w:val="0"/>
        <w:numPr>
          <w:ilvl w:val="0"/>
          <w:numId w:val="54"/>
        </w:numPr>
        <w:tabs>
          <w:tab w:val="left" w:pos="1920"/>
        </w:tabs>
        <w:spacing w:after="0" w:line="360" w:lineRule="auto"/>
        <w:ind w:left="1440" w:right="-9" w:firstLine="0"/>
        <w:jc w:val="both"/>
        <w:rPr>
          <w:color w:val="auto"/>
          <w:highlight w:val="none"/>
        </w:rPr>
      </w:pPr>
      <w:r>
        <w:rPr>
          <w:rFonts w:hint="eastAsia"/>
          <w:color w:val="auto"/>
          <w:highlight w:val="none"/>
        </w:rPr>
        <w:t>实现ERPS功能，能够快速阻断环路，链路收敛时间≤50ms；</w:t>
      </w:r>
      <w:r>
        <w:rPr>
          <w:color w:val="auto"/>
          <w:highlight w:val="none"/>
        </w:rPr>
        <w:t xml:space="preserve"> </w:t>
      </w:r>
    </w:p>
    <w:p>
      <w:pPr>
        <w:widowControl w:val="0"/>
        <w:numPr>
          <w:ilvl w:val="0"/>
          <w:numId w:val="54"/>
        </w:numPr>
        <w:tabs>
          <w:tab w:val="left" w:pos="1920"/>
        </w:tabs>
        <w:spacing w:after="0" w:line="360" w:lineRule="auto"/>
        <w:ind w:left="1440" w:right="-9" w:firstLine="0"/>
        <w:jc w:val="both"/>
        <w:rPr>
          <w:color w:val="auto"/>
          <w:highlight w:val="none"/>
        </w:rPr>
      </w:pPr>
      <w:r>
        <w:rPr>
          <w:rFonts w:hint="eastAsia"/>
          <w:color w:val="auto"/>
          <w:highlight w:val="none"/>
        </w:rPr>
        <w:t>实现CPU保护功能，能限制非法报文对CPU的攻击，保护交换机在各种环境下稳定工作；</w:t>
      </w:r>
      <w:r>
        <w:rPr>
          <w:color w:val="auto"/>
          <w:highlight w:val="none"/>
        </w:rPr>
        <w:t xml:space="preserve"> </w:t>
      </w:r>
    </w:p>
    <w:p>
      <w:pPr>
        <w:widowControl w:val="0"/>
        <w:numPr>
          <w:ilvl w:val="0"/>
          <w:numId w:val="54"/>
        </w:numPr>
        <w:tabs>
          <w:tab w:val="left" w:pos="1920"/>
        </w:tabs>
        <w:spacing w:after="0" w:line="360" w:lineRule="auto"/>
        <w:ind w:left="1440" w:right="-9" w:firstLine="0"/>
        <w:jc w:val="both"/>
        <w:rPr>
          <w:color w:val="auto"/>
          <w:highlight w:val="none"/>
        </w:rPr>
      </w:pPr>
      <w:r>
        <w:rPr>
          <w:rFonts w:hint="eastAsia"/>
          <w:color w:val="auto"/>
          <w:highlight w:val="none"/>
        </w:rPr>
        <w:t>最大堆叠台数&gt;=9台；</w:t>
      </w:r>
      <w:r>
        <w:rPr>
          <w:color w:val="auto"/>
          <w:highlight w:val="none"/>
        </w:rPr>
        <w:t xml:space="preserve"> </w:t>
      </w:r>
    </w:p>
    <w:p>
      <w:pPr>
        <w:widowControl w:val="0"/>
        <w:numPr>
          <w:ilvl w:val="0"/>
          <w:numId w:val="54"/>
        </w:numPr>
        <w:tabs>
          <w:tab w:val="left" w:pos="1920"/>
        </w:tabs>
        <w:spacing w:after="0" w:line="360" w:lineRule="auto"/>
        <w:ind w:left="1440" w:right="-9" w:firstLine="0"/>
        <w:jc w:val="both"/>
        <w:rPr>
          <w:color w:val="auto"/>
          <w:highlight w:val="none"/>
        </w:rPr>
      </w:pPr>
      <w:r>
        <w:rPr>
          <w:rFonts w:hint="eastAsia"/>
          <w:color w:val="auto"/>
          <w:highlight w:val="none"/>
        </w:rPr>
        <w:t>支持基于端口的VLAN，支持基于协议的VLAN；</w:t>
      </w:r>
    </w:p>
    <w:p>
      <w:pPr>
        <w:widowControl w:val="0"/>
        <w:numPr>
          <w:ilvl w:val="0"/>
          <w:numId w:val="54"/>
        </w:numPr>
        <w:tabs>
          <w:tab w:val="left" w:pos="1920"/>
        </w:tabs>
        <w:spacing w:after="0" w:line="360" w:lineRule="auto"/>
        <w:ind w:left="1440" w:right="-9" w:firstLine="0"/>
        <w:jc w:val="both"/>
        <w:rPr>
          <w:color w:val="auto"/>
          <w:highlight w:val="none"/>
        </w:rPr>
      </w:pPr>
      <w:r>
        <w:rPr>
          <w:rFonts w:hint="eastAsia"/>
          <w:color w:val="auto"/>
          <w:highlight w:val="none"/>
        </w:rPr>
        <w:t>支持最多8个端口聚合；支持最多128个聚合组；支持LACP</w:t>
      </w:r>
    </w:p>
    <w:p>
      <w:pPr>
        <w:widowControl w:val="0"/>
        <w:numPr>
          <w:ilvl w:val="0"/>
          <w:numId w:val="54"/>
        </w:numPr>
        <w:tabs>
          <w:tab w:val="left" w:pos="1920"/>
        </w:tabs>
        <w:spacing w:after="0" w:line="360" w:lineRule="auto"/>
        <w:ind w:left="1440" w:right="-9" w:firstLine="0"/>
        <w:jc w:val="both"/>
        <w:rPr>
          <w:color w:val="auto"/>
          <w:highlight w:val="none"/>
        </w:rPr>
      </w:pPr>
      <w:r>
        <w:rPr>
          <w:rFonts w:hint="eastAsia"/>
          <w:color w:val="auto"/>
          <w:highlight w:val="none"/>
        </w:rPr>
        <w:t>支持IGMP v1/v2/v3，MLD v1/v2；支持IGMP Snooping v1/v2/v3，MLD Snooping v1/v2</w:t>
      </w:r>
    </w:p>
    <w:p>
      <w:pPr>
        <w:widowControl w:val="0"/>
        <w:numPr>
          <w:ilvl w:val="0"/>
          <w:numId w:val="54"/>
        </w:numPr>
        <w:tabs>
          <w:tab w:val="left" w:pos="1920"/>
        </w:tabs>
        <w:spacing w:after="0" w:line="360" w:lineRule="auto"/>
        <w:ind w:left="1440" w:right="-9" w:firstLine="0"/>
        <w:jc w:val="both"/>
        <w:rPr>
          <w:color w:val="auto"/>
          <w:highlight w:val="none"/>
        </w:rPr>
      </w:pPr>
      <w:r>
        <w:rPr>
          <w:rFonts w:hint="eastAsia"/>
          <w:color w:val="auto"/>
          <w:highlight w:val="none"/>
        </w:rPr>
        <w:t>支持IPv4静态路由、RIP V1/V2、OSPF</w:t>
      </w:r>
    </w:p>
    <w:p>
      <w:pPr>
        <w:widowControl w:val="0"/>
        <w:numPr>
          <w:ilvl w:val="0"/>
          <w:numId w:val="54"/>
        </w:numPr>
        <w:tabs>
          <w:tab w:val="left" w:pos="1920"/>
        </w:tabs>
        <w:spacing w:after="0" w:line="360" w:lineRule="auto"/>
        <w:ind w:left="1440" w:right="-9" w:firstLine="0"/>
        <w:jc w:val="both"/>
        <w:rPr>
          <w:color w:val="auto"/>
          <w:highlight w:val="none"/>
        </w:rPr>
      </w:pPr>
      <w:r>
        <w:rPr>
          <w:rFonts w:hint="eastAsia"/>
          <w:color w:val="auto"/>
          <w:highlight w:val="none"/>
        </w:rPr>
        <w:t>支持IPv6静态路由、RIPng</w:t>
      </w:r>
    </w:p>
    <w:p>
      <w:pPr>
        <w:widowControl w:val="0"/>
        <w:numPr>
          <w:ilvl w:val="0"/>
          <w:numId w:val="54"/>
        </w:numPr>
        <w:tabs>
          <w:tab w:val="left" w:pos="1920"/>
        </w:tabs>
        <w:spacing w:after="0" w:line="360" w:lineRule="auto"/>
        <w:ind w:left="1440" w:right="-9" w:firstLine="0"/>
        <w:jc w:val="both"/>
        <w:rPr>
          <w:color w:val="auto"/>
          <w:highlight w:val="none"/>
        </w:rPr>
      </w:pPr>
      <w:r>
        <w:rPr>
          <w:rFonts w:hint="eastAsia"/>
          <w:color w:val="auto"/>
          <w:highlight w:val="none"/>
        </w:rPr>
        <w:t>支持远程镜像、支持流镜像、支持端口镜像</w:t>
      </w:r>
    </w:p>
    <w:p>
      <w:pPr>
        <w:widowControl w:val="0"/>
        <w:numPr>
          <w:ilvl w:val="0"/>
          <w:numId w:val="54"/>
        </w:numPr>
        <w:tabs>
          <w:tab w:val="left" w:pos="1920"/>
        </w:tabs>
        <w:spacing w:after="0" w:line="360" w:lineRule="auto"/>
        <w:ind w:left="1440" w:right="-9" w:firstLine="0"/>
        <w:jc w:val="both"/>
        <w:rPr>
          <w:color w:val="auto"/>
          <w:highlight w:val="none"/>
        </w:rPr>
      </w:pPr>
      <w:r>
        <w:rPr>
          <w:rFonts w:hint="eastAsia"/>
          <w:color w:val="auto"/>
          <w:highlight w:val="none"/>
        </w:rPr>
        <w:t>支持Telemetry技术，可通过GRPC协议将交换机的实时资源信息与告警信息上送至运维平台，运维平台针对实时数据进行分析，可实现网络质量回溯，故障排查，风险预警，架构优化等功能</w:t>
      </w:r>
    </w:p>
    <w:p>
      <w:pPr>
        <w:widowControl w:val="0"/>
        <w:numPr>
          <w:ilvl w:val="0"/>
          <w:numId w:val="54"/>
        </w:numPr>
        <w:tabs>
          <w:tab w:val="left" w:pos="1920"/>
        </w:tabs>
        <w:spacing w:after="0" w:line="360" w:lineRule="auto"/>
        <w:ind w:left="1440" w:right="-9" w:firstLine="0"/>
        <w:jc w:val="both"/>
        <w:rPr>
          <w:color w:val="auto"/>
          <w:highlight w:val="none"/>
        </w:rPr>
      </w:pPr>
      <w:r>
        <w:rPr>
          <w:rFonts w:hint="eastAsia"/>
          <w:color w:val="auto"/>
          <w:highlight w:val="none"/>
        </w:rPr>
        <w:t>支持RRPP（快速环网保护协议），环网故障恢复时间不超过50ms；</w:t>
      </w:r>
      <w:r>
        <w:rPr>
          <w:color w:val="auto"/>
          <w:highlight w:val="none"/>
        </w:rPr>
        <w:t xml:space="preserve"> </w:t>
      </w:r>
    </w:p>
    <w:p>
      <w:pPr>
        <w:widowControl w:val="0"/>
        <w:numPr>
          <w:ilvl w:val="0"/>
          <w:numId w:val="54"/>
        </w:numPr>
        <w:tabs>
          <w:tab w:val="left" w:pos="1920"/>
        </w:tabs>
        <w:spacing w:after="0" w:line="360" w:lineRule="auto"/>
        <w:ind w:left="1440" w:right="-9" w:firstLine="0"/>
        <w:jc w:val="both"/>
        <w:rPr>
          <w:color w:val="auto"/>
          <w:highlight w:val="none"/>
        </w:rPr>
      </w:pPr>
      <w:r>
        <w:rPr>
          <w:rFonts w:hint="eastAsia"/>
          <w:color w:val="auto"/>
          <w:highlight w:val="none"/>
        </w:rPr>
        <w:t>支持Smartlink，收敛时间≤50ms；</w:t>
      </w:r>
      <w:r>
        <w:rPr>
          <w:color w:val="auto"/>
          <w:highlight w:val="none"/>
        </w:rPr>
        <w:t xml:space="preserve"> </w:t>
      </w:r>
    </w:p>
    <w:p>
      <w:pPr>
        <w:widowControl w:val="0"/>
        <w:numPr>
          <w:ilvl w:val="0"/>
          <w:numId w:val="54"/>
        </w:numPr>
        <w:tabs>
          <w:tab w:val="left" w:pos="1920"/>
        </w:tabs>
        <w:spacing w:after="0" w:line="360" w:lineRule="auto"/>
        <w:ind w:left="1440" w:right="-9" w:firstLine="0"/>
        <w:jc w:val="both"/>
        <w:rPr>
          <w:color w:val="auto"/>
          <w:highlight w:val="none"/>
        </w:rPr>
      </w:pPr>
      <w:r>
        <w:rPr>
          <w:rFonts w:hint="eastAsia"/>
          <w:color w:val="auto"/>
          <w:highlight w:val="none"/>
        </w:rPr>
        <w:t>支持基于第二层、第三层和第四层的ACL；支持基于端口和VLAN的 ACL；</w:t>
      </w:r>
    </w:p>
    <w:p>
      <w:pPr>
        <w:widowControl w:val="0"/>
        <w:numPr>
          <w:ilvl w:val="0"/>
          <w:numId w:val="54"/>
        </w:numPr>
        <w:tabs>
          <w:tab w:val="left" w:pos="1920"/>
        </w:tabs>
        <w:spacing w:after="0" w:line="360" w:lineRule="auto"/>
        <w:ind w:left="1440" w:right="-9" w:firstLine="0"/>
        <w:jc w:val="both"/>
        <w:rPr>
          <w:color w:val="auto"/>
          <w:highlight w:val="none"/>
        </w:rPr>
      </w:pPr>
      <w:r>
        <w:rPr>
          <w:rFonts w:hint="eastAsia"/>
          <w:color w:val="auto"/>
          <w:highlight w:val="none"/>
        </w:rPr>
        <w:t>支持OPENFLOW 1.3标准支持普通模式和Openflow 模式切换</w:t>
      </w:r>
    </w:p>
    <w:p>
      <w:pPr>
        <w:widowControl w:val="0"/>
        <w:numPr>
          <w:ilvl w:val="0"/>
          <w:numId w:val="54"/>
        </w:numPr>
        <w:tabs>
          <w:tab w:val="left" w:pos="1920"/>
        </w:tabs>
        <w:spacing w:after="0" w:line="360" w:lineRule="auto"/>
        <w:ind w:left="1440" w:right="-9" w:firstLine="0"/>
        <w:jc w:val="both"/>
        <w:rPr>
          <w:color w:val="auto"/>
          <w:highlight w:val="none"/>
        </w:rPr>
      </w:pPr>
      <w:r>
        <w:rPr>
          <w:rFonts w:hint="eastAsia"/>
          <w:color w:val="auto"/>
          <w:highlight w:val="none"/>
        </w:rPr>
        <w:t>支持SNMP V1/V2/V3、RMON、SSHV2</w:t>
      </w:r>
    </w:p>
    <w:p>
      <w:pPr>
        <w:widowControl w:val="0"/>
        <w:spacing w:after="0" w:line="360" w:lineRule="auto"/>
        <w:ind w:left="1500" w:right="-9" w:firstLine="0"/>
        <w:jc w:val="both"/>
        <w:rPr>
          <w:color w:val="auto"/>
          <w:highlight w:val="none"/>
        </w:rPr>
      </w:pPr>
    </w:p>
    <w:p>
      <w:pPr>
        <w:pStyle w:val="3"/>
        <w:numPr>
          <w:ilvl w:val="1"/>
          <w:numId w:val="3"/>
        </w:numPr>
        <w:spacing w:before="0" w:after="0" w:line="360" w:lineRule="auto"/>
        <w:ind w:left="10" w:right="1593"/>
        <w:rPr>
          <w:rFonts w:ascii="宋体" w:hAnsi="宋体" w:eastAsia="宋体" w:cs="Times New Roman"/>
          <w:color w:val="auto"/>
          <w:sz w:val="24"/>
          <w:szCs w:val="24"/>
          <w:highlight w:val="none"/>
        </w:rPr>
      </w:pPr>
      <w:r>
        <w:rPr>
          <w:rFonts w:ascii="宋体" w:hAnsi="宋体" w:eastAsia="宋体" w:cs="Times New Roman"/>
          <w:color w:val="auto"/>
          <w:sz w:val="24"/>
          <w:szCs w:val="24"/>
          <w:highlight w:val="none"/>
        </w:rPr>
        <w:t xml:space="preserve">系统测试检验 </w:t>
      </w:r>
    </w:p>
    <w:p>
      <w:pPr>
        <w:numPr>
          <w:ilvl w:val="2"/>
          <w:numId w:val="3"/>
        </w:numPr>
        <w:spacing w:after="0" w:line="360" w:lineRule="auto"/>
        <w:ind w:left="979" w:right="12" w:hanging="739"/>
        <w:rPr>
          <w:color w:val="auto"/>
          <w:szCs w:val="21"/>
          <w:highlight w:val="none"/>
        </w:rPr>
      </w:pPr>
      <w:r>
        <w:rPr>
          <w:rFonts w:hint="eastAsia"/>
          <w:color w:val="auto"/>
          <w:szCs w:val="21"/>
          <w:highlight w:val="none"/>
        </w:rPr>
        <w:t xml:space="preserve">检测结果符合设计要求。 </w:t>
      </w:r>
    </w:p>
    <w:p>
      <w:pPr>
        <w:numPr>
          <w:ilvl w:val="2"/>
          <w:numId w:val="3"/>
        </w:numPr>
        <w:spacing w:after="0" w:line="360" w:lineRule="auto"/>
        <w:ind w:left="979" w:right="12" w:hanging="739"/>
        <w:rPr>
          <w:color w:val="auto"/>
          <w:szCs w:val="21"/>
          <w:highlight w:val="none"/>
        </w:rPr>
      </w:pPr>
      <w:r>
        <w:rPr>
          <w:rFonts w:hint="eastAsia"/>
          <w:color w:val="auto"/>
          <w:szCs w:val="21"/>
          <w:highlight w:val="none"/>
        </w:rPr>
        <w:t xml:space="preserve">系统检验应符合现行标准《智能建筑工程施工规范》（GB50606-2010）、《智能建筑工程质量验收规范》（GB50339-2013）等标准规范以及当地相关部门的要求。 </w:t>
      </w:r>
    </w:p>
    <w:p>
      <w:pPr>
        <w:rPr>
          <w:color w:val="auto"/>
          <w:szCs w:val="24"/>
          <w:highlight w:val="none"/>
        </w:rPr>
      </w:pPr>
      <w:r>
        <w:rPr>
          <w:b/>
          <w:color w:val="auto"/>
          <w:sz w:val="30"/>
          <w:szCs w:val="30"/>
          <w:highlight w:val="none"/>
        </w:rPr>
        <w:br w:type="page"/>
      </w:r>
      <w:bookmarkStart w:id="118" w:name="_Toc19524"/>
      <w:bookmarkStart w:id="119" w:name="_Toc15590"/>
      <w:bookmarkStart w:id="120" w:name="_Toc17178"/>
      <w:bookmarkStart w:id="121" w:name="_Toc11707"/>
      <w:bookmarkStart w:id="122" w:name="_Toc24700"/>
      <w:bookmarkStart w:id="123" w:name="_Toc14924"/>
      <w:bookmarkStart w:id="124" w:name="_Toc79151142"/>
      <w:bookmarkStart w:id="125" w:name="_Toc23213"/>
      <w:bookmarkStart w:id="126" w:name="_Toc28462"/>
    </w:p>
    <w:p>
      <w:pPr>
        <w:pStyle w:val="2"/>
        <w:numPr>
          <w:ilvl w:val="0"/>
          <w:numId w:val="2"/>
        </w:numPr>
        <w:spacing w:after="0" w:line="360" w:lineRule="auto"/>
        <w:ind w:left="490" w:leftChars="0" w:right="0" w:hanging="490" w:firstLineChars="0"/>
        <w:rPr>
          <w:b/>
          <w:color w:val="auto"/>
          <w:sz w:val="30"/>
          <w:szCs w:val="30"/>
          <w:highlight w:val="none"/>
        </w:rPr>
      </w:pPr>
      <w:bookmarkStart w:id="127" w:name="_Toc11930"/>
      <w:bookmarkStart w:id="128" w:name="_Toc19902"/>
      <w:bookmarkStart w:id="129" w:name="_Toc9860"/>
      <w:bookmarkStart w:id="130" w:name="_Toc7716"/>
      <w:bookmarkStart w:id="131" w:name="_Toc22085"/>
      <w:bookmarkStart w:id="132" w:name="_Toc25314"/>
      <w:bookmarkStart w:id="133" w:name="_Toc7494"/>
      <w:bookmarkStart w:id="134" w:name="_Toc6601"/>
      <w:bookmarkStart w:id="135" w:name="_Toc19153"/>
      <w:bookmarkStart w:id="136" w:name="_Toc4876"/>
      <w:bookmarkStart w:id="137" w:name="_Toc17947"/>
      <w:bookmarkStart w:id="138" w:name="_Toc6750"/>
      <w:bookmarkStart w:id="139" w:name="_Toc5055"/>
      <w:r>
        <w:rPr>
          <w:rFonts w:hint="eastAsia"/>
          <w:b/>
          <w:color w:val="auto"/>
          <w:sz w:val="30"/>
          <w:szCs w:val="30"/>
          <w:highlight w:val="none"/>
        </w:rPr>
        <w:t>机房工程</w:t>
      </w:r>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r>
        <w:rPr>
          <w:rFonts w:hint="eastAsia"/>
          <w:b/>
          <w:color w:val="auto"/>
          <w:sz w:val="30"/>
          <w:szCs w:val="30"/>
          <w:highlight w:val="none"/>
        </w:rPr>
        <w:t xml:space="preserve"> </w:t>
      </w:r>
    </w:p>
    <w:p>
      <w:pPr>
        <w:pStyle w:val="30"/>
        <w:keepNext/>
        <w:keepLines/>
        <w:numPr>
          <w:ilvl w:val="0"/>
          <w:numId w:val="3"/>
        </w:numPr>
        <w:spacing w:after="0" w:line="360" w:lineRule="auto"/>
        <w:ind w:right="1593" w:hanging="10" w:firstLineChars="0"/>
        <w:outlineLvl w:val="1"/>
        <w:rPr>
          <w:rFonts w:cs="Times New Roman"/>
          <w:b/>
          <w:bCs/>
          <w:vanish/>
          <w:color w:val="auto"/>
          <w:szCs w:val="24"/>
          <w:highlight w:val="none"/>
        </w:rPr>
      </w:pPr>
    </w:p>
    <w:p>
      <w:pPr>
        <w:pStyle w:val="3"/>
        <w:numPr>
          <w:ilvl w:val="1"/>
          <w:numId w:val="3"/>
        </w:numPr>
        <w:spacing w:before="0" w:after="0" w:line="360" w:lineRule="auto"/>
        <w:ind w:left="10" w:right="1593"/>
        <w:rPr>
          <w:rFonts w:ascii="宋体" w:hAnsi="宋体" w:eastAsia="宋体" w:cs="Times New Roman"/>
          <w:color w:val="auto"/>
          <w:sz w:val="24"/>
          <w:szCs w:val="24"/>
          <w:highlight w:val="none"/>
        </w:rPr>
      </w:pPr>
      <w:r>
        <w:rPr>
          <w:rFonts w:hint="eastAsia" w:ascii="宋体" w:hAnsi="宋体" w:eastAsia="宋体" w:cs="Times New Roman"/>
          <w:color w:val="auto"/>
          <w:sz w:val="24"/>
          <w:szCs w:val="24"/>
          <w:highlight w:val="none"/>
        </w:rPr>
        <w:t xml:space="preserve"> 系统要求 </w:t>
      </w:r>
    </w:p>
    <w:p>
      <w:pPr>
        <w:numPr>
          <w:ilvl w:val="2"/>
          <w:numId w:val="3"/>
        </w:numPr>
        <w:spacing w:after="0" w:line="360" w:lineRule="auto"/>
        <w:ind w:left="734" w:right="-180" w:rightChars="-75" w:hanging="494"/>
        <w:rPr>
          <w:color w:val="auto"/>
          <w:szCs w:val="24"/>
          <w:highlight w:val="none"/>
        </w:rPr>
      </w:pPr>
      <w:r>
        <w:rPr>
          <w:color w:val="auto"/>
          <w:szCs w:val="24"/>
          <w:highlight w:val="none"/>
        </w:rPr>
        <w:t xml:space="preserve">机房应不受行人、观众、环境噪音、强电磁场和有害气体的干扰。机房设备布置合理美观，同时要便于操作和维修。机房装饰要朴实大方，不求奢华， 讲求实用，广泛采用新技术、新材料，新工艺，满足防火阻燃、防静电、防尘等要求。 </w:t>
      </w:r>
    </w:p>
    <w:p>
      <w:pPr>
        <w:numPr>
          <w:ilvl w:val="2"/>
          <w:numId w:val="3"/>
        </w:numPr>
        <w:spacing w:after="0" w:line="360" w:lineRule="auto"/>
        <w:ind w:left="734" w:right="-180" w:rightChars="-75" w:hanging="494"/>
        <w:rPr>
          <w:color w:val="auto"/>
          <w:szCs w:val="24"/>
          <w:highlight w:val="none"/>
        </w:rPr>
      </w:pPr>
      <w:r>
        <w:rPr>
          <w:color w:val="auto"/>
          <w:szCs w:val="24"/>
          <w:highlight w:val="none"/>
        </w:rPr>
        <w:t xml:space="preserve">为确保机房内系统设备的正常运行，并给运行人员提供良好的工作环境，机房环境除必须满足计算机设备对温度、湿度和空气洁净度、供电电源的质量、接地、电磁兼容和振动等项的技术要求外，还必须满足在机房中工作人员对照度、新风含量、风速、噪声等要求。 </w:t>
      </w:r>
    </w:p>
    <w:p>
      <w:pPr>
        <w:numPr>
          <w:ilvl w:val="2"/>
          <w:numId w:val="3"/>
        </w:numPr>
        <w:tabs>
          <w:tab w:val="left" w:pos="720"/>
        </w:tabs>
        <w:spacing w:after="0" w:line="360" w:lineRule="auto"/>
        <w:ind w:left="720" w:leftChars="100" w:right="-180" w:rightChars="-75" w:hanging="480" w:hangingChars="200"/>
        <w:rPr>
          <w:color w:val="auto"/>
          <w:szCs w:val="24"/>
          <w:highlight w:val="none"/>
        </w:rPr>
      </w:pPr>
      <w:r>
        <w:rPr>
          <w:rFonts w:hint="eastAsia"/>
          <w:color w:val="auto"/>
          <w:szCs w:val="24"/>
          <w:highlight w:val="none"/>
        </w:rPr>
        <w:t>新信息数据机房符合《数据中心设计规范》GB50174-2017最新版本内B级机房以及《全国医院信息化建设标准与规范（试行）》里的要求，应满足</w:t>
      </w:r>
      <w:r>
        <w:rPr>
          <w:rFonts w:hint="eastAsia"/>
          <w:b/>
          <w:bCs/>
          <w:color w:val="auto"/>
          <w:szCs w:val="24"/>
          <w:highlight w:val="none"/>
        </w:rPr>
        <w:t>《中国质量认证中心认证技术规范》CQC1325-2018（详见附件7）</w:t>
      </w:r>
      <w:r>
        <w:rPr>
          <w:rFonts w:hint="eastAsia"/>
          <w:color w:val="auto"/>
          <w:szCs w:val="24"/>
          <w:highlight w:val="none"/>
        </w:rPr>
        <w:t>的要求。数据机房的供配电，UPS和柴发，并且是按照标准的模块化机房规范建设，提供有效的冷热风道隔离和空调设备冗余配置。机房所有的设备线路标签进行逐一排查，并且更换为标准的机打标签。机房、消防除符合《全国医院信息化建设标准与规范（试行）》三甲医院机房、消防设施设置规范，气体灭火装置与烟感探测器自动联动，机房门口和机房内各通道设有声光报警设备。新机房建设还应符合国家标准《数据中心能效限定值和能效等级》（</w:t>
      </w:r>
      <w:r>
        <w:rPr>
          <w:color w:val="auto"/>
          <w:szCs w:val="24"/>
          <w:highlight w:val="none"/>
        </w:rPr>
        <w:t>GB 40879—2021）</w:t>
      </w:r>
      <w:r>
        <w:rPr>
          <w:rFonts w:hint="eastAsia"/>
          <w:color w:val="auto"/>
          <w:szCs w:val="24"/>
          <w:highlight w:val="none"/>
        </w:rPr>
        <w:t>。</w:t>
      </w:r>
    </w:p>
    <w:p>
      <w:pPr>
        <w:numPr>
          <w:ilvl w:val="2"/>
          <w:numId w:val="3"/>
        </w:numPr>
        <w:spacing w:after="0" w:line="360" w:lineRule="auto"/>
        <w:ind w:left="1134" w:right="-180" w:rightChars="-75" w:hanging="894"/>
        <w:rPr>
          <w:color w:val="auto"/>
          <w:szCs w:val="24"/>
          <w:highlight w:val="none"/>
        </w:rPr>
      </w:pPr>
      <w:r>
        <w:rPr>
          <w:color w:val="auto"/>
          <w:szCs w:val="24"/>
          <w:highlight w:val="none"/>
        </w:rPr>
        <w:t xml:space="preserve">本章节的机房工程包括以下机房： </w:t>
      </w:r>
    </w:p>
    <w:p>
      <w:pPr>
        <w:numPr>
          <w:ilvl w:val="0"/>
          <w:numId w:val="55"/>
        </w:numPr>
        <w:spacing w:after="0" w:line="360" w:lineRule="auto"/>
        <w:ind w:left="1134" w:right="-180" w:rightChars="-75" w:hanging="708"/>
        <w:rPr>
          <w:color w:val="auto"/>
          <w:szCs w:val="24"/>
          <w:highlight w:val="none"/>
        </w:rPr>
      </w:pPr>
      <w:r>
        <w:rPr>
          <w:rFonts w:hint="eastAsia"/>
          <w:color w:val="auto"/>
          <w:szCs w:val="24"/>
          <w:highlight w:val="none"/>
        </w:rPr>
        <w:t>首层汇聚机房</w:t>
      </w:r>
      <w:r>
        <w:rPr>
          <w:color w:val="auto"/>
          <w:szCs w:val="24"/>
          <w:highlight w:val="none"/>
        </w:rPr>
        <w:t xml:space="preserve"> </w:t>
      </w:r>
    </w:p>
    <w:p>
      <w:pPr>
        <w:numPr>
          <w:ilvl w:val="0"/>
          <w:numId w:val="55"/>
        </w:numPr>
        <w:spacing w:after="0" w:line="360" w:lineRule="auto"/>
        <w:ind w:left="1134" w:right="-180" w:rightChars="-75" w:hanging="708"/>
        <w:rPr>
          <w:color w:val="auto"/>
          <w:szCs w:val="24"/>
          <w:highlight w:val="none"/>
        </w:rPr>
      </w:pPr>
      <w:r>
        <w:rPr>
          <w:rFonts w:hint="eastAsia"/>
          <w:color w:val="auto"/>
          <w:szCs w:val="24"/>
          <w:highlight w:val="none"/>
        </w:rPr>
        <w:t>8层数据中心</w:t>
      </w:r>
      <w:r>
        <w:rPr>
          <w:color w:val="auto"/>
          <w:szCs w:val="24"/>
          <w:highlight w:val="none"/>
        </w:rPr>
        <w:t xml:space="preserve"> </w:t>
      </w:r>
    </w:p>
    <w:p>
      <w:pPr>
        <w:numPr>
          <w:ilvl w:val="2"/>
          <w:numId w:val="3"/>
        </w:numPr>
        <w:spacing w:after="0" w:line="360" w:lineRule="auto"/>
        <w:ind w:left="1134" w:right="-180" w:rightChars="-75" w:hanging="894"/>
        <w:rPr>
          <w:color w:val="auto"/>
          <w:szCs w:val="24"/>
          <w:highlight w:val="none"/>
        </w:rPr>
      </w:pPr>
      <w:r>
        <w:rPr>
          <w:color w:val="auto"/>
          <w:szCs w:val="24"/>
          <w:highlight w:val="none"/>
        </w:rPr>
        <w:t xml:space="preserve">承包单位须供应及安装防静电活动地板(架空地板)，此地板主要提供于以下机房： </w:t>
      </w:r>
    </w:p>
    <w:p>
      <w:pPr>
        <w:numPr>
          <w:ilvl w:val="0"/>
          <w:numId w:val="56"/>
        </w:numPr>
        <w:spacing w:after="0" w:line="360" w:lineRule="auto"/>
        <w:ind w:left="1134" w:right="-180" w:rightChars="-75" w:hanging="708"/>
        <w:rPr>
          <w:color w:val="auto"/>
          <w:szCs w:val="24"/>
          <w:highlight w:val="none"/>
        </w:rPr>
      </w:pPr>
      <w:r>
        <w:rPr>
          <w:rFonts w:hint="eastAsia"/>
          <w:color w:val="auto"/>
          <w:szCs w:val="24"/>
          <w:highlight w:val="none"/>
        </w:rPr>
        <w:t>首层汇聚机房</w:t>
      </w:r>
      <w:r>
        <w:rPr>
          <w:color w:val="auto"/>
          <w:szCs w:val="24"/>
          <w:highlight w:val="none"/>
        </w:rPr>
        <w:t xml:space="preserve"> </w:t>
      </w:r>
    </w:p>
    <w:p>
      <w:pPr>
        <w:numPr>
          <w:ilvl w:val="0"/>
          <w:numId w:val="56"/>
        </w:numPr>
        <w:spacing w:after="0" w:line="360" w:lineRule="auto"/>
        <w:ind w:left="1134" w:right="-180" w:rightChars="-75" w:hanging="708"/>
        <w:rPr>
          <w:color w:val="auto"/>
          <w:szCs w:val="24"/>
          <w:highlight w:val="none"/>
        </w:rPr>
      </w:pPr>
      <w:r>
        <w:rPr>
          <w:rFonts w:hint="eastAsia"/>
          <w:color w:val="auto"/>
          <w:szCs w:val="24"/>
          <w:highlight w:val="none"/>
        </w:rPr>
        <w:t>8层数据中心</w:t>
      </w:r>
      <w:r>
        <w:rPr>
          <w:color w:val="auto"/>
          <w:szCs w:val="24"/>
          <w:highlight w:val="none"/>
        </w:rPr>
        <w:t xml:space="preserve"> </w:t>
      </w:r>
    </w:p>
    <w:p>
      <w:pPr>
        <w:numPr>
          <w:ilvl w:val="2"/>
          <w:numId w:val="3"/>
        </w:numPr>
        <w:spacing w:after="0" w:line="360" w:lineRule="auto"/>
        <w:ind w:left="734" w:right="-180" w:rightChars="-75" w:hanging="494"/>
        <w:rPr>
          <w:color w:val="auto"/>
          <w:szCs w:val="24"/>
          <w:highlight w:val="none"/>
        </w:rPr>
      </w:pPr>
      <w:r>
        <w:rPr>
          <w:rFonts w:hint="eastAsia"/>
          <w:color w:val="auto"/>
          <w:szCs w:val="24"/>
          <w:highlight w:val="none"/>
        </w:rPr>
        <w:t xml:space="preserve"> </w:t>
      </w:r>
      <w:r>
        <w:rPr>
          <w:color w:val="auto"/>
          <w:szCs w:val="24"/>
          <w:highlight w:val="none"/>
        </w:rPr>
        <w:t xml:space="preserve">  </w:t>
      </w:r>
      <w:r>
        <w:rPr>
          <w:rFonts w:hint="eastAsia"/>
          <w:b/>
          <w:bCs w:val="0"/>
          <w:color w:val="auto"/>
          <w:szCs w:val="24"/>
          <w:highlight w:val="none"/>
        </w:rPr>
        <w:t>为确保新建信息数据机房满足《中国质量认证中心认证技术规范》</w:t>
      </w:r>
      <w:r>
        <w:rPr>
          <w:b/>
          <w:bCs w:val="0"/>
          <w:color w:val="auto"/>
          <w:szCs w:val="24"/>
          <w:highlight w:val="none"/>
        </w:rPr>
        <w:t>CQC1325-2018的B级机房的认证要求，尽可能降低因设备选型不当导致机房测评无法通过B级认证的隐患，投标人需慎重考虑本项目信息数据机房建设所需的精密空调和UPS核心设备的选型。投标人需提供与投标设备的同品牌具有近三年内取得过中国质量认证中心颁发的B级或以上机房认证的应用案例相关资料（需加盖公章）。</w:t>
      </w:r>
      <w:r>
        <w:rPr>
          <w:rFonts w:hint="eastAsia"/>
          <w:b/>
          <w:bCs w:val="0"/>
          <w:color w:val="auto"/>
          <w:szCs w:val="24"/>
          <w:highlight w:val="none"/>
          <w:lang w:val="en-US" w:eastAsia="zh-CN"/>
        </w:rPr>
        <w:t>”</w:t>
      </w:r>
    </w:p>
    <w:p>
      <w:pPr>
        <w:pStyle w:val="3"/>
        <w:numPr>
          <w:ilvl w:val="1"/>
          <w:numId w:val="3"/>
        </w:numPr>
        <w:spacing w:before="0" w:after="0" w:line="360" w:lineRule="auto"/>
        <w:ind w:left="10" w:right="1593"/>
        <w:rPr>
          <w:rFonts w:ascii="宋体" w:hAnsi="宋体" w:eastAsia="宋体" w:cs="Times New Roman"/>
          <w:color w:val="auto"/>
          <w:sz w:val="24"/>
          <w:szCs w:val="24"/>
          <w:highlight w:val="none"/>
        </w:rPr>
      </w:pPr>
      <w:r>
        <w:rPr>
          <w:rFonts w:hint="eastAsia" w:ascii="宋体" w:hAnsi="宋体" w:eastAsia="宋体" w:cs="Times New Roman"/>
          <w:color w:val="auto"/>
          <w:sz w:val="24"/>
          <w:szCs w:val="24"/>
          <w:highlight w:val="none"/>
        </w:rPr>
        <w:t xml:space="preserve"> 工作范围 </w:t>
      </w:r>
    </w:p>
    <w:p>
      <w:pPr>
        <w:numPr>
          <w:ilvl w:val="2"/>
          <w:numId w:val="3"/>
        </w:numPr>
        <w:spacing w:after="0" w:line="360" w:lineRule="auto"/>
        <w:ind w:left="734" w:right="-180" w:rightChars="-75" w:hanging="494"/>
        <w:rPr>
          <w:color w:val="auto"/>
          <w:szCs w:val="24"/>
          <w:highlight w:val="none"/>
        </w:rPr>
      </w:pPr>
      <w:r>
        <w:rPr>
          <w:color w:val="auto"/>
          <w:szCs w:val="24"/>
          <w:highlight w:val="none"/>
        </w:rPr>
        <w:t>本承包单位须根据本技术规格说明书及图纸的要求，负责本项目的机房</w:t>
      </w:r>
      <w:r>
        <w:rPr>
          <w:rFonts w:hint="eastAsia"/>
          <w:color w:val="auto"/>
          <w:szCs w:val="24"/>
          <w:highlight w:val="none"/>
        </w:rPr>
        <w:t>装修、机房供配电（含U</w:t>
      </w:r>
      <w:r>
        <w:rPr>
          <w:color w:val="auto"/>
          <w:szCs w:val="24"/>
          <w:highlight w:val="none"/>
        </w:rPr>
        <w:t>PS</w:t>
      </w:r>
      <w:r>
        <w:rPr>
          <w:rFonts w:hint="eastAsia"/>
          <w:color w:val="auto"/>
          <w:szCs w:val="24"/>
          <w:highlight w:val="none"/>
        </w:rPr>
        <w:t>）、机柜及气流遏制系统、机房综合布线、机房空调、机房环境监控等系</w:t>
      </w:r>
      <w:r>
        <w:rPr>
          <w:rFonts w:hint="eastAsia"/>
          <w:szCs w:val="24"/>
          <w:highlight w:val="none"/>
        </w:rPr>
        <w:t>统设备与材料的供应安装调试及其运输、包装、现场仓储等及其运输、包装、现场仓储。</w:t>
      </w:r>
    </w:p>
    <w:p>
      <w:pPr>
        <w:numPr>
          <w:ilvl w:val="2"/>
          <w:numId w:val="3"/>
        </w:numPr>
        <w:spacing w:after="0" w:line="360" w:lineRule="auto"/>
        <w:ind w:left="734" w:right="-180" w:rightChars="-75" w:hanging="494"/>
        <w:rPr>
          <w:color w:val="auto"/>
          <w:szCs w:val="24"/>
          <w:highlight w:val="none"/>
        </w:rPr>
      </w:pPr>
      <w:r>
        <w:rPr>
          <w:color w:val="auto"/>
          <w:szCs w:val="24"/>
          <w:highlight w:val="none"/>
        </w:rPr>
        <w:t>本承包单位须负责提供</w:t>
      </w:r>
      <w:r>
        <w:rPr>
          <w:rFonts w:hint="eastAsia"/>
          <w:color w:val="auto"/>
          <w:szCs w:val="24"/>
          <w:highlight w:val="none"/>
        </w:rPr>
        <w:t>深化</w:t>
      </w:r>
      <w:r>
        <w:rPr>
          <w:color w:val="auto"/>
          <w:szCs w:val="24"/>
          <w:highlight w:val="none"/>
        </w:rPr>
        <w:t xml:space="preserve">设计﹑供应﹑安装﹑测试及试运行机房内操作台及监控墙。 </w:t>
      </w:r>
    </w:p>
    <w:p>
      <w:pPr>
        <w:numPr>
          <w:ilvl w:val="2"/>
          <w:numId w:val="3"/>
        </w:numPr>
        <w:spacing w:after="0" w:line="360" w:lineRule="auto"/>
        <w:ind w:left="734" w:right="-180" w:rightChars="-75" w:hanging="494"/>
        <w:rPr>
          <w:color w:val="auto"/>
          <w:szCs w:val="24"/>
          <w:highlight w:val="none"/>
        </w:rPr>
      </w:pPr>
      <w:r>
        <w:rPr>
          <w:color w:val="auto"/>
          <w:szCs w:val="24"/>
          <w:highlight w:val="none"/>
        </w:rPr>
        <w:t>本承包单位须负责提供</w:t>
      </w:r>
      <w:r>
        <w:rPr>
          <w:rFonts w:hint="eastAsia"/>
          <w:color w:val="auto"/>
          <w:szCs w:val="24"/>
          <w:highlight w:val="none"/>
        </w:rPr>
        <w:t>深化</w:t>
      </w:r>
      <w:r>
        <w:rPr>
          <w:color w:val="auto"/>
          <w:szCs w:val="24"/>
          <w:highlight w:val="none"/>
        </w:rPr>
        <w:t xml:space="preserve">设计﹑供应及安装机房内电源桥架﹑弱电桥架﹑ 光纤桥架及机柜（包括机柜接地）。承包单位须供应机房综合图。 </w:t>
      </w:r>
    </w:p>
    <w:p>
      <w:pPr>
        <w:numPr>
          <w:ilvl w:val="2"/>
          <w:numId w:val="3"/>
        </w:numPr>
        <w:spacing w:after="0" w:line="360" w:lineRule="auto"/>
        <w:ind w:left="734" w:right="-180" w:rightChars="-75" w:hanging="494"/>
        <w:rPr>
          <w:color w:val="auto"/>
          <w:szCs w:val="24"/>
          <w:highlight w:val="none"/>
        </w:rPr>
      </w:pPr>
      <w:r>
        <w:rPr>
          <w:color w:val="auto"/>
          <w:szCs w:val="24"/>
          <w:highlight w:val="none"/>
        </w:rPr>
        <w:t xml:space="preserve">本承包单位须负责供应及安装承重架供机房机柜、UPS 及电池。 </w:t>
      </w:r>
    </w:p>
    <w:p>
      <w:pPr>
        <w:numPr>
          <w:ilvl w:val="2"/>
          <w:numId w:val="3"/>
        </w:numPr>
        <w:spacing w:after="0" w:line="360" w:lineRule="auto"/>
        <w:ind w:left="734" w:right="-180" w:rightChars="-75" w:hanging="494"/>
        <w:rPr>
          <w:color w:val="auto"/>
          <w:szCs w:val="24"/>
          <w:highlight w:val="none"/>
        </w:rPr>
      </w:pPr>
      <w:r>
        <w:rPr>
          <w:color w:val="auto"/>
          <w:szCs w:val="24"/>
          <w:highlight w:val="none"/>
        </w:rPr>
        <w:t xml:space="preserve">所有机房内设备、架空地板及线缆回路与接地母排的联结由本承包单位负责提供。 </w:t>
      </w:r>
    </w:p>
    <w:p>
      <w:pPr>
        <w:numPr>
          <w:ilvl w:val="2"/>
          <w:numId w:val="3"/>
        </w:numPr>
        <w:spacing w:after="0" w:line="360" w:lineRule="auto"/>
        <w:ind w:left="734" w:right="-180" w:rightChars="-75" w:hanging="494"/>
        <w:rPr>
          <w:color w:val="auto"/>
          <w:szCs w:val="24"/>
          <w:highlight w:val="none"/>
        </w:rPr>
      </w:pPr>
      <w:r>
        <w:rPr>
          <w:color w:val="auto"/>
          <w:szCs w:val="24"/>
          <w:highlight w:val="none"/>
        </w:rPr>
        <w:t xml:space="preserve">凡未列入本技术说明书或图中，但又是本系统运转所必须的任何设备(包括但不限于坡道﹑坡道扶手等)、材料，也应在合约工程内予以提供，不可追加额外费用。 </w:t>
      </w:r>
    </w:p>
    <w:p>
      <w:pPr>
        <w:numPr>
          <w:ilvl w:val="2"/>
          <w:numId w:val="3"/>
        </w:numPr>
        <w:spacing w:after="0" w:line="360" w:lineRule="auto"/>
        <w:ind w:left="734" w:right="-180" w:rightChars="-75" w:hanging="494"/>
        <w:rPr>
          <w:color w:val="auto"/>
          <w:szCs w:val="24"/>
          <w:highlight w:val="none"/>
        </w:rPr>
      </w:pPr>
      <w:r>
        <w:rPr>
          <w:color w:val="auto"/>
          <w:szCs w:val="24"/>
          <w:highlight w:val="none"/>
        </w:rPr>
        <w:t xml:space="preserve">承包单位在议标前须研究工地的实际条件及收视环境以了解影响系统设计及设备选择之各种因素及需具有施工上岗证。 </w:t>
      </w:r>
    </w:p>
    <w:p>
      <w:pPr>
        <w:numPr>
          <w:ilvl w:val="2"/>
          <w:numId w:val="3"/>
        </w:numPr>
        <w:spacing w:after="0" w:line="360" w:lineRule="auto"/>
        <w:ind w:left="734" w:right="-180" w:rightChars="-75" w:hanging="494"/>
        <w:rPr>
          <w:color w:val="auto"/>
          <w:szCs w:val="24"/>
          <w:highlight w:val="none"/>
        </w:rPr>
      </w:pPr>
      <w:r>
        <w:rPr>
          <w:rFonts w:hint="eastAsia"/>
          <w:szCs w:val="24"/>
          <w:highlight w:val="none"/>
        </w:rPr>
        <w:t>技术培训（应含操作手册、培训的人数、时间）和系统正式移交后的技术服务和支持。竣工图及竣工资料。上述工作配套的附件、工具、备品备件、资料的提供</w:t>
      </w:r>
      <w:r>
        <w:rPr>
          <w:rFonts w:hint="eastAsia"/>
          <w:b/>
          <w:bCs/>
          <w:color w:val="auto"/>
          <w:szCs w:val="24"/>
          <w:highlight w:val="none"/>
        </w:rPr>
        <w:t>。</w:t>
      </w:r>
    </w:p>
    <w:p>
      <w:pPr>
        <w:numPr>
          <w:ilvl w:val="2"/>
          <w:numId w:val="3"/>
        </w:numPr>
        <w:spacing w:after="0" w:line="360" w:lineRule="auto"/>
        <w:ind w:left="734" w:right="-180" w:rightChars="-75" w:hanging="494"/>
        <w:rPr>
          <w:b/>
          <w:color w:val="auto"/>
          <w:szCs w:val="24"/>
          <w:highlight w:val="none"/>
        </w:rPr>
      </w:pPr>
      <w:r>
        <w:rPr>
          <w:rFonts w:hint="eastAsia"/>
          <w:b/>
          <w:szCs w:val="24"/>
          <w:highlight w:val="none"/>
        </w:rPr>
        <w:t>中标单位负责本机房B级机房认证（</w:t>
      </w:r>
      <w:r>
        <w:rPr>
          <w:rFonts w:hint="eastAsia"/>
          <w:b/>
          <w:bCs/>
          <w:color w:val="auto"/>
          <w:szCs w:val="24"/>
          <w:highlight w:val="none"/>
        </w:rPr>
        <w:t>中国质量认证中心颁发</w:t>
      </w:r>
      <w:r>
        <w:rPr>
          <w:rFonts w:hint="eastAsia"/>
          <w:b/>
          <w:szCs w:val="24"/>
          <w:highlight w:val="none"/>
        </w:rPr>
        <w:t>）证书申请，并取得相关证书作为验收资料提交</w:t>
      </w:r>
      <w:r>
        <w:rPr>
          <w:rFonts w:hint="eastAsia"/>
          <w:b/>
          <w:color w:val="auto"/>
          <w:szCs w:val="24"/>
          <w:highlight w:val="none"/>
        </w:rPr>
        <w:t>。</w:t>
      </w:r>
    </w:p>
    <w:p>
      <w:pPr>
        <w:numPr>
          <w:ilvl w:val="2"/>
          <w:numId w:val="3"/>
        </w:numPr>
        <w:tabs>
          <w:tab w:val="left" w:pos="960"/>
        </w:tabs>
        <w:spacing w:after="0" w:line="360" w:lineRule="auto"/>
        <w:ind w:left="734" w:right="-180" w:rightChars="-75" w:hanging="494"/>
        <w:rPr>
          <w:color w:val="auto"/>
          <w:szCs w:val="24"/>
          <w:highlight w:val="none"/>
        </w:rPr>
      </w:pPr>
      <w:r>
        <w:rPr>
          <w:rFonts w:hint="eastAsia"/>
          <w:color w:val="auto"/>
          <w:szCs w:val="24"/>
          <w:highlight w:val="none"/>
        </w:rPr>
        <w:t>施工单位需对防水、防尘、防鼠害等按规范要求做好相关处理。</w:t>
      </w:r>
    </w:p>
    <w:p>
      <w:pPr>
        <w:spacing w:after="0" w:line="360" w:lineRule="auto"/>
        <w:ind w:left="1134" w:right="-180" w:rightChars="-75" w:hanging="708"/>
        <w:rPr>
          <w:color w:val="auto"/>
          <w:szCs w:val="24"/>
          <w:highlight w:val="none"/>
        </w:rPr>
      </w:pPr>
    </w:p>
    <w:p>
      <w:pPr>
        <w:pStyle w:val="3"/>
        <w:numPr>
          <w:ilvl w:val="1"/>
          <w:numId w:val="3"/>
        </w:numPr>
        <w:spacing w:before="0" w:after="0" w:line="360" w:lineRule="auto"/>
        <w:ind w:left="10" w:right="1593"/>
        <w:rPr>
          <w:rFonts w:ascii="宋体" w:hAnsi="宋体" w:eastAsia="宋体" w:cs="Times New Roman"/>
          <w:color w:val="auto"/>
          <w:sz w:val="24"/>
          <w:szCs w:val="24"/>
          <w:highlight w:val="none"/>
        </w:rPr>
      </w:pPr>
      <w:r>
        <w:rPr>
          <w:rFonts w:hint="eastAsia" w:ascii="宋体" w:hAnsi="宋体" w:eastAsia="宋体" w:cs="Times New Roman"/>
          <w:color w:val="auto"/>
          <w:sz w:val="24"/>
          <w:szCs w:val="24"/>
          <w:highlight w:val="none"/>
        </w:rPr>
        <w:t xml:space="preserve">系统描述 </w:t>
      </w:r>
    </w:p>
    <w:p>
      <w:pPr>
        <w:pStyle w:val="4"/>
        <w:numPr>
          <w:ilvl w:val="0"/>
          <w:numId w:val="57"/>
        </w:numPr>
        <w:tabs>
          <w:tab w:val="left" w:pos="960"/>
        </w:tabs>
        <w:spacing w:before="0" w:after="0" w:line="360" w:lineRule="auto"/>
        <w:ind w:left="254" w:right="-180" w:rightChars="-75" w:hanging="14"/>
        <w:rPr>
          <w:color w:val="auto"/>
          <w:sz w:val="24"/>
          <w:szCs w:val="24"/>
          <w:highlight w:val="none"/>
        </w:rPr>
      </w:pPr>
      <w:r>
        <w:rPr>
          <w:rFonts w:hint="eastAsia"/>
          <w:color w:val="auto"/>
          <w:sz w:val="24"/>
          <w:szCs w:val="24"/>
          <w:highlight w:val="none"/>
        </w:rPr>
        <w:t>项目目标</w:t>
      </w:r>
    </w:p>
    <w:p>
      <w:pPr>
        <w:spacing w:after="0" w:line="360" w:lineRule="auto"/>
        <w:ind w:left="170" w:leftChars="71" w:right="-180" w:rightChars="-75" w:firstLine="547" w:firstLineChars="228"/>
        <w:rPr>
          <w:color w:val="auto"/>
          <w:szCs w:val="24"/>
          <w:highlight w:val="none"/>
        </w:rPr>
      </w:pPr>
      <w:r>
        <w:rPr>
          <w:rFonts w:hint="eastAsia"/>
          <w:color w:val="auto"/>
          <w:szCs w:val="24"/>
          <w:highlight w:val="none"/>
        </w:rPr>
        <w:t>本项目包括装饰装修、电气系统（含供配电、</w:t>
      </w:r>
      <w:r>
        <w:rPr>
          <w:color w:val="auto"/>
          <w:szCs w:val="24"/>
          <w:highlight w:val="none"/>
        </w:rPr>
        <w:t>UPS、防雷接地）、精密空调系统、微模块系统、综合布线系统、门禁安防系统、动环监控系统、新风系统、灾后清空系统（不在本包范围内）、气体灭火系统（不在本包范围内）、消防报警系统（不在本包范围内）等子系统，由中标人负责实施完成项目目标的设备、软件和材料供货，以及安装调试、第三方检测认证、运行维护培训、设备保修、B级机房认证证书申请等服务。包括以下主要子项：</w:t>
      </w:r>
    </w:p>
    <w:p>
      <w:pPr>
        <w:spacing w:after="0" w:line="360" w:lineRule="auto"/>
        <w:ind w:left="1134" w:right="-180" w:rightChars="-75" w:hanging="708"/>
        <w:rPr>
          <w:color w:val="auto"/>
          <w:szCs w:val="24"/>
          <w:highlight w:val="none"/>
        </w:rPr>
      </w:pPr>
      <w:r>
        <w:rPr>
          <w:rFonts w:hint="eastAsia"/>
          <w:color w:val="auto"/>
          <w:szCs w:val="24"/>
          <w:highlight w:val="none"/>
        </w:rPr>
        <w:t>（一）装修装饰</w:t>
      </w:r>
    </w:p>
    <w:p>
      <w:pPr>
        <w:spacing w:after="0" w:line="360" w:lineRule="auto"/>
        <w:ind w:left="254" w:right="-180" w:rightChars="-75" w:firstLine="465" w:firstLineChars="194"/>
        <w:rPr>
          <w:color w:val="auto"/>
          <w:szCs w:val="24"/>
          <w:highlight w:val="none"/>
        </w:rPr>
      </w:pPr>
      <w:r>
        <w:rPr>
          <w:rFonts w:hint="eastAsia"/>
          <w:color w:val="auto"/>
          <w:szCs w:val="24"/>
          <w:highlight w:val="none"/>
        </w:rPr>
        <w:t>机房各分区顶面做好防尘、防水和保温措施，需吊顶；地面做好防尘、防水、防静电、保温处理，地面架空铺设防静电地板。各分区之间采用防火玻璃进行隔断，隔墙做好保温和屏蔽措施，砖墙墙面采用彩钢板饰面。机房装修装饰材料要达到</w:t>
      </w:r>
      <w:r>
        <w:rPr>
          <w:color w:val="auto"/>
          <w:szCs w:val="24"/>
          <w:highlight w:val="none"/>
        </w:rPr>
        <w:t>A级机房防火要求。</w:t>
      </w:r>
    </w:p>
    <w:p>
      <w:pPr>
        <w:spacing w:after="0" w:line="360" w:lineRule="auto"/>
        <w:ind w:left="254" w:right="-180" w:rightChars="-75" w:firstLine="465" w:firstLineChars="194"/>
        <w:rPr>
          <w:color w:val="auto"/>
          <w:szCs w:val="24"/>
          <w:highlight w:val="none"/>
        </w:rPr>
      </w:pPr>
      <w:r>
        <w:rPr>
          <w:rFonts w:hint="eastAsia"/>
          <w:color w:val="auto"/>
          <w:szCs w:val="24"/>
          <w:highlight w:val="none"/>
        </w:rPr>
        <w:t>具体详见“5.3.3.1 装饰装修系统”中“机房装修”和《招标图纸》中“装饰装修图”。</w:t>
      </w:r>
    </w:p>
    <w:p>
      <w:pPr>
        <w:spacing w:after="0" w:line="360" w:lineRule="auto"/>
        <w:ind w:left="1134" w:right="-180" w:rightChars="-75" w:hanging="708"/>
        <w:rPr>
          <w:color w:val="auto"/>
          <w:szCs w:val="24"/>
          <w:highlight w:val="none"/>
        </w:rPr>
      </w:pPr>
      <w:r>
        <w:rPr>
          <w:rFonts w:hint="eastAsia"/>
          <w:color w:val="auto"/>
          <w:szCs w:val="24"/>
          <w:highlight w:val="none"/>
        </w:rPr>
        <w:t>（二）供配电</w:t>
      </w:r>
    </w:p>
    <w:p>
      <w:pPr>
        <w:spacing w:after="0" w:line="360" w:lineRule="auto"/>
        <w:ind w:left="247" w:leftChars="103" w:right="-180" w:rightChars="-75" w:firstLine="470" w:firstLineChars="196"/>
        <w:rPr>
          <w:color w:val="auto"/>
          <w:szCs w:val="24"/>
          <w:highlight w:val="none"/>
        </w:rPr>
      </w:pPr>
      <w:r>
        <w:rPr>
          <w:rFonts w:hint="eastAsia"/>
          <w:color w:val="auto"/>
          <w:szCs w:val="24"/>
          <w:highlight w:val="none"/>
        </w:rPr>
        <w:t>本项目以独立的</w:t>
      </w:r>
      <w:r>
        <w:rPr>
          <w:color w:val="auto"/>
          <w:szCs w:val="24"/>
          <w:highlight w:val="none"/>
        </w:rPr>
        <w:t>380V/220V、50Hz、TN-S（三相五线）电源系统，由总配电室放射式为机房区域设备供电。</w:t>
      </w:r>
    </w:p>
    <w:p>
      <w:pPr>
        <w:spacing w:after="0" w:line="360" w:lineRule="auto"/>
        <w:ind w:left="247" w:leftChars="103" w:right="-180" w:rightChars="-75" w:firstLine="470" w:firstLineChars="196"/>
        <w:rPr>
          <w:color w:val="auto"/>
          <w:szCs w:val="24"/>
          <w:highlight w:val="none"/>
        </w:rPr>
      </w:pPr>
      <w:r>
        <w:rPr>
          <w:rFonts w:hint="eastAsia"/>
          <w:color w:val="auto"/>
          <w:szCs w:val="24"/>
          <w:highlight w:val="none"/>
        </w:rPr>
        <w:t>机柜负载由市电、移动发电车发电机供电接至</w:t>
      </w:r>
      <w:r>
        <w:rPr>
          <w:color w:val="auto"/>
          <w:szCs w:val="24"/>
          <w:highlight w:val="none"/>
        </w:rPr>
        <w:t>ATS切换柜（不包含在本次范围内）。机房各区域布设区域配电列头柜（箱），机房机柜由配电列头柜供电，有关区域设市电和UPS电源插座。</w:t>
      </w:r>
    </w:p>
    <w:p>
      <w:pPr>
        <w:spacing w:after="0" w:line="360" w:lineRule="auto"/>
        <w:ind w:left="247" w:leftChars="103" w:right="-180" w:rightChars="-75" w:firstLine="470" w:firstLineChars="196"/>
        <w:rPr>
          <w:color w:val="auto"/>
          <w:szCs w:val="24"/>
          <w:highlight w:val="none"/>
        </w:rPr>
      </w:pPr>
      <w:r>
        <w:rPr>
          <w:rFonts w:hint="eastAsia"/>
          <w:color w:val="auto"/>
          <w:szCs w:val="24"/>
          <w:highlight w:val="none"/>
        </w:rPr>
        <w:t>大楼低压配电室设置一级防雷（不包含本次范围内），空调配电</w:t>
      </w:r>
      <w:r>
        <w:rPr>
          <w:color w:val="auto"/>
          <w:szCs w:val="24"/>
          <w:highlight w:val="none"/>
        </w:rPr>
        <w:t>ATS切换柜设置二级防雷（不包含本次范围内）, 空调动力柜、UPS输出配电柜设置三级防雷，区域配电列头柜设置四级防雷。</w:t>
      </w:r>
    </w:p>
    <w:p>
      <w:pPr>
        <w:spacing w:after="0" w:line="360" w:lineRule="auto"/>
        <w:ind w:left="247" w:leftChars="103" w:right="-180" w:rightChars="-75" w:firstLine="470" w:firstLineChars="196"/>
        <w:rPr>
          <w:color w:val="auto"/>
          <w:szCs w:val="24"/>
          <w:highlight w:val="none"/>
        </w:rPr>
      </w:pPr>
      <w:r>
        <w:rPr>
          <w:rFonts w:hint="eastAsia"/>
          <w:color w:val="auto"/>
          <w:szCs w:val="24"/>
          <w:highlight w:val="none"/>
        </w:rPr>
        <w:t>机房共用大楼接地系统，机房内布设等电位地网，机房内所有设备的金属外壳和金属线管、龙骨、彩钢板等金属部件都必须接等电位地网。</w:t>
      </w:r>
    </w:p>
    <w:p>
      <w:pPr>
        <w:spacing w:after="0" w:line="360" w:lineRule="auto"/>
        <w:ind w:left="247" w:leftChars="103" w:right="-180" w:rightChars="-75" w:firstLine="470" w:firstLineChars="196"/>
        <w:rPr>
          <w:color w:val="auto"/>
          <w:szCs w:val="24"/>
          <w:highlight w:val="none"/>
        </w:rPr>
      </w:pPr>
      <w:r>
        <w:rPr>
          <w:rFonts w:hint="eastAsia"/>
          <w:color w:val="auto"/>
          <w:szCs w:val="24"/>
          <w:highlight w:val="none"/>
        </w:rPr>
        <w:t>具体详见“5.3.3.2 电气系统”中“机房配电“和《招标图纸》中“供配电图”。</w:t>
      </w:r>
    </w:p>
    <w:p>
      <w:pPr>
        <w:spacing w:after="0" w:line="360" w:lineRule="auto"/>
        <w:ind w:left="1134" w:right="-180" w:rightChars="-75" w:hanging="708"/>
        <w:rPr>
          <w:color w:val="auto"/>
          <w:szCs w:val="24"/>
          <w:highlight w:val="none"/>
        </w:rPr>
      </w:pPr>
      <w:r>
        <w:rPr>
          <w:rFonts w:hint="eastAsia"/>
          <w:color w:val="auto"/>
          <w:szCs w:val="24"/>
          <w:highlight w:val="none"/>
        </w:rPr>
        <w:t>（三）精密空调</w:t>
      </w:r>
    </w:p>
    <w:p>
      <w:pPr>
        <w:spacing w:after="0" w:line="360" w:lineRule="auto"/>
        <w:ind w:left="247" w:leftChars="103" w:right="-180" w:rightChars="-75" w:firstLine="468" w:firstLineChars="195"/>
        <w:rPr>
          <w:color w:val="auto"/>
          <w:szCs w:val="24"/>
          <w:highlight w:val="none"/>
        </w:rPr>
      </w:pPr>
      <w:r>
        <w:rPr>
          <w:rFonts w:hint="eastAsia"/>
          <w:color w:val="auto"/>
          <w:szCs w:val="24"/>
          <w:highlight w:val="none"/>
        </w:rPr>
        <w:t>精密空调设计需满足各分区的制冷要求，各区域采用</w:t>
      </w:r>
      <w:r>
        <w:rPr>
          <w:color w:val="auto"/>
          <w:szCs w:val="24"/>
          <w:highlight w:val="none"/>
        </w:rPr>
        <w:t>N+1冗余备份方式配置风冷式精密空调，室外机放置在设备转换层，主机房温湿度控制要求达到国家B级机房标准。</w:t>
      </w:r>
    </w:p>
    <w:p>
      <w:pPr>
        <w:spacing w:after="0" w:line="360" w:lineRule="auto"/>
        <w:ind w:left="247" w:leftChars="103" w:right="-180" w:rightChars="-75" w:firstLine="468" w:firstLineChars="195"/>
        <w:rPr>
          <w:color w:val="auto"/>
          <w:szCs w:val="24"/>
          <w:highlight w:val="none"/>
        </w:rPr>
      </w:pPr>
      <w:r>
        <w:rPr>
          <w:rFonts w:hint="eastAsia"/>
          <w:color w:val="auto"/>
          <w:szCs w:val="24"/>
          <w:highlight w:val="none"/>
        </w:rPr>
        <w:t>具体详见“5.3.3.3 暖通系统”中“空调及通风”和《招标图纸》中“空调及通风图”。</w:t>
      </w:r>
    </w:p>
    <w:p>
      <w:pPr>
        <w:spacing w:after="0" w:line="360" w:lineRule="auto"/>
        <w:ind w:left="1134" w:right="-180" w:rightChars="-75" w:hanging="708"/>
        <w:rPr>
          <w:color w:val="auto"/>
          <w:szCs w:val="24"/>
          <w:highlight w:val="none"/>
        </w:rPr>
      </w:pPr>
      <w:r>
        <w:rPr>
          <w:rFonts w:hint="eastAsia"/>
          <w:color w:val="auto"/>
          <w:szCs w:val="24"/>
          <w:highlight w:val="none"/>
        </w:rPr>
        <w:t>（四）微模块</w:t>
      </w:r>
    </w:p>
    <w:p>
      <w:pPr>
        <w:spacing w:after="0" w:line="360" w:lineRule="auto"/>
        <w:ind w:left="240" w:right="-180" w:rightChars="-75" w:firstLine="480" w:firstLineChars="200"/>
        <w:rPr>
          <w:color w:val="auto"/>
          <w:szCs w:val="24"/>
          <w:highlight w:val="none"/>
        </w:rPr>
      </w:pPr>
      <w:r>
        <w:rPr>
          <w:rFonts w:hint="eastAsia"/>
          <w:color w:val="auto"/>
          <w:szCs w:val="24"/>
          <w:highlight w:val="none"/>
        </w:rPr>
        <w:t>机柜用于存放网络设备和服务器设备，承载能力和空间要满足要求。为达到节能环保目的，机房区域共采购</w:t>
      </w:r>
      <w:r>
        <w:rPr>
          <w:color w:val="auto"/>
          <w:szCs w:val="24"/>
          <w:highlight w:val="none"/>
        </w:rPr>
        <w:t>8套冷通道系统，其中主机房（一）4套，主机房（二）4套，网络DMZ区域1套，网络设备和安全区域1套。</w:t>
      </w:r>
    </w:p>
    <w:p>
      <w:pPr>
        <w:spacing w:after="0" w:line="360" w:lineRule="auto"/>
        <w:ind w:left="240" w:right="-180" w:rightChars="-75" w:firstLine="480" w:firstLineChars="200"/>
        <w:rPr>
          <w:color w:val="auto"/>
          <w:szCs w:val="24"/>
          <w:highlight w:val="none"/>
        </w:rPr>
      </w:pPr>
      <w:r>
        <w:rPr>
          <w:rFonts w:hint="eastAsia"/>
          <w:color w:val="auto"/>
          <w:szCs w:val="24"/>
          <w:highlight w:val="none"/>
        </w:rPr>
        <w:t>具体详见“5.3.3.5 微模块冷通道系统”和《招标图纸》中“机柜图”。</w:t>
      </w:r>
    </w:p>
    <w:p>
      <w:pPr>
        <w:spacing w:after="0" w:line="360" w:lineRule="auto"/>
        <w:ind w:left="1134" w:right="-180" w:rightChars="-75" w:hanging="708"/>
        <w:rPr>
          <w:color w:val="auto"/>
          <w:szCs w:val="24"/>
          <w:highlight w:val="none"/>
        </w:rPr>
      </w:pPr>
      <w:r>
        <w:rPr>
          <w:rFonts w:hint="eastAsia"/>
          <w:color w:val="auto"/>
          <w:szCs w:val="24"/>
          <w:highlight w:val="none"/>
        </w:rPr>
        <w:t>（五）综合布线</w:t>
      </w:r>
    </w:p>
    <w:p>
      <w:pPr>
        <w:spacing w:after="0" w:line="360" w:lineRule="auto"/>
        <w:ind w:left="240" w:right="-180" w:rightChars="-75" w:firstLine="480" w:firstLineChars="200"/>
        <w:rPr>
          <w:color w:val="auto"/>
          <w:szCs w:val="24"/>
          <w:highlight w:val="none"/>
        </w:rPr>
      </w:pPr>
      <w:r>
        <w:rPr>
          <w:rFonts w:hint="eastAsia"/>
          <w:color w:val="auto"/>
          <w:szCs w:val="24"/>
          <w:highlight w:val="none"/>
        </w:rPr>
        <w:t>机房各区域布设区域布线列头柜，列头柜至各模块机柜通过光纤预端接连接。各区列头柜通过光纤连接到汇聚机房汇聚列头柜。</w:t>
      </w:r>
    </w:p>
    <w:p>
      <w:pPr>
        <w:spacing w:after="0" w:line="360" w:lineRule="auto"/>
        <w:ind w:left="240" w:right="-180" w:rightChars="-75" w:firstLine="480" w:firstLineChars="200"/>
        <w:rPr>
          <w:color w:val="auto"/>
          <w:szCs w:val="24"/>
          <w:highlight w:val="none"/>
        </w:rPr>
      </w:pPr>
      <w:r>
        <w:rPr>
          <w:rFonts w:hint="eastAsia"/>
          <w:color w:val="auto"/>
          <w:szCs w:val="24"/>
          <w:highlight w:val="none"/>
        </w:rPr>
        <w:t>具体详见《招标图纸》。</w:t>
      </w:r>
    </w:p>
    <w:p>
      <w:pPr>
        <w:spacing w:after="0" w:line="360" w:lineRule="auto"/>
        <w:ind w:left="1134" w:right="-180" w:rightChars="-75" w:hanging="708"/>
        <w:rPr>
          <w:color w:val="auto"/>
          <w:szCs w:val="24"/>
          <w:highlight w:val="none"/>
        </w:rPr>
      </w:pPr>
      <w:r>
        <w:rPr>
          <w:rFonts w:hint="eastAsia"/>
          <w:color w:val="auto"/>
          <w:szCs w:val="24"/>
          <w:highlight w:val="none"/>
        </w:rPr>
        <w:t>（六）门禁安全</w:t>
      </w:r>
    </w:p>
    <w:p>
      <w:pPr>
        <w:spacing w:after="0" w:line="360" w:lineRule="auto"/>
        <w:ind w:left="240" w:right="-180" w:rightChars="-75" w:firstLine="480" w:firstLineChars="200"/>
        <w:rPr>
          <w:color w:val="auto"/>
          <w:szCs w:val="24"/>
          <w:highlight w:val="none"/>
        </w:rPr>
      </w:pPr>
      <w:r>
        <w:rPr>
          <w:rFonts w:hint="eastAsia"/>
          <w:color w:val="auto"/>
          <w:szCs w:val="24"/>
          <w:highlight w:val="none"/>
        </w:rPr>
        <w:t>机房作为重要场所，为确保其安全，防范不法分子的闯入和破坏，需采取可靠有效的安全预防措施。机房安全防范系统主要由视频安防监控（含显示系统）、入侵报警、出入口控制三个独立子系统组成，各子系统均需要提供标准的</w:t>
      </w:r>
      <w:r>
        <w:rPr>
          <w:color w:val="auto"/>
          <w:szCs w:val="24"/>
          <w:highlight w:val="none"/>
        </w:rPr>
        <w:t>SNMP服务、OPC服务接口，实现综合智能监控系统的统一管理，互为联动。各子系统的历史保存时间应满足要求，其中视频安防监控系统不少于180天，入侵报警和出入口控制系统不少于一年。</w:t>
      </w:r>
    </w:p>
    <w:p>
      <w:pPr>
        <w:spacing w:after="0" w:line="360" w:lineRule="auto"/>
        <w:ind w:left="240" w:right="-180" w:rightChars="-75" w:firstLine="480" w:firstLineChars="200"/>
        <w:rPr>
          <w:color w:val="auto"/>
          <w:szCs w:val="24"/>
          <w:highlight w:val="none"/>
        </w:rPr>
      </w:pPr>
      <w:r>
        <w:rPr>
          <w:rFonts w:hint="eastAsia"/>
          <w:color w:val="auto"/>
          <w:szCs w:val="24"/>
          <w:highlight w:val="none"/>
        </w:rPr>
        <w:t>具体详见《招标图纸》。</w:t>
      </w:r>
    </w:p>
    <w:p>
      <w:pPr>
        <w:spacing w:after="0" w:line="360" w:lineRule="auto"/>
        <w:ind w:left="1134" w:right="-180" w:rightChars="-75" w:hanging="708"/>
        <w:rPr>
          <w:color w:val="auto"/>
          <w:szCs w:val="24"/>
          <w:highlight w:val="none"/>
        </w:rPr>
      </w:pPr>
      <w:r>
        <w:rPr>
          <w:rFonts w:hint="eastAsia"/>
          <w:color w:val="auto"/>
          <w:szCs w:val="24"/>
          <w:highlight w:val="none"/>
        </w:rPr>
        <w:t>（七）动环监控</w:t>
      </w:r>
    </w:p>
    <w:p>
      <w:pPr>
        <w:spacing w:after="0" w:line="360" w:lineRule="auto"/>
        <w:ind w:left="254" w:right="-180" w:rightChars="-75" w:firstLine="465" w:firstLineChars="194"/>
        <w:rPr>
          <w:color w:val="auto"/>
          <w:szCs w:val="24"/>
          <w:highlight w:val="none"/>
        </w:rPr>
      </w:pPr>
      <w:r>
        <w:rPr>
          <w:rFonts w:hint="eastAsia"/>
          <w:color w:val="auto"/>
          <w:szCs w:val="24"/>
          <w:highlight w:val="none"/>
        </w:rPr>
        <w:t>动环监控实现对信息机房机房内设备和环境进行</w:t>
      </w:r>
      <w:r>
        <w:rPr>
          <w:color w:val="auto"/>
          <w:szCs w:val="24"/>
          <w:highlight w:val="none"/>
        </w:rPr>
        <w:t>24小时实时监控，包括对配电、UPS、精密空调、温湿度、漏水、通风、排风、消防、出入口控制、视频安防、入侵报警等集中监控管理，提供声音、图像、短信</w:t>
      </w:r>
      <w:r>
        <w:rPr>
          <w:rFonts w:hint="eastAsia"/>
          <w:color w:val="auto"/>
          <w:szCs w:val="24"/>
          <w:highlight w:val="none"/>
        </w:rPr>
        <w:t>及固话</w:t>
      </w:r>
      <w:r>
        <w:rPr>
          <w:color w:val="auto"/>
          <w:szCs w:val="24"/>
          <w:highlight w:val="none"/>
        </w:rPr>
        <w:t>等报警功能，集成为统一管控平台，并实现移动终端APP管控，实现大屏展示。并具备日志记载及相关报表功能，监控日志的保存时间不少于一年。通过综合智能监控系统实现消防系统和安全防范各子系统间联动控制功能, 联动功能实现为基于监控系统软件实现。综合智能监控系统要接入招标人现行信息机房机房综合智能监控平台和第三方平台，实现统一联网监</w:t>
      </w:r>
      <w:r>
        <w:rPr>
          <w:rFonts w:hint="eastAsia"/>
          <w:color w:val="auto"/>
          <w:szCs w:val="24"/>
          <w:highlight w:val="none"/>
        </w:rPr>
        <w:t>控管理，并实现移动终端</w:t>
      </w:r>
      <w:r>
        <w:rPr>
          <w:color w:val="auto"/>
          <w:szCs w:val="24"/>
          <w:highlight w:val="none"/>
        </w:rPr>
        <w:t>APP管控和大屏展示。</w:t>
      </w:r>
    </w:p>
    <w:p>
      <w:pPr>
        <w:spacing w:after="0" w:line="360" w:lineRule="auto"/>
        <w:ind w:left="254" w:right="-180" w:rightChars="-75" w:firstLine="465" w:firstLineChars="194"/>
        <w:rPr>
          <w:color w:val="auto"/>
          <w:szCs w:val="24"/>
          <w:highlight w:val="none"/>
        </w:rPr>
      </w:pPr>
      <w:r>
        <w:rPr>
          <w:rFonts w:hint="eastAsia"/>
          <w:color w:val="auto"/>
          <w:szCs w:val="24"/>
          <w:highlight w:val="none"/>
        </w:rPr>
        <w:t>具体详见“5.3.3.6 机房环境监控”和《招标图纸》。</w:t>
      </w:r>
    </w:p>
    <w:p>
      <w:pPr>
        <w:pStyle w:val="4"/>
        <w:numPr>
          <w:ilvl w:val="0"/>
          <w:numId w:val="57"/>
        </w:numPr>
        <w:spacing w:before="0" w:after="0" w:line="360" w:lineRule="auto"/>
        <w:ind w:left="1134" w:right="-180" w:rightChars="-75" w:hanging="708"/>
        <w:rPr>
          <w:color w:val="auto"/>
          <w:sz w:val="24"/>
          <w:szCs w:val="24"/>
          <w:highlight w:val="none"/>
        </w:rPr>
      </w:pPr>
      <w:r>
        <w:rPr>
          <w:rFonts w:hint="eastAsia"/>
          <w:color w:val="auto"/>
          <w:sz w:val="24"/>
          <w:szCs w:val="24"/>
          <w:highlight w:val="none"/>
        </w:rPr>
        <w:t>标准及规范</w:t>
      </w:r>
    </w:p>
    <w:p>
      <w:pPr>
        <w:spacing w:after="0" w:line="360" w:lineRule="auto"/>
        <w:ind w:left="240" w:right="-180" w:rightChars="-75" w:firstLine="480" w:firstLineChars="200"/>
        <w:rPr>
          <w:color w:val="auto"/>
          <w:szCs w:val="24"/>
          <w:highlight w:val="none"/>
        </w:rPr>
      </w:pPr>
      <w:r>
        <w:rPr>
          <w:rFonts w:hint="eastAsia"/>
          <w:color w:val="auto"/>
          <w:szCs w:val="24"/>
          <w:highlight w:val="none"/>
        </w:rPr>
        <w:t>必须达到以下现行国家现行的有关规范、标准，行业及地方的标准定等一切有关规范的要求，如下述标准及规范要求与标书要求有出入，则以较严格者为准。</w:t>
      </w:r>
    </w:p>
    <w:tbl>
      <w:tblPr>
        <w:tblStyle w:val="18"/>
        <w:tblpPr w:leftFromText="180" w:rightFromText="180" w:vertAnchor="text" w:tblpXSpec="center" w:tblpY="1"/>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736"/>
        <w:gridCol w:w="5447"/>
        <w:gridCol w:w="21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195" w:hRule="atLeast"/>
        </w:trPr>
        <w:tc>
          <w:tcPr>
            <w:tcW w:w="736" w:type="dxa"/>
            <w:shd w:val="clear" w:color="auto" w:fill="808080"/>
            <w:vAlign w:val="center"/>
          </w:tcPr>
          <w:p>
            <w:pPr>
              <w:spacing w:after="0" w:line="240" w:lineRule="auto"/>
              <w:ind w:left="732" w:right="-180" w:rightChars="-75" w:hanging="732" w:hangingChars="305"/>
              <w:jc w:val="center"/>
              <w:textAlignment w:val="center"/>
              <w:rPr>
                <w:bCs/>
                <w:szCs w:val="24"/>
                <w:highlight w:val="none"/>
              </w:rPr>
            </w:pPr>
            <w:bookmarkStart w:id="140" w:name="_Hlk114408703"/>
            <w:r>
              <w:rPr>
                <w:rFonts w:hint="eastAsia"/>
                <w:bCs/>
                <w:szCs w:val="24"/>
                <w:highlight w:val="none"/>
              </w:rPr>
              <w:t>序号</w:t>
            </w:r>
          </w:p>
        </w:tc>
        <w:tc>
          <w:tcPr>
            <w:tcW w:w="5447" w:type="dxa"/>
            <w:shd w:val="clear" w:color="auto" w:fill="808080"/>
            <w:vAlign w:val="center"/>
          </w:tcPr>
          <w:p>
            <w:pPr>
              <w:spacing w:after="0" w:line="240" w:lineRule="auto"/>
              <w:ind w:left="1134" w:right="-180" w:rightChars="-75" w:hanging="708"/>
              <w:jc w:val="center"/>
              <w:textAlignment w:val="center"/>
              <w:rPr>
                <w:bCs/>
                <w:szCs w:val="24"/>
                <w:highlight w:val="none"/>
              </w:rPr>
            </w:pPr>
            <w:r>
              <w:rPr>
                <w:rFonts w:hint="eastAsia"/>
                <w:bCs/>
                <w:szCs w:val="24"/>
                <w:highlight w:val="none"/>
              </w:rPr>
              <w:t>规范名称</w:t>
            </w:r>
          </w:p>
        </w:tc>
        <w:tc>
          <w:tcPr>
            <w:tcW w:w="2143" w:type="dxa"/>
            <w:shd w:val="clear" w:color="auto" w:fill="808080"/>
            <w:vAlign w:val="center"/>
          </w:tcPr>
          <w:p>
            <w:pPr>
              <w:tabs>
                <w:tab w:val="left" w:pos="240"/>
              </w:tabs>
              <w:spacing w:after="0" w:line="240" w:lineRule="auto"/>
              <w:ind w:left="494" w:right="-180" w:rightChars="-75" w:hanging="68"/>
              <w:jc w:val="center"/>
              <w:textAlignment w:val="center"/>
              <w:rPr>
                <w:bCs/>
                <w:szCs w:val="24"/>
                <w:highlight w:val="none"/>
              </w:rPr>
            </w:pPr>
            <w:r>
              <w:rPr>
                <w:rFonts w:hint="eastAsia"/>
                <w:bCs/>
                <w:szCs w:val="24"/>
                <w:highlight w:val="none"/>
              </w:rPr>
              <w:t>规范编号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18" w:hRule="atLeast"/>
        </w:trPr>
        <w:tc>
          <w:tcPr>
            <w:tcW w:w="8326" w:type="dxa"/>
            <w:gridSpan w:val="3"/>
            <w:vAlign w:val="center"/>
          </w:tcPr>
          <w:p>
            <w:pPr>
              <w:spacing w:after="0" w:line="240" w:lineRule="auto"/>
              <w:ind w:left="732" w:right="-180" w:rightChars="-75" w:hanging="732" w:hangingChars="305"/>
              <w:jc w:val="center"/>
              <w:textAlignment w:val="center"/>
              <w:rPr>
                <w:bCs/>
                <w:szCs w:val="24"/>
                <w:highlight w:val="none"/>
              </w:rPr>
            </w:pPr>
            <w:r>
              <w:rPr>
                <w:rFonts w:hint="eastAsia"/>
                <w:bCs/>
                <w:szCs w:val="24"/>
                <w:highlight w:val="none"/>
              </w:rPr>
              <w:t>综合标准、规范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575" w:hRule="atLeast"/>
        </w:trPr>
        <w:tc>
          <w:tcPr>
            <w:tcW w:w="736" w:type="dxa"/>
            <w:vAlign w:val="center"/>
          </w:tcPr>
          <w:p>
            <w:pPr>
              <w:spacing w:after="0" w:line="240" w:lineRule="auto"/>
              <w:ind w:left="732" w:right="-180" w:rightChars="-75" w:hanging="732" w:hangingChars="305"/>
              <w:jc w:val="center"/>
              <w:textAlignment w:val="center"/>
              <w:rPr>
                <w:bCs/>
                <w:szCs w:val="24"/>
                <w:highlight w:val="none"/>
              </w:rPr>
            </w:pPr>
            <w:r>
              <w:rPr>
                <w:rFonts w:hint="eastAsia"/>
                <w:bCs/>
                <w:szCs w:val="24"/>
                <w:highlight w:val="none"/>
              </w:rPr>
              <w:t>1</w:t>
            </w:r>
          </w:p>
        </w:tc>
        <w:tc>
          <w:tcPr>
            <w:tcW w:w="5447" w:type="dxa"/>
            <w:vAlign w:val="center"/>
          </w:tcPr>
          <w:p>
            <w:pPr>
              <w:spacing w:after="0" w:line="240" w:lineRule="auto"/>
              <w:ind w:left="12" w:right="-180" w:rightChars="-75" w:hanging="12" w:hangingChars="5"/>
              <w:textAlignment w:val="center"/>
              <w:rPr>
                <w:bCs/>
                <w:szCs w:val="24"/>
                <w:highlight w:val="none"/>
              </w:rPr>
            </w:pPr>
            <w:r>
              <w:rPr>
                <w:rFonts w:hint="eastAsia"/>
                <w:bCs/>
                <w:szCs w:val="24"/>
                <w:highlight w:val="none"/>
              </w:rPr>
              <w:t>《</w:t>
            </w:r>
            <w:r>
              <w:rPr>
                <w:rFonts w:hint="eastAsia"/>
                <w:color w:val="auto"/>
                <w:szCs w:val="24"/>
                <w:highlight w:val="none"/>
              </w:rPr>
              <w:t>数据中心设计规范</w:t>
            </w:r>
            <w:r>
              <w:rPr>
                <w:rFonts w:hint="eastAsia"/>
                <w:bCs/>
                <w:szCs w:val="24"/>
                <w:highlight w:val="none"/>
              </w:rPr>
              <w:t>》</w:t>
            </w:r>
          </w:p>
        </w:tc>
        <w:tc>
          <w:tcPr>
            <w:tcW w:w="2143" w:type="dxa"/>
            <w:vAlign w:val="center"/>
          </w:tcPr>
          <w:p>
            <w:pPr>
              <w:spacing w:after="0" w:line="240" w:lineRule="auto"/>
              <w:ind w:left="252" w:leftChars="100" w:right="202" w:rightChars="84" w:hanging="12" w:hangingChars="5"/>
              <w:textAlignment w:val="center"/>
              <w:rPr>
                <w:bCs/>
                <w:szCs w:val="24"/>
                <w:highlight w:val="none"/>
              </w:rPr>
            </w:pPr>
            <w:r>
              <w:rPr>
                <w:rFonts w:hint="eastAsia"/>
                <w:bCs/>
                <w:szCs w:val="24"/>
                <w:highlight w:val="none"/>
              </w:rPr>
              <w:t>GB 50174-2017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10" w:hRule="atLeast"/>
        </w:trPr>
        <w:tc>
          <w:tcPr>
            <w:tcW w:w="736" w:type="dxa"/>
            <w:vAlign w:val="center"/>
          </w:tcPr>
          <w:p>
            <w:pPr>
              <w:spacing w:after="0" w:line="240" w:lineRule="auto"/>
              <w:ind w:left="732" w:right="-180" w:rightChars="-75" w:hanging="732" w:hangingChars="305"/>
              <w:jc w:val="center"/>
              <w:textAlignment w:val="center"/>
              <w:rPr>
                <w:bCs/>
                <w:szCs w:val="24"/>
                <w:highlight w:val="none"/>
              </w:rPr>
            </w:pPr>
            <w:r>
              <w:rPr>
                <w:rFonts w:hint="eastAsia"/>
                <w:bCs/>
                <w:szCs w:val="24"/>
                <w:highlight w:val="none"/>
              </w:rPr>
              <w:t>2</w:t>
            </w:r>
          </w:p>
        </w:tc>
        <w:tc>
          <w:tcPr>
            <w:tcW w:w="5447" w:type="dxa"/>
            <w:vAlign w:val="center"/>
          </w:tcPr>
          <w:p>
            <w:pPr>
              <w:spacing w:after="0" w:line="240" w:lineRule="auto"/>
              <w:ind w:left="12" w:right="-180" w:rightChars="-75" w:hanging="12" w:hangingChars="5"/>
              <w:textAlignment w:val="center"/>
              <w:rPr>
                <w:bCs/>
                <w:szCs w:val="24"/>
                <w:highlight w:val="none"/>
              </w:rPr>
            </w:pPr>
            <w:r>
              <w:rPr>
                <w:rFonts w:hint="eastAsia"/>
                <w:bCs/>
                <w:szCs w:val="24"/>
                <w:highlight w:val="none"/>
              </w:rPr>
              <w:t>《信息机房基础设施施工及验收规范》</w:t>
            </w:r>
          </w:p>
        </w:tc>
        <w:tc>
          <w:tcPr>
            <w:tcW w:w="2143" w:type="dxa"/>
            <w:vAlign w:val="center"/>
          </w:tcPr>
          <w:p>
            <w:pPr>
              <w:spacing w:after="0" w:line="240" w:lineRule="auto"/>
              <w:ind w:left="252" w:leftChars="100" w:right="202" w:rightChars="84" w:hanging="12" w:hangingChars="5"/>
              <w:textAlignment w:val="center"/>
              <w:rPr>
                <w:bCs/>
                <w:szCs w:val="24"/>
                <w:highlight w:val="none"/>
              </w:rPr>
            </w:pPr>
            <w:r>
              <w:rPr>
                <w:rFonts w:hint="eastAsia"/>
                <w:bCs/>
                <w:szCs w:val="24"/>
                <w:highlight w:val="none"/>
              </w:rPr>
              <w:t>GB 50462-2015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10" w:hRule="atLeast"/>
        </w:trPr>
        <w:tc>
          <w:tcPr>
            <w:tcW w:w="736" w:type="dxa"/>
            <w:vAlign w:val="center"/>
          </w:tcPr>
          <w:p>
            <w:pPr>
              <w:spacing w:after="0" w:line="240" w:lineRule="auto"/>
              <w:ind w:left="732" w:right="-180" w:rightChars="-75" w:hanging="732" w:hangingChars="305"/>
              <w:jc w:val="center"/>
              <w:textAlignment w:val="center"/>
              <w:rPr>
                <w:bCs/>
                <w:szCs w:val="24"/>
                <w:highlight w:val="none"/>
              </w:rPr>
            </w:pPr>
            <w:r>
              <w:rPr>
                <w:rFonts w:hint="eastAsia"/>
                <w:bCs/>
                <w:szCs w:val="24"/>
                <w:highlight w:val="none"/>
              </w:rPr>
              <w:t>4</w:t>
            </w:r>
          </w:p>
        </w:tc>
        <w:tc>
          <w:tcPr>
            <w:tcW w:w="5447" w:type="dxa"/>
            <w:vAlign w:val="center"/>
          </w:tcPr>
          <w:p>
            <w:pPr>
              <w:spacing w:after="0" w:line="240" w:lineRule="auto"/>
              <w:ind w:left="12" w:right="-180" w:rightChars="-75" w:hanging="12" w:hangingChars="5"/>
              <w:textAlignment w:val="center"/>
              <w:rPr>
                <w:bCs/>
                <w:szCs w:val="24"/>
                <w:highlight w:val="none"/>
              </w:rPr>
            </w:pPr>
            <w:r>
              <w:rPr>
                <w:rFonts w:hint="eastAsia"/>
                <w:bCs/>
                <w:szCs w:val="24"/>
                <w:highlight w:val="none"/>
              </w:rPr>
              <w:t>《建筑设计防火规范》</w:t>
            </w:r>
          </w:p>
        </w:tc>
        <w:tc>
          <w:tcPr>
            <w:tcW w:w="2143" w:type="dxa"/>
            <w:vAlign w:val="center"/>
          </w:tcPr>
          <w:p>
            <w:pPr>
              <w:spacing w:after="0" w:line="240" w:lineRule="auto"/>
              <w:ind w:left="252" w:leftChars="100" w:right="202" w:rightChars="84" w:hanging="12" w:hangingChars="5"/>
              <w:textAlignment w:val="center"/>
              <w:rPr>
                <w:bCs/>
                <w:szCs w:val="24"/>
                <w:highlight w:val="none"/>
              </w:rPr>
            </w:pPr>
            <w:r>
              <w:rPr>
                <w:rFonts w:hint="eastAsia"/>
                <w:bCs/>
                <w:szCs w:val="24"/>
                <w:highlight w:val="none"/>
              </w:rPr>
              <w:t>GB 50016-2014（2018版）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10" w:hRule="atLeast"/>
        </w:trPr>
        <w:tc>
          <w:tcPr>
            <w:tcW w:w="736" w:type="dxa"/>
            <w:vAlign w:val="center"/>
          </w:tcPr>
          <w:p>
            <w:pPr>
              <w:spacing w:after="0" w:line="240" w:lineRule="auto"/>
              <w:ind w:left="732" w:right="-180" w:rightChars="-75" w:hanging="732" w:hangingChars="305"/>
              <w:jc w:val="center"/>
              <w:textAlignment w:val="center"/>
              <w:rPr>
                <w:bCs/>
                <w:szCs w:val="24"/>
                <w:highlight w:val="none"/>
              </w:rPr>
            </w:pPr>
            <w:r>
              <w:rPr>
                <w:rFonts w:hint="eastAsia"/>
                <w:bCs/>
                <w:szCs w:val="24"/>
                <w:highlight w:val="none"/>
              </w:rPr>
              <w:t>5</w:t>
            </w:r>
          </w:p>
        </w:tc>
        <w:tc>
          <w:tcPr>
            <w:tcW w:w="5447" w:type="dxa"/>
            <w:vAlign w:val="center"/>
          </w:tcPr>
          <w:p>
            <w:pPr>
              <w:spacing w:after="0" w:line="240" w:lineRule="auto"/>
              <w:ind w:left="12" w:right="-180" w:rightChars="-75" w:hanging="12" w:hangingChars="5"/>
              <w:textAlignment w:val="center"/>
              <w:rPr>
                <w:bCs/>
                <w:szCs w:val="24"/>
                <w:highlight w:val="none"/>
              </w:rPr>
            </w:pPr>
            <w:r>
              <w:rPr>
                <w:rFonts w:hint="eastAsia"/>
                <w:bCs/>
                <w:szCs w:val="24"/>
                <w:highlight w:val="none"/>
              </w:rPr>
              <w:t>《计算机场地安全要求》</w:t>
            </w:r>
          </w:p>
        </w:tc>
        <w:tc>
          <w:tcPr>
            <w:tcW w:w="2143" w:type="dxa"/>
            <w:vAlign w:val="center"/>
          </w:tcPr>
          <w:p>
            <w:pPr>
              <w:spacing w:after="0" w:line="240" w:lineRule="auto"/>
              <w:ind w:left="252" w:leftChars="100" w:right="202" w:rightChars="84" w:hanging="12" w:hangingChars="5"/>
              <w:textAlignment w:val="center"/>
              <w:rPr>
                <w:bCs/>
                <w:szCs w:val="24"/>
                <w:highlight w:val="none"/>
              </w:rPr>
            </w:pPr>
            <w:r>
              <w:rPr>
                <w:rFonts w:hint="eastAsia"/>
                <w:bCs/>
                <w:szCs w:val="24"/>
                <w:highlight w:val="none"/>
              </w:rPr>
              <w:t>GBT 9361-2011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10" w:hRule="atLeast"/>
        </w:trPr>
        <w:tc>
          <w:tcPr>
            <w:tcW w:w="736" w:type="dxa"/>
            <w:vAlign w:val="center"/>
          </w:tcPr>
          <w:p>
            <w:pPr>
              <w:spacing w:after="0" w:line="240" w:lineRule="auto"/>
              <w:ind w:left="732" w:right="-180" w:rightChars="-75" w:hanging="732" w:hangingChars="305"/>
              <w:jc w:val="center"/>
              <w:textAlignment w:val="center"/>
              <w:rPr>
                <w:bCs/>
                <w:szCs w:val="24"/>
                <w:highlight w:val="none"/>
              </w:rPr>
            </w:pPr>
            <w:r>
              <w:rPr>
                <w:rFonts w:hint="eastAsia"/>
                <w:bCs/>
                <w:szCs w:val="24"/>
                <w:highlight w:val="none"/>
              </w:rPr>
              <w:t>6</w:t>
            </w:r>
          </w:p>
        </w:tc>
        <w:tc>
          <w:tcPr>
            <w:tcW w:w="5447" w:type="dxa"/>
            <w:vAlign w:val="center"/>
          </w:tcPr>
          <w:p>
            <w:pPr>
              <w:spacing w:after="0" w:line="240" w:lineRule="auto"/>
              <w:ind w:left="12" w:right="-180" w:rightChars="-75" w:hanging="12" w:hangingChars="5"/>
              <w:textAlignment w:val="center"/>
              <w:rPr>
                <w:bCs/>
                <w:szCs w:val="24"/>
                <w:highlight w:val="none"/>
              </w:rPr>
            </w:pPr>
            <w:r>
              <w:rPr>
                <w:rFonts w:hint="eastAsia"/>
                <w:bCs/>
                <w:szCs w:val="24"/>
                <w:highlight w:val="none"/>
              </w:rPr>
              <w:t>《计算机场地通用规范》</w:t>
            </w:r>
          </w:p>
        </w:tc>
        <w:tc>
          <w:tcPr>
            <w:tcW w:w="2143" w:type="dxa"/>
            <w:vAlign w:val="center"/>
          </w:tcPr>
          <w:p>
            <w:pPr>
              <w:spacing w:after="0" w:line="240" w:lineRule="auto"/>
              <w:ind w:left="252" w:leftChars="100" w:right="202" w:rightChars="84" w:hanging="12" w:hangingChars="5"/>
              <w:textAlignment w:val="center"/>
              <w:rPr>
                <w:bCs/>
                <w:szCs w:val="24"/>
                <w:highlight w:val="none"/>
              </w:rPr>
            </w:pPr>
            <w:r>
              <w:rPr>
                <w:rFonts w:hint="eastAsia"/>
                <w:bCs/>
                <w:szCs w:val="24"/>
                <w:highlight w:val="none"/>
              </w:rPr>
              <w:t>GBT 2887-2011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10" w:hRule="atLeast"/>
        </w:trPr>
        <w:tc>
          <w:tcPr>
            <w:tcW w:w="736" w:type="dxa"/>
            <w:vAlign w:val="center"/>
          </w:tcPr>
          <w:p>
            <w:pPr>
              <w:spacing w:after="0" w:line="240" w:lineRule="auto"/>
              <w:ind w:left="732" w:right="-180" w:rightChars="-75" w:hanging="732" w:hangingChars="305"/>
              <w:jc w:val="center"/>
              <w:textAlignment w:val="center"/>
              <w:rPr>
                <w:bCs/>
                <w:szCs w:val="24"/>
                <w:highlight w:val="none"/>
              </w:rPr>
            </w:pPr>
            <w:r>
              <w:rPr>
                <w:rFonts w:hint="eastAsia"/>
                <w:bCs/>
                <w:szCs w:val="24"/>
                <w:highlight w:val="none"/>
              </w:rPr>
              <w:t>7</w:t>
            </w:r>
          </w:p>
        </w:tc>
        <w:tc>
          <w:tcPr>
            <w:tcW w:w="5447" w:type="dxa"/>
            <w:vAlign w:val="center"/>
          </w:tcPr>
          <w:p>
            <w:pPr>
              <w:spacing w:after="0" w:line="240" w:lineRule="auto"/>
              <w:ind w:left="12" w:right="-180" w:rightChars="-75" w:hanging="12" w:hangingChars="5"/>
              <w:textAlignment w:val="center"/>
              <w:rPr>
                <w:bCs/>
                <w:szCs w:val="24"/>
                <w:highlight w:val="none"/>
              </w:rPr>
            </w:pPr>
            <w:r>
              <w:rPr>
                <w:rFonts w:hint="eastAsia"/>
                <w:bCs/>
                <w:szCs w:val="24"/>
                <w:highlight w:val="none"/>
              </w:rPr>
              <w:t>《建筑工程施工质量验收统一标准》</w:t>
            </w:r>
          </w:p>
        </w:tc>
        <w:tc>
          <w:tcPr>
            <w:tcW w:w="2143" w:type="dxa"/>
            <w:vAlign w:val="center"/>
          </w:tcPr>
          <w:p>
            <w:pPr>
              <w:spacing w:after="0" w:line="240" w:lineRule="auto"/>
              <w:ind w:left="252" w:leftChars="100" w:right="202" w:rightChars="84" w:hanging="12" w:hangingChars="5"/>
              <w:textAlignment w:val="center"/>
              <w:rPr>
                <w:bCs/>
                <w:szCs w:val="24"/>
                <w:highlight w:val="none"/>
              </w:rPr>
            </w:pPr>
            <w:r>
              <w:rPr>
                <w:rFonts w:hint="eastAsia"/>
                <w:bCs/>
                <w:szCs w:val="24"/>
                <w:highlight w:val="none"/>
              </w:rPr>
              <w:t>GB 50300-201</w:t>
            </w:r>
            <w:r>
              <w:rPr>
                <w:bCs/>
                <w:szCs w:val="24"/>
                <w:highlight w:val="none"/>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10" w:hRule="atLeast"/>
        </w:trPr>
        <w:tc>
          <w:tcPr>
            <w:tcW w:w="736" w:type="dxa"/>
            <w:vAlign w:val="center"/>
          </w:tcPr>
          <w:p>
            <w:pPr>
              <w:spacing w:after="0" w:line="240" w:lineRule="auto"/>
              <w:ind w:left="732" w:right="-180" w:rightChars="-75" w:hanging="732" w:hangingChars="305"/>
              <w:jc w:val="center"/>
              <w:textAlignment w:val="center"/>
              <w:rPr>
                <w:bCs/>
                <w:szCs w:val="24"/>
                <w:highlight w:val="none"/>
              </w:rPr>
            </w:pPr>
            <w:r>
              <w:rPr>
                <w:rFonts w:hint="eastAsia"/>
                <w:bCs/>
                <w:szCs w:val="24"/>
                <w:highlight w:val="none"/>
              </w:rPr>
              <w:t>8</w:t>
            </w:r>
          </w:p>
        </w:tc>
        <w:tc>
          <w:tcPr>
            <w:tcW w:w="5447" w:type="dxa"/>
            <w:vAlign w:val="center"/>
          </w:tcPr>
          <w:p>
            <w:pPr>
              <w:spacing w:after="0" w:line="240" w:lineRule="auto"/>
              <w:ind w:left="12" w:right="-180" w:rightChars="-75" w:hanging="12" w:hangingChars="5"/>
              <w:textAlignment w:val="center"/>
              <w:rPr>
                <w:bCs/>
                <w:szCs w:val="24"/>
                <w:highlight w:val="none"/>
              </w:rPr>
            </w:pPr>
            <w:r>
              <w:rPr>
                <w:rFonts w:hint="eastAsia"/>
                <w:bCs/>
                <w:szCs w:val="24"/>
                <w:highlight w:val="none"/>
              </w:rPr>
              <w:t>《声环境质量标准》</w:t>
            </w:r>
          </w:p>
        </w:tc>
        <w:tc>
          <w:tcPr>
            <w:tcW w:w="2143" w:type="dxa"/>
            <w:vAlign w:val="center"/>
          </w:tcPr>
          <w:p>
            <w:pPr>
              <w:spacing w:after="0" w:line="240" w:lineRule="auto"/>
              <w:ind w:left="252" w:leftChars="100" w:right="202" w:rightChars="84" w:hanging="12" w:hangingChars="5"/>
              <w:textAlignment w:val="center"/>
              <w:rPr>
                <w:bCs/>
                <w:szCs w:val="24"/>
                <w:highlight w:val="none"/>
              </w:rPr>
            </w:pPr>
            <w:r>
              <w:rPr>
                <w:rFonts w:hint="eastAsia"/>
                <w:bCs/>
                <w:szCs w:val="24"/>
                <w:highlight w:val="none"/>
              </w:rPr>
              <w:t>GB 3096-20</w:t>
            </w:r>
            <w:r>
              <w:rPr>
                <w:bCs/>
                <w:szCs w:val="24"/>
                <w:highlight w:val="none"/>
              </w:rPr>
              <w:t>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10" w:hRule="atLeast"/>
        </w:trPr>
        <w:tc>
          <w:tcPr>
            <w:tcW w:w="736" w:type="dxa"/>
            <w:vAlign w:val="center"/>
          </w:tcPr>
          <w:p>
            <w:pPr>
              <w:spacing w:after="0" w:line="240" w:lineRule="auto"/>
              <w:ind w:left="732" w:right="-180" w:rightChars="-75" w:hanging="732" w:hangingChars="305"/>
              <w:jc w:val="center"/>
              <w:textAlignment w:val="center"/>
              <w:rPr>
                <w:bCs/>
                <w:szCs w:val="24"/>
                <w:highlight w:val="none"/>
              </w:rPr>
            </w:pPr>
            <w:r>
              <w:rPr>
                <w:rFonts w:hint="eastAsia"/>
                <w:bCs/>
                <w:szCs w:val="24"/>
                <w:highlight w:val="none"/>
              </w:rPr>
              <w:t>9</w:t>
            </w:r>
          </w:p>
        </w:tc>
        <w:tc>
          <w:tcPr>
            <w:tcW w:w="5447" w:type="dxa"/>
            <w:vAlign w:val="center"/>
          </w:tcPr>
          <w:p>
            <w:pPr>
              <w:spacing w:after="0" w:line="240" w:lineRule="auto"/>
              <w:ind w:left="12" w:right="-180" w:rightChars="-75" w:hanging="12" w:hangingChars="5"/>
              <w:textAlignment w:val="center"/>
              <w:rPr>
                <w:bCs/>
                <w:szCs w:val="24"/>
                <w:highlight w:val="none"/>
              </w:rPr>
            </w:pPr>
            <w:r>
              <w:rPr>
                <w:rFonts w:hint="eastAsia"/>
                <w:bCs/>
                <w:szCs w:val="24"/>
                <w:highlight w:val="none"/>
              </w:rPr>
              <w:t>《智能建筑设计标准》</w:t>
            </w:r>
          </w:p>
        </w:tc>
        <w:tc>
          <w:tcPr>
            <w:tcW w:w="2143" w:type="dxa"/>
            <w:vAlign w:val="center"/>
          </w:tcPr>
          <w:p>
            <w:pPr>
              <w:spacing w:after="0" w:line="240" w:lineRule="auto"/>
              <w:ind w:left="252" w:leftChars="100" w:right="202" w:rightChars="84" w:hanging="12" w:hangingChars="5"/>
              <w:textAlignment w:val="center"/>
              <w:rPr>
                <w:bCs/>
                <w:szCs w:val="24"/>
                <w:highlight w:val="none"/>
              </w:rPr>
            </w:pPr>
            <w:r>
              <w:rPr>
                <w:rFonts w:hint="eastAsia"/>
                <w:bCs/>
                <w:szCs w:val="24"/>
                <w:highlight w:val="none"/>
              </w:rPr>
              <w:t>GB 50314-201</w:t>
            </w:r>
            <w:r>
              <w:rPr>
                <w:bCs/>
                <w:szCs w:val="24"/>
                <w:highlight w:val="none"/>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10" w:hRule="atLeast"/>
        </w:trPr>
        <w:tc>
          <w:tcPr>
            <w:tcW w:w="736" w:type="dxa"/>
            <w:vAlign w:val="center"/>
          </w:tcPr>
          <w:p>
            <w:pPr>
              <w:spacing w:after="0" w:line="240" w:lineRule="auto"/>
              <w:ind w:left="732" w:right="-180" w:rightChars="-75" w:hanging="732" w:hangingChars="305"/>
              <w:jc w:val="center"/>
              <w:textAlignment w:val="center"/>
              <w:rPr>
                <w:bCs/>
                <w:szCs w:val="24"/>
                <w:highlight w:val="none"/>
              </w:rPr>
            </w:pPr>
            <w:r>
              <w:rPr>
                <w:rFonts w:hint="eastAsia"/>
                <w:bCs/>
                <w:szCs w:val="24"/>
                <w:highlight w:val="none"/>
              </w:rPr>
              <w:t>10</w:t>
            </w:r>
          </w:p>
        </w:tc>
        <w:tc>
          <w:tcPr>
            <w:tcW w:w="5447" w:type="dxa"/>
            <w:vAlign w:val="center"/>
          </w:tcPr>
          <w:p>
            <w:pPr>
              <w:spacing w:after="0" w:line="240" w:lineRule="auto"/>
              <w:ind w:left="12" w:right="-180" w:rightChars="-75" w:hanging="12" w:hangingChars="5"/>
              <w:textAlignment w:val="center"/>
              <w:rPr>
                <w:bCs/>
                <w:szCs w:val="24"/>
                <w:highlight w:val="none"/>
              </w:rPr>
            </w:pPr>
            <w:r>
              <w:rPr>
                <w:rFonts w:hint="eastAsia"/>
                <w:bCs/>
                <w:szCs w:val="24"/>
                <w:highlight w:val="none"/>
              </w:rPr>
              <w:t>《智能建筑工程质量验收规范》</w:t>
            </w:r>
          </w:p>
        </w:tc>
        <w:tc>
          <w:tcPr>
            <w:tcW w:w="2143" w:type="dxa"/>
            <w:vAlign w:val="center"/>
          </w:tcPr>
          <w:p>
            <w:pPr>
              <w:spacing w:after="0" w:line="240" w:lineRule="auto"/>
              <w:ind w:left="252" w:leftChars="100" w:right="202" w:rightChars="84" w:hanging="12" w:hangingChars="5"/>
              <w:textAlignment w:val="center"/>
              <w:rPr>
                <w:bCs/>
                <w:szCs w:val="24"/>
                <w:highlight w:val="none"/>
              </w:rPr>
            </w:pPr>
            <w:r>
              <w:rPr>
                <w:rFonts w:hint="eastAsia"/>
                <w:bCs/>
                <w:szCs w:val="24"/>
                <w:highlight w:val="none"/>
              </w:rPr>
              <w:t>GB 50339-201</w:t>
            </w:r>
            <w:r>
              <w:rPr>
                <w:bCs/>
                <w:szCs w:val="24"/>
                <w:highlight w:val="none"/>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10" w:hRule="atLeast"/>
        </w:trPr>
        <w:tc>
          <w:tcPr>
            <w:tcW w:w="736" w:type="dxa"/>
            <w:vAlign w:val="center"/>
          </w:tcPr>
          <w:p>
            <w:pPr>
              <w:spacing w:after="0" w:line="240" w:lineRule="auto"/>
              <w:ind w:left="732" w:right="-180" w:rightChars="-75" w:hanging="732" w:hangingChars="305"/>
              <w:jc w:val="center"/>
              <w:textAlignment w:val="center"/>
              <w:rPr>
                <w:bCs/>
                <w:szCs w:val="24"/>
                <w:highlight w:val="none"/>
              </w:rPr>
            </w:pPr>
            <w:r>
              <w:rPr>
                <w:rFonts w:hint="eastAsia"/>
                <w:bCs/>
                <w:szCs w:val="24"/>
                <w:highlight w:val="none"/>
              </w:rPr>
              <w:t>11</w:t>
            </w:r>
          </w:p>
        </w:tc>
        <w:tc>
          <w:tcPr>
            <w:tcW w:w="5447" w:type="dxa"/>
            <w:vAlign w:val="center"/>
          </w:tcPr>
          <w:p>
            <w:pPr>
              <w:spacing w:after="0" w:line="240" w:lineRule="auto"/>
              <w:ind w:left="12" w:right="-180" w:rightChars="-75" w:hanging="12" w:hangingChars="5"/>
              <w:textAlignment w:val="center"/>
              <w:rPr>
                <w:bCs/>
                <w:szCs w:val="24"/>
                <w:highlight w:val="none"/>
              </w:rPr>
            </w:pPr>
            <w:r>
              <w:rPr>
                <w:rFonts w:hint="eastAsia"/>
                <w:bCs/>
                <w:szCs w:val="24"/>
                <w:highlight w:val="none"/>
              </w:rPr>
              <w:t>《公共建筑节能设计标准》</w:t>
            </w:r>
          </w:p>
        </w:tc>
        <w:tc>
          <w:tcPr>
            <w:tcW w:w="2143" w:type="dxa"/>
            <w:vAlign w:val="center"/>
          </w:tcPr>
          <w:p>
            <w:pPr>
              <w:spacing w:after="0" w:line="240" w:lineRule="auto"/>
              <w:ind w:left="252" w:leftChars="100" w:right="202" w:rightChars="84" w:hanging="12" w:hangingChars="5"/>
              <w:textAlignment w:val="center"/>
              <w:rPr>
                <w:bCs/>
                <w:szCs w:val="24"/>
                <w:highlight w:val="none"/>
              </w:rPr>
            </w:pPr>
            <w:r>
              <w:rPr>
                <w:rFonts w:hint="eastAsia"/>
                <w:bCs/>
                <w:szCs w:val="24"/>
                <w:highlight w:val="none"/>
              </w:rPr>
              <w:t>GBT 50189-201</w:t>
            </w:r>
            <w:r>
              <w:rPr>
                <w:bCs/>
                <w:szCs w:val="24"/>
                <w:highlight w:val="none"/>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10" w:hRule="atLeast"/>
        </w:trPr>
        <w:tc>
          <w:tcPr>
            <w:tcW w:w="736" w:type="dxa"/>
            <w:vAlign w:val="center"/>
          </w:tcPr>
          <w:p>
            <w:pPr>
              <w:spacing w:after="0" w:line="240" w:lineRule="auto"/>
              <w:ind w:left="732" w:right="-180" w:rightChars="-75" w:hanging="732" w:hangingChars="305"/>
              <w:jc w:val="center"/>
              <w:textAlignment w:val="center"/>
              <w:rPr>
                <w:bCs/>
                <w:szCs w:val="24"/>
                <w:highlight w:val="none"/>
              </w:rPr>
            </w:pPr>
            <w:r>
              <w:rPr>
                <w:rFonts w:hint="eastAsia"/>
                <w:bCs/>
                <w:szCs w:val="24"/>
                <w:highlight w:val="none"/>
              </w:rPr>
              <w:t>12</w:t>
            </w:r>
          </w:p>
        </w:tc>
        <w:tc>
          <w:tcPr>
            <w:tcW w:w="5447" w:type="dxa"/>
            <w:vAlign w:val="center"/>
          </w:tcPr>
          <w:p>
            <w:pPr>
              <w:spacing w:after="0" w:line="240" w:lineRule="auto"/>
              <w:ind w:left="12" w:right="-180" w:rightChars="-75" w:hanging="12" w:hangingChars="5"/>
              <w:textAlignment w:val="center"/>
              <w:rPr>
                <w:bCs/>
                <w:szCs w:val="24"/>
                <w:highlight w:val="none"/>
              </w:rPr>
            </w:pPr>
            <w:r>
              <w:rPr>
                <w:rFonts w:hint="eastAsia"/>
                <w:bCs/>
                <w:szCs w:val="24"/>
                <w:highlight w:val="none"/>
              </w:rPr>
              <w:t>《建筑工程抗震设防分类标准》</w:t>
            </w:r>
          </w:p>
        </w:tc>
        <w:tc>
          <w:tcPr>
            <w:tcW w:w="2143" w:type="dxa"/>
            <w:vAlign w:val="center"/>
          </w:tcPr>
          <w:p>
            <w:pPr>
              <w:spacing w:after="0" w:line="240" w:lineRule="auto"/>
              <w:ind w:left="252" w:leftChars="100" w:right="202" w:rightChars="84" w:hanging="12" w:hangingChars="5"/>
              <w:textAlignment w:val="center"/>
              <w:rPr>
                <w:bCs/>
                <w:szCs w:val="24"/>
                <w:highlight w:val="none"/>
              </w:rPr>
            </w:pPr>
            <w:r>
              <w:rPr>
                <w:rFonts w:hint="eastAsia"/>
                <w:bCs/>
                <w:szCs w:val="24"/>
                <w:highlight w:val="none"/>
              </w:rPr>
              <w:t>GB 50223-20</w:t>
            </w:r>
            <w:r>
              <w:rPr>
                <w:bCs/>
                <w:szCs w:val="24"/>
                <w:highlight w:val="none"/>
              </w:rPr>
              <w:t>0</w:t>
            </w:r>
            <w:r>
              <w:rPr>
                <w:rFonts w:hint="eastAsia"/>
                <w:bCs/>
                <w:szCs w:val="24"/>
                <w:highlight w:val="none"/>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10" w:hRule="atLeast"/>
        </w:trPr>
        <w:tc>
          <w:tcPr>
            <w:tcW w:w="736" w:type="dxa"/>
            <w:vAlign w:val="center"/>
          </w:tcPr>
          <w:p>
            <w:pPr>
              <w:spacing w:after="0" w:line="240" w:lineRule="auto"/>
              <w:ind w:left="732" w:right="-180" w:rightChars="-75" w:hanging="732" w:hangingChars="305"/>
              <w:jc w:val="center"/>
              <w:textAlignment w:val="center"/>
              <w:rPr>
                <w:bCs/>
                <w:szCs w:val="24"/>
                <w:highlight w:val="none"/>
              </w:rPr>
            </w:pPr>
            <w:r>
              <w:rPr>
                <w:rFonts w:hint="eastAsia"/>
                <w:bCs/>
                <w:szCs w:val="24"/>
                <w:highlight w:val="none"/>
              </w:rPr>
              <w:t>13</w:t>
            </w:r>
          </w:p>
        </w:tc>
        <w:tc>
          <w:tcPr>
            <w:tcW w:w="5447" w:type="dxa"/>
            <w:vAlign w:val="center"/>
          </w:tcPr>
          <w:p>
            <w:pPr>
              <w:spacing w:after="0" w:line="240" w:lineRule="auto"/>
              <w:ind w:left="12" w:right="-180" w:rightChars="-75" w:hanging="12" w:hangingChars="5"/>
              <w:textAlignment w:val="center"/>
              <w:rPr>
                <w:bCs/>
                <w:szCs w:val="24"/>
                <w:highlight w:val="none"/>
              </w:rPr>
            </w:pPr>
            <w:r>
              <w:rPr>
                <w:rFonts w:hint="eastAsia"/>
                <w:bCs/>
                <w:szCs w:val="24"/>
                <w:highlight w:val="none"/>
              </w:rPr>
              <w:t>《建筑抗震设计规范》</w:t>
            </w:r>
          </w:p>
        </w:tc>
        <w:tc>
          <w:tcPr>
            <w:tcW w:w="2143" w:type="dxa"/>
            <w:vAlign w:val="center"/>
          </w:tcPr>
          <w:p>
            <w:pPr>
              <w:spacing w:after="0" w:line="240" w:lineRule="auto"/>
              <w:ind w:left="252" w:leftChars="100" w:right="202" w:rightChars="84" w:hanging="12" w:hangingChars="5"/>
              <w:textAlignment w:val="center"/>
              <w:rPr>
                <w:bCs/>
                <w:szCs w:val="24"/>
                <w:highlight w:val="none"/>
              </w:rPr>
            </w:pPr>
            <w:r>
              <w:rPr>
                <w:rFonts w:hint="eastAsia"/>
                <w:szCs w:val="24"/>
                <w:highlight w:val="none"/>
              </w:rPr>
              <w:t>GB50011-2010(2016版)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10" w:hRule="atLeast"/>
        </w:trPr>
        <w:tc>
          <w:tcPr>
            <w:tcW w:w="736" w:type="dxa"/>
            <w:vAlign w:val="center"/>
          </w:tcPr>
          <w:p>
            <w:pPr>
              <w:spacing w:after="0" w:line="240" w:lineRule="auto"/>
              <w:ind w:left="732" w:right="-180" w:rightChars="-75" w:hanging="732" w:hangingChars="305"/>
              <w:jc w:val="center"/>
              <w:textAlignment w:val="center"/>
              <w:rPr>
                <w:bCs/>
                <w:szCs w:val="24"/>
                <w:highlight w:val="none"/>
              </w:rPr>
            </w:pPr>
            <w:r>
              <w:rPr>
                <w:rFonts w:hint="eastAsia"/>
                <w:bCs/>
                <w:szCs w:val="24"/>
                <w:highlight w:val="none"/>
              </w:rPr>
              <w:t>14</w:t>
            </w:r>
          </w:p>
        </w:tc>
        <w:tc>
          <w:tcPr>
            <w:tcW w:w="5447" w:type="dxa"/>
            <w:vAlign w:val="center"/>
          </w:tcPr>
          <w:p>
            <w:pPr>
              <w:spacing w:after="0" w:line="240" w:lineRule="auto"/>
              <w:ind w:left="12" w:right="-180" w:rightChars="-75" w:hanging="12" w:hangingChars="5"/>
              <w:textAlignment w:val="center"/>
              <w:rPr>
                <w:bCs/>
                <w:szCs w:val="24"/>
                <w:highlight w:val="none"/>
              </w:rPr>
            </w:pPr>
            <w:r>
              <w:rPr>
                <w:rFonts w:hint="eastAsia"/>
                <w:bCs/>
                <w:szCs w:val="24"/>
                <w:highlight w:val="none"/>
              </w:rPr>
              <w:t>《建筑抗震鉴定标准》</w:t>
            </w:r>
          </w:p>
        </w:tc>
        <w:tc>
          <w:tcPr>
            <w:tcW w:w="2143" w:type="dxa"/>
            <w:vAlign w:val="center"/>
          </w:tcPr>
          <w:p>
            <w:pPr>
              <w:spacing w:after="0" w:line="240" w:lineRule="auto"/>
              <w:ind w:left="252" w:leftChars="100" w:right="202" w:rightChars="84" w:hanging="12" w:hangingChars="5"/>
              <w:textAlignment w:val="center"/>
              <w:rPr>
                <w:bCs/>
                <w:szCs w:val="24"/>
                <w:highlight w:val="none"/>
              </w:rPr>
            </w:pPr>
            <w:r>
              <w:rPr>
                <w:rFonts w:hint="eastAsia"/>
                <w:bCs/>
                <w:szCs w:val="24"/>
                <w:highlight w:val="none"/>
              </w:rPr>
              <w:t>GB 50023-20</w:t>
            </w:r>
            <w:r>
              <w:rPr>
                <w:bCs/>
                <w:szCs w:val="24"/>
                <w:highlight w:val="none"/>
              </w:rPr>
              <w:t>0</w:t>
            </w:r>
            <w:r>
              <w:rPr>
                <w:rFonts w:hint="eastAsia"/>
                <w:bCs/>
                <w:szCs w:val="24"/>
                <w:highlight w:val="none"/>
              </w:rPr>
              <w:t>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10" w:hRule="atLeast"/>
        </w:trPr>
        <w:tc>
          <w:tcPr>
            <w:tcW w:w="736" w:type="dxa"/>
            <w:vAlign w:val="center"/>
          </w:tcPr>
          <w:p>
            <w:pPr>
              <w:spacing w:after="0" w:line="240" w:lineRule="auto"/>
              <w:ind w:left="732" w:right="-180" w:rightChars="-75" w:hanging="732" w:hangingChars="305"/>
              <w:jc w:val="center"/>
              <w:textAlignment w:val="center"/>
              <w:rPr>
                <w:bCs/>
                <w:szCs w:val="24"/>
                <w:highlight w:val="none"/>
              </w:rPr>
            </w:pPr>
            <w:r>
              <w:rPr>
                <w:rFonts w:hint="eastAsia"/>
                <w:bCs/>
                <w:szCs w:val="24"/>
                <w:highlight w:val="none"/>
              </w:rPr>
              <w:t>15</w:t>
            </w:r>
          </w:p>
        </w:tc>
        <w:tc>
          <w:tcPr>
            <w:tcW w:w="5447" w:type="dxa"/>
            <w:vAlign w:val="center"/>
          </w:tcPr>
          <w:p>
            <w:pPr>
              <w:spacing w:after="0" w:line="240" w:lineRule="auto"/>
              <w:ind w:left="12" w:right="24" w:rightChars="10" w:hanging="12" w:hangingChars="5"/>
              <w:textAlignment w:val="center"/>
              <w:rPr>
                <w:bCs/>
                <w:szCs w:val="24"/>
                <w:highlight w:val="none"/>
              </w:rPr>
            </w:pPr>
            <w:r>
              <w:rPr>
                <w:rFonts w:hint="eastAsia"/>
                <w:bCs/>
                <w:szCs w:val="24"/>
                <w:highlight w:val="none"/>
              </w:rPr>
              <w:t>《建筑外门窗气密、水密、抗风压性能分级及检测方法》</w:t>
            </w:r>
          </w:p>
        </w:tc>
        <w:tc>
          <w:tcPr>
            <w:tcW w:w="2143" w:type="dxa"/>
            <w:vAlign w:val="center"/>
          </w:tcPr>
          <w:p>
            <w:pPr>
              <w:spacing w:after="0" w:line="240" w:lineRule="auto"/>
              <w:ind w:left="252" w:leftChars="100" w:right="202" w:rightChars="84" w:hanging="12" w:hangingChars="5"/>
              <w:textAlignment w:val="center"/>
              <w:rPr>
                <w:bCs/>
                <w:szCs w:val="24"/>
                <w:highlight w:val="none"/>
              </w:rPr>
            </w:pPr>
            <w:r>
              <w:rPr>
                <w:rFonts w:hint="eastAsia"/>
                <w:bCs/>
                <w:szCs w:val="24"/>
                <w:highlight w:val="none"/>
              </w:rPr>
              <w:t>GBT 7106-20</w:t>
            </w:r>
            <w:r>
              <w:rPr>
                <w:bCs/>
                <w:szCs w:val="24"/>
                <w:highlight w:val="none"/>
              </w:rPr>
              <w:t>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10" w:hRule="atLeast"/>
        </w:trPr>
        <w:tc>
          <w:tcPr>
            <w:tcW w:w="736" w:type="dxa"/>
            <w:vAlign w:val="center"/>
          </w:tcPr>
          <w:p>
            <w:pPr>
              <w:spacing w:after="0" w:line="240" w:lineRule="auto"/>
              <w:ind w:left="732" w:right="-180" w:rightChars="-75" w:hanging="732" w:hangingChars="305"/>
              <w:jc w:val="center"/>
              <w:textAlignment w:val="center"/>
              <w:rPr>
                <w:bCs/>
                <w:szCs w:val="24"/>
                <w:highlight w:val="none"/>
              </w:rPr>
            </w:pPr>
            <w:r>
              <w:rPr>
                <w:rFonts w:hint="eastAsia"/>
                <w:bCs/>
                <w:szCs w:val="24"/>
                <w:highlight w:val="none"/>
              </w:rPr>
              <w:t>16</w:t>
            </w:r>
          </w:p>
        </w:tc>
        <w:tc>
          <w:tcPr>
            <w:tcW w:w="5447" w:type="dxa"/>
            <w:vAlign w:val="center"/>
          </w:tcPr>
          <w:p>
            <w:pPr>
              <w:spacing w:after="0" w:line="240" w:lineRule="auto"/>
              <w:ind w:left="12" w:right="24" w:rightChars="10" w:hanging="12" w:hangingChars="5"/>
              <w:textAlignment w:val="center"/>
              <w:rPr>
                <w:bCs/>
                <w:szCs w:val="24"/>
                <w:highlight w:val="none"/>
              </w:rPr>
            </w:pPr>
            <w:r>
              <w:rPr>
                <w:rFonts w:hint="eastAsia"/>
                <w:bCs/>
                <w:szCs w:val="24"/>
                <w:highlight w:val="none"/>
              </w:rPr>
              <w:t>《数据中心能效限定值和能效等级》</w:t>
            </w:r>
          </w:p>
        </w:tc>
        <w:tc>
          <w:tcPr>
            <w:tcW w:w="2143" w:type="dxa"/>
            <w:vAlign w:val="center"/>
          </w:tcPr>
          <w:p>
            <w:pPr>
              <w:spacing w:after="0" w:line="240" w:lineRule="auto"/>
              <w:ind w:left="252" w:leftChars="100" w:right="202" w:rightChars="84" w:hanging="12" w:hangingChars="5"/>
              <w:textAlignment w:val="center"/>
              <w:rPr>
                <w:bCs/>
                <w:szCs w:val="24"/>
                <w:highlight w:val="none"/>
              </w:rPr>
            </w:pPr>
            <w:r>
              <w:rPr>
                <w:rFonts w:hint="eastAsia"/>
                <w:bCs/>
                <w:szCs w:val="24"/>
                <w:highlight w:val="none"/>
              </w:rPr>
              <w:t>GB 40879—2021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10" w:hRule="atLeast"/>
        </w:trPr>
        <w:tc>
          <w:tcPr>
            <w:tcW w:w="8326" w:type="dxa"/>
            <w:gridSpan w:val="3"/>
            <w:vAlign w:val="center"/>
          </w:tcPr>
          <w:p>
            <w:pPr>
              <w:spacing w:after="0" w:line="240" w:lineRule="auto"/>
              <w:ind w:left="732" w:right="-180" w:rightChars="-75" w:hanging="732" w:hangingChars="305"/>
              <w:jc w:val="center"/>
              <w:textAlignment w:val="center"/>
              <w:rPr>
                <w:bCs/>
                <w:szCs w:val="24"/>
                <w:highlight w:val="none"/>
              </w:rPr>
            </w:pPr>
            <w:r>
              <w:rPr>
                <w:rFonts w:hint="eastAsia"/>
                <w:bCs/>
                <w:szCs w:val="24"/>
                <w:highlight w:val="none"/>
              </w:rPr>
              <w:t>建筑与结构主要标准、规范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10" w:hRule="atLeast"/>
        </w:trPr>
        <w:tc>
          <w:tcPr>
            <w:tcW w:w="736" w:type="dxa"/>
            <w:vAlign w:val="center"/>
          </w:tcPr>
          <w:p>
            <w:pPr>
              <w:spacing w:after="0" w:line="240" w:lineRule="auto"/>
              <w:ind w:left="732" w:right="-180" w:rightChars="-75" w:hanging="732" w:hangingChars="305"/>
              <w:jc w:val="center"/>
              <w:textAlignment w:val="center"/>
              <w:rPr>
                <w:bCs/>
                <w:szCs w:val="24"/>
                <w:highlight w:val="none"/>
              </w:rPr>
            </w:pPr>
            <w:r>
              <w:rPr>
                <w:rFonts w:hint="eastAsia"/>
                <w:bCs/>
                <w:szCs w:val="24"/>
                <w:highlight w:val="none"/>
              </w:rPr>
              <w:t>1</w:t>
            </w:r>
          </w:p>
        </w:tc>
        <w:tc>
          <w:tcPr>
            <w:tcW w:w="5447" w:type="dxa"/>
            <w:vAlign w:val="center"/>
          </w:tcPr>
          <w:p>
            <w:pPr>
              <w:spacing w:after="0" w:line="240" w:lineRule="auto"/>
              <w:ind w:left="12" w:right="-180" w:rightChars="-75" w:hanging="12" w:hangingChars="5"/>
              <w:textAlignment w:val="center"/>
              <w:rPr>
                <w:bCs/>
                <w:szCs w:val="24"/>
                <w:highlight w:val="none"/>
              </w:rPr>
            </w:pPr>
            <w:r>
              <w:rPr>
                <w:rFonts w:hint="eastAsia"/>
                <w:bCs/>
                <w:szCs w:val="24"/>
                <w:highlight w:val="none"/>
              </w:rPr>
              <w:t>《建筑内部装修设计防火规范》</w:t>
            </w:r>
          </w:p>
        </w:tc>
        <w:tc>
          <w:tcPr>
            <w:tcW w:w="2143" w:type="dxa"/>
            <w:vAlign w:val="center"/>
          </w:tcPr>
          <w:p>
            <w:pPr>
              <w:spacing w:after="0" w:line="240" w:lineRule="auto"/>
              <w:ind w:left="1134" w:right="-180" w:rightChars="-75" w:hanging="894"/>
              <w:textAlignment w:val="center"/>
              <w:rPr>
                <w:bCs/>
                <w:szCs w:val="24"/>
                <w:highlight w:val="none"/>
              </w:rPr>
            </w:pPr>
            <w:r>
              <w:rPr>
                <w:rFonts w:hint="eastAsia"/>
                <w:bCs/>
                <w:szCs w:val="24"/>
                <w:highlight w:val="none"/>
              </w:rPr>
              <w:t>GB 50222-2017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10" w:hRule="atLeast"/>
        </w:trPr>
        <w:tc>
          <w:tcPr>
            <w:tcW w:w="736" w:type="dxa"/>
            <w:vAlign w:val="center"/>
          </w:tcPr>
          <w:p>
            <w:pPr>
              <w:spacing w:after="0" w:line="240" w:lineRule="auto"/>
              <w:ind w:left="732" w:right="-180" w:rightChars="-75" w:hanging="732" w:hangingChars="305"/>
              <w:jc w:val="center"/>
              <w:textAlignment w:val="center"/>
              <w:rPr>
                <w:bCs/>
                <w:szCs w:val="24"/>
                <w:highlight w:val="none"/>
              </w:rPr>
            </w:pPr>
            <w:r>
              <w:rPr>
                <w:rFonts w:hint="eastAsia"/>
                <w:bCs/>
                <w:szCs w:val="24"/>
                <w:highlight w:val="none"/>
              </w:rPr>
              <w:t>2</w:t>
            </w:r>
          </w:p>
        </w:tc>
        <w:tc>
          <w:tcPr>
            <w:tcW w:w="5447" w:type="dxa"/>
            <w:vAlign w:val="center"/>
          </w:tcPr>
          <w:p>
            <w:pPr>
              <w:spacing w:after="0" w:line="240" w:lineRule="auto"/>
              <w:ind w:left="12" w:right="-180" w:rightChars="-75" w:hanging="12" w:hangingChars="5"/>
              <w:textAlignment w:val="center"/>
              <w:rPr>
                <w:bCs/>
                <w:szCs w:val="24"/>
                <w:highlight w:val="none"/>
              </w:rPr>
            </w:pPr>
            <w:r>
              <w:rPr>
                <w:rFonts w:hint="eastAsia"/>
                <w:bCs/>
                <w:szCs w:val="24"/>
                <w:highlight w:val="none"/>
              </w:rPr>
              <w:t>《建筑机电工程抗震设计规范》</w:t>
            </w:r>
          </w:p>
        </w:tc>
        <w:tc>
          <w:tcPr>
            <w:tcW w:w="2143" w:type="dxa"/>
            <w:vAlign w:val="center"/>
          </w:tcPr>
          <w:p>
            <w:pPr>
              <w:spacing w:after="0" w:line="240" w:lineRule="auto"/>
              <w:ind w:left="1134" w:right="-180" w:rightChars="-75" w:hanging="894"/>
              <w:textAlignment w:val="center"/>
              <w:rPr>
                <w:bCs/>
                <w:szCs w:val="24"/>
                <w:highlight w:val="none"/>
              </w:rPr>
            </w:pPr>
            <w:r>
              <w:rPr>
                <w:rFonts w:hint="eastAsia"/>
                <w:bCs/>
                <w:szCs w:val="24"/>
                <w:highlight w:val="none"/>
              </w:rPr>
              <w:t>GB 50981-2014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10" w:hRule="atLeast"/>
        </w:trPr>
        <w:tc>
          <w:tcPr>
            <w:tcW w:w="736" w:type="dxa"/>
            <w:vAlign w:val="center"/>
          </w:tcPr>
          <w:p>
            <w:pPr>
              <w:spacing w:after="0" w:line="240" w:lineRule="auto"/>
              <w:ind w:left="732" w:right="-180" w:rightChars="-75" w:hanging="732" w:hangingChars="305"/>
              <w:jc w:val="center"/>
              <w:textAlignment w:val="center"/>
              <w:rPr>
                <w:bCs/>
                <w:szCs w:val="24"/>
                <w:highlight w:val="none"/>
              </w:rPr>
            </w:pPr>
            <w:r>
              <w:rPr>
                <w:rFonts w:hint="eastAsia"/>
                <w:bCs/>
                <w:szCs w:val="24"/>
                <w:highlight w:val="none"/>
              </w:rPr>
              <w:t>3</w:t>
            </w:r>
          </w:p>
        </w:tc>
        <w:tc>
          <w:tcPr>
            <w:tcW w:w="5447" w:type="dxa"/>
            <w:vAlign w:val="center"/>
          </w:tcPr>
          <w:p>
            <w:pPr>
              <w:spacing w:after="0" w:line="240" w:lineRule="auto"/>
              <w:ind w:left="12" w:right="-180" w:rightChars="-75" w:hanging="12" w:hangingChars="5"/>
              <w:textAlignment w:val="center"/>
              <w:rPr>
                <w:bCs/>
                <w:szCs w:val="24"/>
                <w:highlight w:val="none"/>
              </w:rPr>
            </w:pPr>
            <w:r>
              <w:rPr>
                <w:rFonts w:hint="eastAsia"/>
                <w:bCs/>
                <w:szCs w:val="24"/>
                <w:highlight w:val="none"/>
              </w:rPr>
              <w:t>《建筑装饰装修工程质量验收标准》</w:t>
            </w:r>
          </w:p>
        </w:tc>
        <w:tc>
          <w:tcPr>
            <w:tcW w:w="2143" w:type="dxa"/>
            <w:vAlign w:val="center"/>
          </w:tcPr>
          <w:p>
            <w:pPr>
              <w:spacing w:after="0" w:line="240" w:lineRule="auto"/>
              <w:ind w:left="1134" w:right="-180" w:rightChars="-75" w:hanging="894"/>
              <w:textAlignment w:val="center"/>
              <w:rPr>
                <w:bCs/>
                <w:szCs w:val="24"/>
                <w:highlight w:val="none"/>
              </w:rPr>
            </w:pPr>
            <w:r>
              <w:rPr>
                <w:rFonts w:hint="eastAsia"/>
                <w:bCs/>
                <w:szCs w:val="24"/>
                <w:highlight w:val="none"/>
              </w:rPr>
              <w:t>GB 50210-2018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10" w:hRule="atLeast"/>
        </w:trPr>
        <w:tc>
          <w:tcPr>
            <w:tcW w:w="736" w:type="dxa"/>
            <w:vAlign w:val="center"/>
          </w:tcPr>
          <w:p>
            <w:pPr>
              <w:spacing w:after="0" w:line="240" w:lineRule="auto"/>
              <w:ind w:left="732" w:right="-180" w:rightChars="-75" w:hanging="732" w:hangingChars="305"/>
              <w:jc w:val="center"/>
              <w:textAlignment w:val="center"/>
              <w:rPr>
                <w:bCs/>
                <w:szCs w:val="24"/>
                <w:highlight w:val="none"/>
              </w:rPr>
            </w:pPr>
            <w:r>
              <w:rPr>
                <w:rFonts w:hint="eastAsia"/>
                <w:bCs/>
                <w:szCs w:val="24"/>
                <w:highlight w:val="none"/>
              </w:rPr>
              <w:t>4</w:t>
            </w:r>
          </w:p>
        </w:tc>
        <w:tc>
          <w:tcPr>
            <w:tcW w:w="5447" w:type="dxa"/>
            <w:vAlign w:val="center"/>
          </w:tcPr>
          <w:p>
            <w:pPr>
              <w:spacing w:after="0" w:line="240" w:lineRule="auto"/>
              <w:ind w:left="12" w:right="-180" w:rightChars="-75" w:hanging="12" w:hangingChars="5"/>
              <w:textAlignment w:val="center"/>
              <w:rPr>
                <w:bCs/>
                <w:szCs w:val="24"/>
                <w:highlight w:val="none"/>
              </w:rPr>
            </w:pPr>
            <w:r>
              <w:rPr>
                <w:rFonts w:hint="eastAsia"/>
                <w:bCs/>
                <w:szCs w:val="24"/>
                <w:highlight w:val="none"/>
              </w:rPr>
              <w:t>《建筑地面工程施工质量验收规范》</w:t>
            </w:r>
          </w:p>
        </w:tc>
        <w:tc>
          <w:tcPr>
            <w:tcW w:w="2143" w:type="dxa"/>
            <w:vAlign w:val="center"/>
          </w:tcPr>
          <w:p>
            <w:pPr>
              <w:spacing w:after="0" w:line="240" w:lineRule="auto"/>
              <w:ind w:left="1134" w:right="-180" w:rightChars="-75" w:hanging="894"/>
              <w:textAlignment w:val="center"/>
              <w:rPr>
                <w:bCs/>
                <w:szCs w:val="24"/>
                <w:highlight w:val="none"/>
              </w:rPr>
            </w:pPr>
            <w:r>
              <w:rPr>
                <w:rFonts w:hint="eastAsia"/>
                <w:bCs/>
                <w:szCs w:val="24"/>
                <w:highlight w:val="none"/>
              </w:rPr>
              <w:t>GB 50209-201</w:t>
            </w:r>
            <w:r>
              <w:rPr>
                <w:bCs/>
                <w:szCs w:val="24"/>
                <w:highlight w:val="none"/>
              </w:rPr>
              <w:t>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10" w:hRule="atLeast"/>
        </w:trPr>
        <w:tc>
          <w:tcPr>
            <w:tcW w:w="736" w:type="dxa"/>
            <w:vAlign w:val="center"/>
          </w:tcPr>
          <w:p>
            <w:pPr>
              <w:spacing w:after="0" w:line="240" w:lineRule="auto"/>
              <w:ind w:left="732" w:right="-180" w:rightChars="-75" w:hanging="732" w:hangingChars="305"/>
              <w:jc w:val="center"/>
              <w:textAlignment w:val="center"/>
              <w:rPr>
                <w:bCs/>
                <w:szCs w:val="24"/>
                <w:highlight w:val="none"/>
              </w:rPr>
            </w:pPr>
            <w:r>
              <w:rPr>
                <w:rFonts w:hint="eastAsia"/>
                <w:bCs/>
                <w:szCs w:val="24"/>
                <w:highlight w:val="none"/>
              </w:rPr>
              <w:t>5</w:t>
            </w:r>
          </w:p>
        </w:tc>
        <w:tc>
          <w:tcPr>
            <w:tcW w:w="5447" w:type="dxa"/>
            <w:vAlign w:val="center"/>
          </w:tcPr>
          <w:p>
            <w:pPr>
              <w:spacing w:after="0" w:line="240" w:lineRule="auto"/>
              <w:ind w:left="12" w:right="-180" w:rightChars="-75" w:hanging="12" w:hangingChars="5"/>
              <w:textAlignment w:val="center"/>
              <w:rPr>
                <w:bCs/>
                <w:szCs w:val="24"/>
                <w:highlight w:val="none"/>
              </w:rPr>
            </w:pPr>
            <w:r>
              <w:rPr>
                <w:rFonts w:hint="eastAsia"/>
                <w:bCs/>
                <w:szCs w:val="24"/>
                <w:highlight w:val="none"/>
              </w:rPr>
              <w:t>《建筑工程施工质量验收统一标准》</w:t>
            </w:r>
          </w:p>
        </w:tc>
        <w:tc>
          <w:tcPr>
            <w:tcW w:w="2143" w:type="dxa"/>
            <w:vAlign w:val="center"/>
          </w:tcPr>
          <w:p>
            <w:pPr>
              <w:spacing w:after="0" w:line="240" w:lineRule="auto"/>
              <w:ind w:left="1134" w:right="-180" w:rightChars="-75" w:hanging="894"/>
              <w:textAlignment w:val="center"/>
              <w:rPr>
                <w:bCs/>
                <w:szCs w:val="24"/>
                <w:highlight w:val="none"/>
              </w:rPr>
            </w:pPr>
            <w:r>
              <w:rPr>
                <w:rFonts w:hint="eastAsia"/>
                <w:bCs/>
                <w:szCs w:val="24"/>
                <w:highlight w:val="none"/>
              </w:rPr>
              <w:t>GB 50300-201</w:t>
            </w:r>
            <w:r>
              <w:rPr>
                <w:bCs/>
                <w:szCs w:val="24"/>
                <w:highlight w:val="none"/>
              </w:rPr>
              <w:t>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10" w:hRule="atLeast"/>
        </w:trPr>
        <w:tc>
          <w:tcPr>
            <w:tcW w:w="736" w:type="dxa"/>
            <w:vAlign w:val="center"/>
          </w:tcPr>
          <w:p>
            <w:pPr>
              <w:spacing w:after="0" w:line="240" w:lineRule="auto"/>
              <w:ind w:left="732" w:right="-180" w:rightChars="-75" w:hanging="732" w:hangingChars="305"/>
              <w:jc w:val="center"/>
              <w:textAlignment w:val="center"/>
              <w:rPr>
                <w:bCs/>
                <w:szCs w:val="24"/>
                <w:highlight w:val="none"/>
              </w:rPr>
            </w:pPr>
            <w:r>
              <w:rPr>
                <w:rFonts w:hint="eastAsia"/>
                <w:bCs/>
                <w:szCs w:val="24"/>
                <w:highlight w:val="none"/>
              </w:rPr>
              <w:t>6</w:t>
            </w:r>
          </w:p>
        </w:tc>
        <w:tc>
          <w:tcPr>
            <w:tcW w:w="5447" w:type="dxa"/>
            <w:vAlign w:val="center"/>
          </w:tcPr>
          <w:p>
            <w:pPr>
              <w:spacing w:after="0" w:line="240" w:lineRule="auto"/>
              <w:ind w:left="12" w:right="-180" w:rightChars="-75" w:hanging="12" w:hangingChars="5"/>
              <w:textAlignment w:val="center"/>
              <w:rPr>
                <w:bCs/>
                <w:szCs w:val="24"/>
                <w:highlight w:val="none"/>
              </w:rPr>
            </w:pPr>
            <w:r>
              <w:rPr>
                <w:rFonts w:hint="eastAsia"/>
                <w:bCs/>
                <w:szCs w:val="24"/>
                <w:highlight w:val="none"/>
              </w:rPr>
              <w:t>《建筑内部装修防火施工及验收规范》</w:t>
            </w:r>
          </w:p>
        </w:tc>
        <w:tc>
          <w:tcPr>
            <w:tcW w:w="2143" w:type="dxa"/>
            <w:vAlign w:val="center"/>
          </w:tcPr>
          <w:p>
            <w:pPr>
              <w:spacing w:after="0" w:line="240" w:lineRule="auto"/>
              <w:ind w:left="1134" w:right="-180" w:rightChars="-75" w:hanging="894"/>
              <w:textAlignment w:val="center"/>
              <w:rPr>
                <w:bCs/>
                <w:szCs w:val="24"/>
                <w:highlight w:val="none"/>
              </w:rPr>
            </w:pPr>
            <w:r>
              <w:rPr>
                <w:rFonts w:hint="eastAsia"/>
                <w:bCs/>
                <w:szCs w:val="24"/>
                <w:highlight w:val="none"/>
              </w:rPr>
              <w:t>GB 50354-20</w:t>
            </w:r>
            <w:r>
              <w:rPr>
                <w:bCs/>
                <w:szCs w:val="24"/>
                <w:highlight w:val="none"/>
              </w:rPr>
              <w:t>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10" w:hRule="atLeast"/>
        </w:trPr>
        <w:tc>
          <w:tcPr>
            <w:tcW w:w="736" w:type="dxa"/>
            <w:vAlign w:val="center"/>
          </w:tcPr>
          <w:p>
            <w:pPr>
              <w:spacing w:after="0" w:line="240" w:lineRule="auto"/>
              <w:ind w:left="732" w:right="-180" w:rightChars="-75" w:hanging="732" w:hangingChars="305"/>
              <w:jc w:val="center"/>
              <w:textAlignment w:val="center"/>
              <w:rPr>
                <w:bCs/>
                <w:szCs w:val="24"/>
                <w:highlight w:val="none"/>
              </w:rPr>
            </w:pPr>
            <w:r>
              <w:rPr>
                <w:rFonts w:hint="eastAsia"/>
                <w:bCs/>
                <w:szCs w:val="24"/>
                <w:highlight w:val="none"/>
              </w:rPr>
              <w:t>7</w:t>
            </w:r>
          </w:p>
        </w:tc>
        <w:tc>
          <w:tcPr>
            <w:tcW w:w="5447" w:type="dxa"/>
            <w:vAlign w:val="center"/>
          </w:tcPr>
          <w:p>
            <w:pPr>
              <w:spacing w:after="0" w:line="240" w:lineRule="auto"/>
              <w:ind w:left="12" w:right="-180" w:rightChars="-75" w:hanging="12" w:hangingChars="5"/>
              <w:textAlignment w:val="center"/>
              <w:rPr>
                <w:bCs/>
                <w:szCs w:val="24"/>
                <w:highlight w:val="none"/>
              </w:rPr>
            </w:pPr>
            <w:r>
              <w:rPr>
                <w:rFonts w:hint="eastAsia"/>
                <w:bCs/>
                <w:szCs w:val="24"/>
                <w:highlight w:val="none"/>
              </w:rPr>
              <w:t>《建筑材料及制品燃烧性能分级》</w:t>
            </w:r>
          </w:p>
        </w:tc>
        <w:tc>
          <w:tcPr>
            <w:tcW w:w="2143" w:type="dxa"/>
            <w:vAlign w:val="center"/>
          </w:tcPr>
          <w:p>
            <w:pPr>
              <w:spacing w:after="0" w:line="240" w:lineRule="auto"/>
              <w:ind w:left="1134" w:right="-180" w:rightChars="-75" w:hanging="894"/>
              <w:textAlignment w:val="center"/>
              <w:rPr>
                <w:bCs/>
                <w:szCs w:val="24"/>
                <w:highlight w:val="none"/>
              </w:rPr>
            </w:pPr>
            <w:r>
              <w:rPr>
                <w:rFonts w:hint="eastAsia"/>
                <w:bCs/>
                <w:szCs w:val="24"/>
                <w:highlight w:val="none"/>
              </w:rPr>
              <w:t>GB 8624-201</w:t>
            </w:r>
            <w:r>
              <w:rPr>
                <w:bCs/>
                <w:szCs w:val="24"/>
                <w:highlight w:val="none"/>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10" w:hRule="atLeast"/>
        </w:trPr>
        <w:tc>
          <w:tcPr>
            <w:tcW w:w="736" w:type="dxa"/>
            <w:vAlign w:val="center"/>
          </w:tcPr>
          <w:p>
            <w:pPr>
              <w:spacing w:after="0" w:line="240" w:lineRule="auto"/>
              <w:ind w:left="732" w:right="-180" w:rightChars="-75" w:hanging="732" w:hangingChars="305"/>
              <w:jc w:val="center"/>
              <w:textAlignment w:val="center"/>
              <w:rPr>
                <w:bCs/>
                <w:szCs w:val="24"/>
                <w:highlight w:val="none"/>
              </w:rPr>
            </w:pPr>
            <w:r>
              <w:rPr>
                <w:rFonts w:hint="eastAsia"/>
                <w:bCs/>
                <w:szCs w:val="24"/>
                <w:highlight w:val="none"/>
              </w:rPr>
              <w:t>8</w:t>
            </w:r>
          </w:p>
        </w:tc>
        <w:tc>
          <w:tcPr>
            <w:tcW w:w="5447" w:type="dxa"/>
            <w:vAlign w:val="center"/>
          </w:tcPr>
          <w:p>
            <w:pPr>
              <w:spacing w:after="0" w:line="240" w:lineRule="auto"/>
              <w:ind w:left="12" w:right="-180" w:rightChars="-75" w:hanging="12" w:hangingChars="5"/>
              <w:textAlignment w:val="center"/>
              <w:rPr>
                <w:bCs/>
                <w:szCs w:val="24"/>
                <w:highlight w:val="none"/>
              </w:rPr>
            </w:pPr>
            <w:r>
              <w:rPr>
                <w:rFonts w:hint="eastAsia"/>
                <w:bCs/>
                <w:szCs w:val="24"/>
                <w:highlight w:val="none"/>
              </w:rPr>
              <w:t>《屋面工程技术规范》</w:t>
            </w:r>
          </w:p>
        </w:tc>
        <w:tc>
          <w:tcPr>
            <w:tcW w:w="2143" w:type="dxa"/>
            <w:vAlign w:val="center"/>
          </w:tcPr>
          <w:p>
            <w:pPr>
              <w:spacing w:after="0" w:line="240" w:lineRule="auto"/>
              <w:ind w:left="1134" w:right="-180" w:rightChars="-75" w:hanging="894"/>
              <w:textAlignment w:val="center"/>
              <w:rPr>
                <w:bCs/>
                <w:szCs w:val="24"/>
                <w:highlight w:val="none"/>
              </w:rPr>
            </w:pPr>
            <w:r>
              <w:rPr>
                <w:rFonts w:hint="eastAsia"/>
                <w:bCs/>
                <w:szCs w:val="24"/>
                <w:highlight w:val="none"/>
              </w:rPr>
              <w:t>GB 50345-201</w:t>
            </w:r>
            <w:r>
              <w:rPr>
                <w:bCs/>
                <w:szCs w:val="24"/>
                <w:highlight w:val="none"/>
              </w:rPr>
              <w:t>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10" w:hRule="atLeast"/>
        </w:trPr>
        <w:tc>
          <w:tcPr>
            <w:tcW w:w="736" w:type="dxa"/>
            <w:vAlign w:val="center"/>
          </w:tcPr>
          <w:p>
            <w:pPr>
              <w:spacing w:after="0" w:line="240" w:lineRule="auto"/>
              <w:ind w:left="732" w:right="-180" w:rightChars="-75" w:hanging="732" w:hangingChars="305"/>
              <w:jc w:val="center"/>
              <w:textAlignment w:val="center"/>
              <w:rPr>
                <w:bCs/>
                <w:szCs w:val="24"/>
                <w:highlight w:val="none"/>
              </w:rPr>
            </w:pPr>
            <w:r>
              <w:rPr>
                <w:rFonts w:hint="eastAsia"/>
                <w:bCs/>
                <w:szCs w:val="24"/>
                <w:highlight w:val="none"/>
              </w:rPr>
              <w:t>9</w:t>
            </w:r>
          </w:p>
        </w:tc>
        <w:tc>
          <w:tcPr>
            <w:tcW w:w="5447" w:type="dxa"/>
            <w:vAlign w:val="center"/>
          </w:tcPr>
          <w:p>
            <w:pPr>
              <w:spacing w:after="0" w:line="240" w:lineRule="auto"/>
              <w:ind w:left="12" w:right="-180" w:rightChars="-75" w:hanging="12" w:hangingChars="5"/>
              <w:textAlignment w:val="center"/>
              <w:rPr>
                <w:bCs/>
                <w:szCs w:val="24"/>
                <w:highlight w:val="none"/>
              </w:rPr>
            </w:pPr>
            <w:r>
              <w:rPr>
                <w:rFonts w:hint="eastAsia"/>
                <w:bCs/>
                <w:szCs w:val="24"/>
                <w:highlight w:val="none"/>
              </w:rPr>
              <w:t>《屋面工程质量验收规范》</w:t>
            </w:r>
          </w:p>
        </w:tc>
        <w:tc>
          <w:tcPr>
            <w:tcW w:w="2143" w:type="dxa"/>
            <w:vAlign w:val="center"/>
          </w:tcPr>
          <w:p>
            <w:pPr>
              <w:spacing w:after="0" w:line="240" w:lineRule="auto"/>
              <w:ind w:left="1134" w:right="-180" w:rightChars="-75" w:hanging="894"/>
              <w:textAlignment w:val="center"/>
              <w:rPr>
                <w:bCs/>
                <w:szCs w:val="24"/>
                <w:highlight w:val="none"/>
              </w:rPr>
            </w:pPr>
            <w:r>
              <w:rPr>
                <w:rFonts w:hint="eastAsia"/>
                <w:bCs/>
                <w:szCs w:val="24"/>
                <w:highlight w:val="none"/>
              </w:rPr>
              <w:t>GB 50207-201</w:t>
            </w:r>
            <w:r>
              <w:rPr>
                <w:bCs/>
                <w:szCs w:val="24"/>
                <w:highlight w:val="none"/>
              </w:rPr>
              <w:t>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10" w:hRule="atLeast"/>
        </w:trPr>
        <w:tc>
          <w:tcPr>
            <w:tcW w:w="736" w:type="dxa"/>
            <w:vAlign w:val="center"/>
          </w:tcPr>
          <w:p>
            <w:pPr>
              <w:spacing w:after="0" w:line="240" w:lineRule="auto"/>
              <w:ind w:left="732" w:right="-180" w:rightChars="-75" w:hanging="732" w:hangingChars="305"/>
              <w:jc w:val="center"/>
              <w:textAlignment w:val="center"/>
              <w:rPr>
                <w:bCs/>
                <w:szCs w:val="24"/>
                <w:highlight w:val="none"/>
              </w:rPr>
            </w:pPr>
            <w:r>
              <w:rPr>
                <w:rFonts w:hint="eastAsia"/>
                <w:bCs/>
                <w:szCs w:val="24"/>
                <w:highlight w:val="none"/>
              </w:rPr>
              <w:t>10</w:t>
            </w:r>
          </w:p>
        </w:tc>
        <w:tc>
          <w:tcPr>
            <w:tcW w:w="5447" w:type="dxa"/>
            <w:vAlign w:val="center"/>
          </w:tcPr>
          <w:p>
            <w:pPr>
              <w:spacing w:after="0" w:line="240" w:lineRule="auto"/>
              <w:ind w:left="12" w:right="-180" w:rightChars="-75" w:hanging="12" w:hangingChars="5"/>
              <w:textAlignment w:val="center"/>
              <w:rPr>
                <w:bCs/>
                <w:szCs w:val="24"/>
                <w:highlight w:val="none"/>
              </w:rPr>
            </w:pPr>
            <w:r>
              <w:rPr>
                <w:rFonts w:hint="eastAsia"/>
                <w:bCs/>
                <w:szCs w:val="24"/>
                <w:highlight w:val="none"/>
              </w:rPr>
              <w:t>《钢结构设计标准》</w:t>
            </w:r>
          </w:p>
        </w:tc>
        <w:tc>
          <w:tcPr>
            <w:tcW w:w="2143" w:type="dxa"/>
            <w:vAlign w:val="center"/>
          </w:tcPr>
          <w:p>
            <w:pPr>
              <w:spacing w:after="0" w:line="240" w:lineRule="auto"/>
              <w:ind w:left="1134" w:right="-180" w:rightChars="-75" w:hanging="894"/>
              <w:textAlignment w:val="center"/>
              <w:rPr>
                <w:bCs/>
                <w:szCs w:val="24"/>
                <w:highlight w:val="none"/>
              </w:rPr>
            </w:pPr>
            <w:r>
              <w:rPr>
                <w:rFonts w:hint="eastAsia"/>
                <w:bCs/>
                <w:szCs w:val="24"/>
                <w:highlight w:val="none"/>
              </w:rPr>
              <w:t>GB 50017-2017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10" w:hRule="atLeast"/>
        </w:trPr>
        <w:tc>
          <w:tcPr>
            <w:tcW w:w="736" w:type="dxa"/>
            <w:vAlign w:val="center"/>
          </w:tcPr>
          <w:p>
            <w:pPr>
              <w:spacing w:after="0" w:line="240" w:lineRule="auto"/>
              <w:ind w:left="732" w:right="-180" w:rightChars="-75" w:hanging="732" w:hangingChars="305"/>
              <w:jc w:val="center"/>
              <w:textAlignment w:val="center"/>
              <w:rPr>
                <w:bCs/>
                <w:szCs w:val="24"/>
                <w:highlight w:val="none"/>
              </w:rPr>
            </w:pPr>
            <w:r>
              <w:rPr>
                <w:rFonts w:hint="eastAsia"/>
                <w:bCs/>
                <w:szCs w:val="24"/>
                <w:highlight w:val="none"/>
              </w:rPr>
              <w:t>11</w:t>
            </w:r>
          </w:p>
        </w:tc>
        <w:tc>
          <w:tcPr>
            <w:tcW w:w="5447" w:type="dxa"/>
            <w:vAlign w:val="center"/>
          </w:tcPr>
          <w:p>
            <w:pPr>
              <w:spacing w:after="0" w:line="240" w:lineRule="auto"/>
              <w:ind w:left="12" w:right="-180" w:rightChars="-75" w:hanging="12" w:hangingChars="5"/>
              <w:textAlignment w:val="center"/>
              <w:rPr>
                <w:bCs/>
                <w:szCs w:val="24"/>
                <w:highlight w:val="none"/>
              </w:rPr>
            </w:pPr>
            <w:r>
              <w:rPr>
                <w:rFonts w:hint="eastAsia"/>
                <w:bCs/>
                <w:szCs w:val="24"/>
                <w:highlight w:val="none"/>
              </w:rPr>
              <w:t>《建筑采光设计标准》</w:t>
            </w:r>
          </w:p>
        </w:tc>
        <w:tc>
          <w:tcPr>
            <w:tcW w:w="2143" w:type="dxa"/>
            <w:vAlign w:val="center"/>
          </w:tcPr>
          <w:p>
            <w:pPr>
              <w:spacing w:after="0" w:line="240" w:lineRule="auto"/>
              <w:ind w:left="1134" w:right="-180" w:rightChars="-75" w:hanging="894"/>
              <w:textAlignment w:val="center"/>
              <w:rPr>
                <w:bCs/>
                <w:szCs w:val="24"/>
                <w:highlight w:val="none"/>
              </w:rPr>
            </w:pPr>
            <w:r>
              <w:rPr>
                <w:rFonts w:hint="eastAsia"/>
                <w:bCs/>
                <w:szCs w:val="24"/>
                <w:highlight w:val="none"/>
              </w:rPr>
              <w:t>GB 50033-2013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10" w:hRule="atLeast"/>
        </w:trPr>
        <w:tc>
          <w:tcPr>
            <w:tcW w:w="736" w:type="dxa"/>
            <w:vAlign w:val="center"/>
          </w:tcPr>
          <w:p>
            <w:pPr>
              <w:spacing w:after="0" w:line="240" w:lineRule="auto"/>
              <w:ind w:left="732" w:right="-180" w:rightChars="-75" w:hanging="732" w:hangingChars="305"/>
              <w:jc w:val="center"/>
              <w:textAlignment w:val="center"/>
              <w:rPr>
                <w:bCs/>
                <w:szCs w:val="24"/>
                <w:highlight w:val="none"/>
              </w:rPr>
            </w:pPr>
            <w:r>
              <w:rPr>
                <w:rFonts w:hint="eastAsia"/>
                <w:bCs/>
                <w:szCs w:val="24"/>
                <w:highlight w:val="none"/>
              </w:rPr>
              <w:t>12</w:t>
            </w:r>
          </w:p>
        </w:tc>
        <w:tc>
          <w:tcPr>
            <w:tcW w:w="5447" w:type="dxa"/>
            <w:vAlign w:val="center"/>
          </w:tcPr>
          <w:p>
            <w:pPr>
              <w:spacing w:after="0" w:line="240" w:lineRule="auto"/>
              <w:ind w:left="12" w:right="-180" w:rightChars="-75" w:hanging="12" w:hangingChars="5"/>
              <w:textAlignment w:val="center"/>
              <w:rPr>
                <w:bCs/>
                <w:szCs w:val="24"/>
                <w:highlight w:val="none"/>
              </w:rPr>
            </w:pPr>
            <w:r>
              <w:rPr>
                <w:rFonts w:hint="eastAsia"/>
                <w:bCs/>
                <w:szCs w:val="24"/>
                <w:highlight w:val="none"/>
              </w:rPr>
              <w:t>《防静电工程施工与质量验收规范明) 》</w:t>
            </w:r>
          </w:p>
        </w:tc>
        <w:tc>
          <w:tcPr>
            <w:tcW w:w="2143" w:type="dxa"/>
            <w:vAlign w:val="center"/>
          </w:tcPr>
          <w:p>
            <w:pPr>
              <w:spacing w:after="0" w:line="240" w:lineRule="auto"/>
              <w:ind w:left="1134" w:right="-180" w:rightChars="-75" w:hanging="894"/>
              <w:textAlignment w:val="center"/>
              <w:rPr>
                <w:bCs/>
                <w:szCs w:val="24"/>
                <w:highlight w:val="none"/>
              </w:rPr>
            </w:pPr>
            <w:r>
              <w:rPr>
                <w:rFonts w:hint="eastAsia"/>
                <w:bCs/>
                <w:szCs w:val="24"/>
                <w:highlight w:val="none"/>
              </w:rPr>
              <w:t>GB 50944-2013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10" w:hRule="atLeast"/>
        </w:trPr>
        <w:tc>
          <w:tcPr>
            <w:tcW w:w="736" w:type="dxa"/>
            <w:vAlign w:val="center"/>
          </w:tcPr>
          <w:p>
            <w:pPr>
              <w:spacing w:after="0" w:line="240" w:lineRule="auto"/>
              <w:ind w:left="732" w:right="-180" w:rightChars="-75" w:hanging="732" w:hangingChars="305"/>
              <w:jc w:val="center"/>
              <w:textAlignment w:val="center"/>
              <w:rPr>
                <w:bCs/>
                <w:szCs w:val="24"/>
                <w:highlight w:val="none"/>
              </w:rPr>
            </w:pPr>
            <w:r>
              <w:rPr>
                <w:rFonts w:hint="eastAsia"/>
                <w:bCs/>
                <w:szCs w:val="24"/>
                <w:highlight w:val="none"/>
              </w:rPr>
              <w:t>13</w:t>
            </w:r>
          </w:p>
        </w:tc>
        <w:tc>
          <w:tcPr>
            <w:tcW w:w="5447" w:type="dxa"/>
            <w:vAlign w:val="center"/>
          </w:tcPr>
          <w:p>
            <w:pPr>
              <w:spacing w:after="0" w:line="240" w:lineRule="auto"/>
              <w:ind w:left="12" w:right="-180" w:rightChars="-75" w:hanging="12" w:hangingChars="5"/>
              <w:textAlignment w:val="center"/>
              <w:rPr>
                <w:bCs/>
                <w:szCs w:val="24"/>
                <w:highlight w:val="none"/>
              </w:rPr>
            </w:pPr>
            <w:r>
              <w:rPr>
                <w:rFonts w:hint="eastAsia"/>
                <w:bCs/>
                <w:szCs w:val="24"/>
                <w:highlight w:val="none"/>
              </w:rPr>
              <w:t>《混凝土结构加固设计规范》</w:t>
            </w:r>
          </w:p>
        </w:tc>
        <w:tc>
          <w:tcPr>
            <w:tcW w:w="2143" w:type="dxa"/>
            <w:vAlign w:val="center"/>
          </w:tcPr>
          <w:p>
            <w:pPr>
              <w:spacing w:after="0" w:line="240" w:lineRule="auto"/>
              <w:ind w:left="1134" w:right="-180" w:rightChars="-75" w:hanging="894"/>
              <w:textAlignment w:val="center"/>
              <w:rPr>
                <w:bCs/>
                <w:szCs w:val="24"/>
                <w:highlight w:val="none"/>
              </w:rPr>
            </w:pPr>
            <w:r>
              <w:rPr>
                <w:rFonts w:hint="eastAsia"/>
                <w:bCs/>
                <w:szCs w:val="24"/>
                <w:highlight w:val="none"/>
              </w:rPr>
              <w:t>GB 50367-201</w:t>
            </w:r>
            <w:r>
              <w:rPr>
                <w:bCs/>
                <w:szCs w:val="24"/>
                <w:highlight w:val="none"/>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10" w:hRule="atLeast"/>
        </w:trPr>
        <w:tc>
          <w:tcPr>
            <w:tcW w:w="736" w:type="dxa"/>
            <w:vAlign w:val="center"/>
          </w:tcPr>
          <w:p>
            <w:pPr>
              <w:spacing w:after="0" w:line="240" w:lineRule="auto"/>
              <w:ind w:left="732" w:right="-180" w:rightChars="-75" w:hanging="732" w:hangingChars="305"/>
              <w:jc w:val="center"/>
              <w:textAlignment w:val="center"/>
              <w:rPr>
                <w:bCs/>
                <w:szCs w:val="24"/>
                <w:highlight w:val="none"/>
              </w:rPr>
            </w:pPr>
            <w:r>
              <w:rPr>
                <w:rFonts w:hint="eastAsia"/>
                <w:bCs/>
                <w:szCs w:val="24"/>
                <w:highlight w:val="none"/>
              </w:rPr>
              <w:t>14</w:t>
            </w:r>
          </w:p>
        </w:tc>
        <w:tc>
          <w:tcPr>
            <w:tcW w:w="5447" w:type="dxa"/>
            <w:vAlign w:val="center"/>
          </w:tcPr>
          <w:p>
            <w:pPr>
              <w:spacing w:after="0" w:line="240" w:lineRule="auto"/>
              <w:ind w:left="12" w:right="-180" w:rightChars="-75" w:hanging="12" w:hangingChars="5"/>
              <w:textAlignment w:val="center"/>
              <w:rPr>
                <w:bCs/>
                <w:szCs w:val="24"/>
                <w:highlight w:val="none"/>
              </w:rPr>
            </w:pPr>
            <w:r>
              <w:rPr>
                <w:rFonts w:hint="eastAsia"/>
                <w:bCs/>
                <w:szCs w:val="24"/>
                <w:highlight w:val="none"/>
              </w:rPr>
              <w:t>《防火门》</w:t>
            </w:r>
          </w:p>
        </w:tc>
        <w:tc>
          <w:tcPr>
            <w:tcW w:w="2143" w:type="dxa"/>
            <w:vAlign w:val="center"/>
          </w:tcPr>
          <w:p>
            <w:pPr>
              <w:spacing w:after="0" w:line="240" w:lineRule="auto"/>
              <w:ind w:left="1134" w:right="-180" w:rightChars="-75" w:hanging="894"/>
              <w:textAlignment w:val="center"/>
              <w:rPr>
                <w:bCs/>
                <w:szCs w:val="24"/>
                <w:highlight w:val="none"/>
              </w:rPr>
            </w:pPr>
            <w:r>
              <w:rPr>
                <w:rFonts w:hint="eastAsia"/>
                <w:bCs/>
                <w:szCs w:val="24"/>
                <w:highlight w:val="none"/>
              </w:rPr>
              <w:t>GB 12955-20</w:t>
            </w:r>
            <w:r>
              <w:rPr>
                <w:bCs/>
                <w:szCs w:val="24"/>
                <w:highlight w:val="none"/>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10" w:hRule="atLeast"/>
        </w:trPr>
        <w:tc>
          <w:tcPr>
            <w:tcW w:w="736" w:type="dxa"/>
            <w:vAlign w:val="center"/>
          </w:tcPr>
          <w:p>
            <w:pPr>
              <w:spacing w:after="0" w:line="240" w:lineRule="auto"/>
              <w:ind w:left="732" w:right="-180" w:rightChars="-75" w:hanging="732" w:hangingChars="305"/>
              <w:jc w:val="center"/>
              <w:textAlignment w:val="center"/>
              <w:rPr>
                <w:bCs/>
                <w:szCs w:val="24"/>
                <w:highlight w:val="none"/>
              </w:rPr>
            </w:pPr>
            <w:r>
              <w:rPr>
                <w:rFonts w:hint="eastAsia"/>
                <w:bCs/>
                <w:szCs w:val="24"/>
                <w:highlight w:val="none"/>
              </w:rPr>
              <w:t>15</w:t>
            </w:r>
          </w:p>
        </w:tc>
        <w:tc>
          <w:tcPr>
            <w:tcW w:w="5447" w:type="dxa"/>
            <w:vAlign w:val="center"/>
          </w:tcPr>
          <w:p>
            <w:pPr>
              <w:spacing w:after="0" w:line="240" w:lineRule="auto"/>
              <w:ind w:left="12" w:right="-180" w:rightChars="-75" w:hanging="12" w:hangingChars="5"/>
              <w:textAlignment w:val="center"/>
              <w:rPr>
                <w:bCs/>
                <w:szCs w:val="24"/>
                <w:highlight w:val="none"/>
              </w:rPr>
            </w:pPr>
            <w:r>
              <w:rPr>
                <w:rFonts w:hint="eastAsia"/>
                <w:bCs/>
                <w:szCs w:val="24"/>
                <w:highlight w:val="none"/>
              </w:rPr>
              <w:t>《防火封堵材料》</w:t>
            </w:r>
          </w:p>
        </w:tc>
        <w:tc>
          <w:tcPr>
            <w:tcW w:w="2143" w:type="dxa"/>
            <w:vAlign w:val="center"/>
          </w:tcPr>
          <w:p>
            <w:pPr>
              <w:spacing w:after="0" w:line="240" w:lineRule="auto"/>
              <w:ind w:left="1134" w:right="-180" w:rightChars="-75" w:hanging="894"/>
              <w:textAlignment w:val="center"/>
              <w:rPr>
                <w:bCs/>
                <w:szCs w:val="24"/>
                <w:highlight w:val="none"/>
              </w:rPr>
            </w:pPr>
            <w:r>
              <w:rPr>
                <w:rFonts w:hint="eastAsia"/>
                <w:bCs/>
                <w:szCs w:val="24"/>
                <w:highlight w:val="none"/>
              </w:rPr>
              <w:t>GB 23864-2009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10" w:hRule="atLeast"/>
        </w:trPr>
        <w:tc>
          <w:tcPr>
            <w:tcW w:w="736" w:type="dxa"/>
            <w:vAlign w:val="center"/>
          </w:tcPr>
          <w:p>
            <w:pPr>
              <w:spacing w:after="0" w:line="240" w:lineRule="auto"/>
              <w:ind w:left="732" w:right="-180" w:rightChars="-75" w:hanging="732" w:hangingChars="305"/>
              <w:jc w:val="center"/>
              <w:textAlignment w:val="center"/>
              <w:rPr>
                <w:bCs/>
                <w:szCs w:val="24"/>
                <w:highlight w:val="none"/>
              </w:rPr>
            </w:pPr>
            <w:r>
              <w:rPr>
                <w:rFonts w:hint="eastAsia"/>
                <w:bCs/>
                <w:szCs w:val="24"/>
                <w:highlight w:val="none"/>
              </w:rPr>
              <w:t>16</w:t>
            </w:r>
          </w:p>
        </w:tc>
        <w:tc>
          <w:tcPr>
            <w:tcW w:w="5447" w:type="dxa"/>
            <w:vAlign w:val="center"/>
          </w:tcPr>
          <w:p>
            <w:pPr>
              <w:spacing w:after="0" w:line="240" w:lineRule="auto"/>
              <w:ind w:left="12" w:right="-180" w:rightChars="-75" w:hanging="12" w:hangingChars="5"/>
              <w:textAlignment w:val="center"/>
              <w:rPr>
                <w:bCs/>
                <w:szCs w:val="24"/>
                <w:highlight w:val="none"/>
              </w:rPr>
            </w:pPr>
            <w:r>
              <w:rPr>
                <w:rFonts w:hint="eastAsia"/>
                <w:bCs/>
                <w:szCs w:val="24"/>
                <w:highlight w:val="none"/>
              </w:rPr>
              <w:t>《建筑用安全玻璃  第1部分：防火玻璃》</w:t>
            </w:r>
          </w:p>
        </w:tc>
        <w:tc>
          <w:tcPr>
            <w:tcW w:w="2143" w:type="dxa"/>
            <w:vAlign w:val="center"/>
          </w:tcPr>
          <w:p>
            <w:pPr>
              <w:spacing w:after="0" w:line="240" w:lineRule="auto"/>
              <w:ind w:left="1134" w:right="-180" w:rightChars="-75" w:hanging="894"/>
              <w:textAlignment w:val="center"/>
              <w:rPr>
                <w:bCs/>
                <w:szCs w:val="24"/>
                <w:highlight w:val="none"/>
              </w:rPr>
            </w:pPr>
            <w:r>
              <w:rPr>
                <w:rFonts w:hint="eastAsia"/>
                <w:bCs/>
                <w:szCs w:val="24"/>
                <w:highlight w:val="none"/>
              </w:rPr>
              <w:t>GB 15763.1-2009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10" w:hRule="atLeast"/>
        </w:trPr>
        <w:tc>
          <w:tcPr>
            <w:tcW w:w="736" w:type="dxa"/>
            <w:vAlign w:val="center"/>
          </w:tcPr>
          <w:p>
            <w:pPr>
              <w:spacing w:after="0" w:line="240" w:lineRule="auto"/>
              <w:ind w:left="732" w:right="-180" w:rightChars="-75" w:hanging="732" w:hangingChars="305"/>
              <w:jc w:val="center"/>
              <w:textAlignment w:val="center"/>
              <w:rPr>
                <w:bCs/>
                <w:szCs w:val="24"/>
                <w:highlight w:val="none"/>
              </w:rPr>
            </w:pPr>
            <w:r>
              <w:rPr>
                <w:rFonts w:hint="eastAsia"/>
                <w:bCs/>
                <w:szCs w:val="24"/>
                <w:highlight w:val="none"/>
              </w:rPr>
              <w:t>17</w:t>
            </w:r>
          </w:p>
        </w:tc>
        <w:tc>
          <w:tcPr>
            <w:tcW w:w="5447" w:type="dxa"/>
            <w:vAlign w:val="center"/>
          </w:tcPr>
          <w:p>
            <w:pPr>
              <w:spacing w:after="0" w:line="240" w:lineRule="auto"/>
              <w:ind w:left="12" w:right="-180" w:rightChars="-75" w:hanging="12" w:hangingChars="5"/>
              <w:textAlignment w:val="center"/>
              <w:rPr>
                <w:bCs/>
                <w:szCs w:val="24"/>
                <w:highlight w:val="none"/>
              </w:rPr>
            </w:pPr>
            <w:r>
              <w:rPr>
                <w:rFonts w:hint="eastAsia"/>
                <w:bCs/>
                <w:szCs w:val="24"/>
                <w:highlight w:val="none"/>
              </w:rPr>
              <w:t>《电缆防火涂料》</w:t>
            </w:r>
          </w:p>
        </w:tc>
        <w:tc>
          <w:tcPr>
            <w:tcW w:w="2143" w:type="dxa"/>
            <w:vAlign w:val="center"/>
          </w:tcPr>
          <w:p>
            <w:pPr>
              <w:spacing w:after="0" w:line="240" w:lineRule="auto"/>
              <w:ind w:left="1134" w:right="-180" w:rightChars="-75" w:hanging="894"/>
              <w:textAlignment w:val="center"/>
              <w:rPr>
                <w:bCs/>
                <w:szCs w:val="24"/>
                <w:highlight w:val="none"/>
              </w:rPr>
            </w:pPr>
            <w:r>
              <w:rPr>
                <w:rFonts w:hint="eastAsia"/>
                <w:bCs/>
                <w:szCs w:val="24"/>
                <w:highlight w:val="none"/>
              </w:rPr>
              <w:t>GB 28374-2012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10" w:hRule="atLeast"/>
        </w:trPr>
        <w:tc>
          <w:tcPr>
            <w:tcW w:w="736" w:type="dxa"/>
            <w:vAlign w:val="center"/>
          </w:tcPr>
          <w:p>
            <w:pPr>
              <w:spacing w:after="0" w:line="240" w:lineRule="auto"/>
              <w:ind w:left="732" w:right="-180" w:rightChars="-75" w:hanging="732" w:hangingChars="305"/>
              <w:jc w:val="center"/>
              <w:textAlignment w:val="center"/>
              <w:rPr>
                <w:bCs/>
                <w:szCs w:val="24"/>
                <w:highlight w:val="none"/>
              </w:rPr>
            </w:pPr>
            <w:r>
              <w:rPr>
                <w:rFonts w:hint="eastAsia"/>
                <w:bCs/>
                <w:szCs w:val="24"/>
                <w:highlight w:val="none"/>
              </w:rPr>
              <w:t>18</w:t>
            </w:r>
          </w:p>
        </w:tc>
        <w:tc>
          <w:tcPr>
            <w:tcW w:w="5447" w:type="dxa"/>
            <w:vAlign w:val="center"/>
          </w:tcPr>
          <w:p>
            <w:pPr>
              <w:spacing w:after="0" w:line="240" w:lineRule="auto"/>
              <w:ind w:left="12" w:right="-180" w:rightChars="-75" w:hanging="12" w:hangingChars="5"/>
              <w:textAlignment w:val="center"/>
              <w:rPr>
                <w:bCs/>
                <w:szCs w:val="24"/>
                <w:highlight w:val="none"/>
              </w:rPr>
            </w:pPr>
            <w:r>
              <w:rPr>
                <w:rFonts w:hint="eastAsia"/>
                <w:bCs/>
                <w:szCs w:val="24"/>
                <w:highlight w:val="none"/>
              </w:rPr>
              <w:t>《防火卷帘、防火门、防火窗施工及验收规范》</w:t>
            </w:r>
          </w:p>
        </w:tc>
        <w:tc>
          <w:tcPr>
            <w:tcW w:w="2143" w:type="dxa"/>
            <w:vAlign w:val="center"/>
          </w:tcPr>
          <w:p>
            <w:pPr>
              <w:spacing w:after="0" w:line="240" w:lineRule="auto"/>
              <w:ind w:left="1134" w:right="-180" w:rightChars="-75" w:hanging="894"/>
              <w:textAlignment w:val="center"/>
              <w:rPr>
                <w:bCs/>
                <w:szCs w:val="24"/>
                <w:highlight w:val="none"/>
              </w:rPr>
            </w:pPr>
            <w:r>
              <w:rPr>
                <w:rFonts w:hint="eastAsia"/>
                <w:bCs/>
                <w:szCs w:val="24"/>
                <w:highlight w:val="none"/>
              </w:rPr>
              <w:t>GB 50877-2014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10" w:hRule="atLeast"/>
        </w:trPr>
        <w:tc>
          <w:tcPr>
            <w:tcW w:w="736" w:type="dxa"/>
            <w:vAlign w:val="center"/>
          </w:tcPr>
          <w:p>
            <w:pPr>
              <w:spacing w:after="0" w:line="240" w:lineRule="auto"/>
              <w:ind w:left="732" w:right="-180" w:rightChars="-75" w:hanging="732" w:hangingChars="305"/>
              <w:jc w:val="center"/>
              <w:textAlignment w:val="center"/>
              <w:rPr>
                <w:bCs/>
                <w:szCs w:val="24"/>
                <w:highlight w:val="none"/>
              </w:rPr>
            </w:pPr>
            <w:r>
              <w:rPr>
                <w:rFonts w:hint="eastAsia"/>
                <w:bCs/>
                <w:szCs w:val="24"/>
                <w:highlight w:val="none"/>
              </w:rPr>
              <w:t>19</w:t>
            </w:r>
          </w:p>
        </w:tc>
        <w:tc>
          <w:tcPr>
            <w:tcW w:w="5447" w:type="dxa"/>
            <w:vAlign w:val="center"/>
          </w:tcPr>
          <w:p>
            <w:pPr>
              <w:spacing w:after="0" w:line="240" w:lineRule="auto"/>
              <w:ind w:left="12" w:right="-180" w:rightChars="-75" w:hanging="12" w:hangingChars="5"/>
              <w:textAlignment w:val="center"/>
              <w:rPr>
                <w:bCs/>
                <w:szCs w:val="24"/>
                <w:highlight w:val="none"/>
              </w:rPr>
            </w:pPr>
            <w:r>
              <w:rPr>
                <w:rFonts w:hint="eastAsia"/>
                <w:bCs/>
                <w:szCs w:val="24"/>
                <w:highlight w:val="none"/>
              </w:rPr>
              <w:t>《防静电活动地板通用规范》</w:t>
            </w:r>
          </w:p>
        </w:tc>
        <w:tc>
          <w:tcPr>
            <w:tcW w:w="2143" w:type="dxa"/>
            <w:vAlign w:val="center"/>
          </w:tcPr>
          <w:p>
            <w:pPr>
              <w:spacing w:after="0" w:line="240" w:lineRule="auto"/>
              <w:ind w:left="1134" w:right="-180" w:rightChars="-75" w:hanging="894"/>
              <w:textAlignment w:val="center"/>
              <w:rPr>
                <w:bCs/>
                <w:szCs w:val="24"/>
                <w:highlight w:val="none"/>
              </w:rPr>
            </w:pPr>
            <w:r>
              <w:rPr>
                <w:rFonts w:hint="eastAsia"/>
                <w:bCs/>
                <w:szCs w:val="24"/>
                <w:highlight w:val="none"/>
              </w:rPr>
              <w:t>GBT 36340-2018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10" w:hRule="atLeast"/>
        </w:trPr>
        <w:tc>
          <w:tcPr>
            <w:tcW w:w="8326" w:type="dxa"/>
            <w:gridSpan w:val="3"/>
            <w:vAlign w:val="center"/>
          </w:tcPr>
          <w:p>
            <w:pPr>
              <w:spacing w:after="0" w:line="240" w:lineRule="auto"/>
              <w:ind w:left="732" w:right="-180" w:rightChars="-75" w:hanging="732" w:hangingChars="305"/>
              <w:jc w:val="center"/>
              <w:textAlignment w:val="center"/>
              <w:rPr>
                <w:bCs/>
                <w:szCs w:val="24"/>
                <w:highlight w:val="none"/>
              </w:rPr>
            </w:pPr>
            <w:r>
              <w:rPr>
                <w:rFonts w:hint="eastAsia"/>
                <w:bCs/>
                <w:szCs w:val="24"/>
                <w:highlight w:val="none"/>
              </w:rPr>
              <w:t>电气技术主要标准、规范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10" w:hRule="atLeast"/>
        </w:trPr>
        <w:tc>
          <w:tcPr>
            <w:tcW w:w="736" w:type="dxa"/>
            <w:vAlign w:val="center"/>
          </w:tcPr>
          <w:p>
            <w:pPr>
              <w:spacing w:after="0" w:line="240" w:lineRule="auto"/>
              <w:ind w:left="732" w:right="-180" w:rightChars="-75" w:hanging="732" w:hangingChars="305"/>
              <w:jc w:val="center"/>
              <w:textAlignment w:val="center"/>
              <w:rPr>
                <w:bCs/>
                <w:szCs w:val="24"/>
                <w:highlight w:val="none"/>
              </w:rPr>
            </w:pPr>
            <w:r>
              <w:rPr>
                <w:rFonts w:hint="eastAsia"/>
                <w:bCs/>
                <w:szCs w:val="24"/>
                <w:highlight w:val="none"/>
              </w:rPr>
              <w:t>1</w:t>
            </w:r>
          </w:p>
        </w:tc>
        <w:tc>
          <w:tcPr>
            <w:tcW w:w="5447" w:type="dxa"/>
            <w:vAlign w:val="center"/>
          </w:tcPr>
          <w:p>
            <w:pPr>
              <w:spacing w:after="0" w:line="240" w:lineRule="auto"/>
              <w:ind w:left="12" w:right="-180" w:rightChars="-75" w:hanging="12" w:hangingChars="5"/>
              <w:textAlignment w:val="center"/>
              <w:rPr>
                <w:bCs/>
                <w:szCs w:val="24"/>
                <w:highlight w:val="none"/>
              </w:rPr>
            </w:pPr>
            <w:r>
              <w:rPr>
                <w:rFonts w:hint="eastAsia"/>
                <w:bCs/>
                <w:szCs w:val="24"/>
                <w:highlight w:val="none"/>
              </w:rPr>
              <w:t>《20KV及以下变电所设计规范》</w:t>
            </w:r>
          </w:p>
        </w:tc>
        <w:tc>
          <w:tcPr>
            <w:tcW w:w="2143" w:type="dxa"/>
            <w:vAlign w:val="center"/>
          </w:tcPr>
          <w:p>
            <w:pPr>
              <w:spacing w:after="0" w:line="240" w:lineRule="auto"/>
              <w:ind w:left="254" w:right="-180" w:rightChars="-75" w:hanging="14"/>
              <w:textAlignment w:val="center"/>
              <w:rPr>
                <w:bCs/>
                <w:szCs w:val="24"/>
                <w:highlight w:val="none"/>
              </w:rPr>
            </w:pPr>
            <w:r>
              <w:rPr>
                <w:rFonts w:hint="eastAsia"/>
                <w:bCs/>
                <w:szCs w:val="24"/>
                <w:highlight w:val="none"/>
              </w:rPr>
              <w:t>GB 50053-201</w:t>
            </w:r>
            <w:r>
              <w:rPr>
                <w:bCs/>
                <w:szCs w:val="24"/>
                <w:highlight w:val="none"/>
              </w:rPr>
              <w:t>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10" w:hRule="atLeast"/>
        </w:trPr>
        <w:tc>
          <w:tcPr>
            <w:tcW w:w="736" w:type="dxa"/>
            <w:vAlign w:val="center"/>
          </w:tcPr>
          <w:p>
            <w:pPr>
              <w:spacing w:after="0" w:line="240" w:lineRule="auto"/>
              <w:ind w:left="732" w:right="-180" w:rightChars="-75" w:hanging="732" w:hangingChars="305"/>
              <w:jc w:val="center"/>
              <w:textAlignment w:val="center"/>
              <w:rPr>
                <w:bCs/>
                <w:szCs w:val="24"/>
                <w:highlight w:val="none"/>
              </w:rPr>
            </w:pPr>
            <w:r>
              <w:rPr>
                <w:rFonts w:hint="eastAsia"/>
                <w:bCs/>
                <w:szCs w:val="24"/>
                <w:highlight w:val="none"/>
              </w:rPr>
              <w:t>2</w:t>
            </w:r>
          </w:p>
        </w:tc>
        <w:tc>
          <w:tcPr>
            <w:tcW w:w="5447" w:type="dxa"/>
            <w:vAlign w:val="center"/>
          </w:tcPr>
          <w:p>
            <w:pPr>
              <w:spacing w:after="0" w:line="240" w:lineRule="auto"/>
              <w:ind w:left="12" w:right="-180" w:rightChars="-75" w:hanging="12" w:hangingChars="5"/>
              <w:textAlignment w:val="center"/>
              <w:rPr>
                <w:bCs/>
                <w:szCs w:val="24"/>
                <w:highlight w:val="none"/>
              </w:rPr>
            </w:pPr>
            <w:r>
              <w:rPr>
                <w:rFonts w:hint="eastAsia"/>
                <w:bCs/>
                <w:szCs w:val="24"/>
                <w:highlight w:val="none"/>
              </w:rPr>
              <w:t>《低压配电设计规范》</w:t>
            </w:r>
          </w:p>
        </w:tc>
        <w:tc>
          <w:tcPr>
            <w:tcW w:w="2143" w:type="dxa"/>
            <w:vAlign w:val="center"/>
          </w:tcPr>
          <w:p>
            <w:pPr>
              <w:spacing w:after="0" w:line="240" w:lineRule="auto"/>
              <w:ind w:left="254" w:right="-180" w:rightChars="-75" w:hanging="14"/>
              <w:textAlignment w:val="center"/>
              <w:rPr>
                <w:bCs/>
                <w:szCs w:val="24"/>
                <w:highlight w:val="none"/>
              </w:rPr>
            </w:pPr>
            <w:r>
              <w:rPr>
                <w:rFonts w:hint="eastAsia"/>
                <w:bCs/>
                <w:szCs w:val="24"/>
                <w:highlight w:val="none"/>
              </w:rPr>
              <w:t>GB 50054-201</w:t>
            </w:r>
            <w:r>
              <w:rPr>
                <w:bCs/>
                <w:szCs w:val="24"/>
                <w:highlight w:val="none"/>
              </w:rPr>
              <w:t>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10" w:hRule="atLeast"/>
        </w:trPr>
        <w:tc>
          <w:tcPr>
            <w:tcW w:w="736" w:type="dxa"/>
            <w:vAlign w:val="center"/>
          </w:tcPr>
          <w:p>
            <w:pPr>
              <w:spacing w:after="0" w:line="240" w:lineRule="auto"/>
              <w:ind w:left="732" w:right="-180" w:rightChars="-75" w:hanging="732" w:hangingChars="305"/>
              <w:jc w:val="center"/>
              <w:textAlignment w:val="center"/>
              <w:rPr>
                <w:bCs/>
                <w:szCs w:val="24"/>
                <w:highlight w:val="none"/>
              </w:rPr>
            </w:pPr>
            <w:r>
              <w:rPr>
                <w:rFonts w:hint="eastAsia"/>
                <w:bCs/>
                <w:szCs w:val="24"/>
                <w:highlight w:val="none"/>
              </w:rPr>
              <w:t>3</w:t>
            </w:r>
          </w:p>
        </w:tc>
        <w:tc>
          <w:tcPr>
            <w:tcW w:w="5447" w:type="dxa"/>
            <w:vAlign w:val="center"/>
          </w:tcPr>
          <w:p>
            <w:pPr>
              <w:spacing w:after="0" w:line="240" w:lineRule="auto"/>
              <w:ind w:left="12" w:right="-180" w:rightChars="-75" w:hanging="12" w:hangingChars="5"/>
              <w:textAlignment w:val="center"/>
              <w:rPr>
                <w:bCs/>
                <w:szCs w:val="24"/>
                <w:highlight w:val="none"/>
              </w:rPr>
            </w:pPr>
            <w:r>
              <w:rPr>
                <w:rFonts w:hint="eastAsia"/>
                <w:bCs/>
                <w:szCs w:val="24"/>
                <w:highlight w:val="none"/>
              </w:rPr>
              <w:t>《供配电系统设计规范》</w:t>
            </w:r>
          </w:p>
        </w:tc>
        <w:tc>
          <w:tcPr>
            <w:tcW w:w="2143" w:type="dxa"/>
            <w:vAlign w:val="center"/>
          </w:tcPr>
          <w:p>
            <w:pPr>
              <w:spacing w:after="0" w:line="240" w:lineRule="auto"/>
              <w:ind w:left="254" w:right="-180" w:rightChars="-75" w:hanging="14"/>
              <w:textAlignment w:val="center"/>
              <w:rPr>
                <w:bCs/>
                <w:szCs w:val="24"/>
                <w:highlight w:val="none"/>
              </w:rPr>
            </w:pPr>
            <w:r>
              <w:rPr>
                <w:rFonts w:hint="eastAsia"/>
                <w:bCs/>
                <w:szCs w:val="24"/>
                <w:highlight w:val="none"/>
              </w:rPr>
              <w:t>GB 50052-20</w:t>
            </w:r>
            <w:r>
              <w:rPr>
                <w:bCs/>
                <w:szCs w:val="24"/>
                <w:highlight w:val="none"/>
              </w:rPr>
              <w:t>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10" w:hRule="atLeast"/>
        </w:trPr>
        <w:tc>
          <w:tcPr>
            <w:tcW w:w="736" w:type="dxa"/>
            <w:vAlign w:val="center"/>
          </w:tcPr>
          <w:p>
            <w:pPr>
              <w:spacing w:after="0" w:line="240" w:lineRule="auto"/>
              <w:ind w:left="732" w:right="-180" w:rightChars="-75" w:hanging="732" w:hangingChars="305"/>
              <w:jc w:val="center"/>
              <w:textAlignment w:val="center"/>
              <w:rPr>
                <w:bCs/>
                <w:szCs w:val="24"/>
                <w:highlight w:val="none"/>
              </w:rPr>
            </w:pPr>
            <w:r>
              <w:rPr>
                <w:rFonts w:hint="eastAsia"/>
                <w:bCs/>
                <w:szCs w:val="24"/>
                <w:highlight w:val="none"/>
              </w:rPr>
              <w:t>4</w:t>
            </w:r>
          </w:p>
        </w:tc>
        <w:tc>
          <w:tcPr>
            <w:tcW w:w="5447" w:type="dxa"/>
            <w:vAlign w:val="center"/>
          </w:tcPr>
          <w:p>
            <w:pPr>
              <w:spacing w:after="0" w:line="240" w:lineRule="auto"/>
              <w:ind w:left="12" w:right="-180" w:rightChars="-75" w:hanging="12" w:hangingChars="5"/>
              <w:textAlignment w:val="center"/>
              <w:rPr>
                <w:bCs/>
                <w:szCs w:val="24"/>
                <w:highlight w:val="none"/>
              </w:rPr>
            </w:pPr>
            <w:r>
              <w:rPr>
                <w:rFonts w:hint="eastAsia"/>
                <w:bCs/>
                <w:szCs w:val="24"/>
                <w:highlight w:val="none"/>
              </w:rPr>
              <w:t>《建筑照明设计标准》</w:t>
            </w:r>
          </w:p>
        </w:tc>
        <w:tc>
          <w:tcPr>
            <w:tcW w:w="2143" w:type="dxa"/>
            <w:vAlign w:val="center"/>
          </w:tcPr>
          <w:p>
            <w:pPr>
              <w:spacing w:after="0" w:line="240" w:lineRule="auto"/>
              <w:ind w:left="254" w:right="-180" w:rightChars="-75" w:hanging="14"/>
              <w:textAlignment w:val="center"/>
              <w:rPr>
                <w:bCs/>
                <w:szCs w:val="24"/>
                <w:highlight w:val="none"/>
              </w:rPr>
            </w:pPr>
            <w:r>
              <w:rPr>
                <w:rFonts w:hint="eastAsia"/>
                <w:bCs/>
                <w:szCs w:val="24"/>
                <w:highlight w:val="none"/>
              </w:rPr>
              <w:t>GB 50034-201</w:t>
            </w:r>
            <w:r>
              <w:rPr>
                <w:bCs/>
                <w:szCs w:val="24"/>
                <w:highlight w:val="none"/>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10" w:hRule="atLeast"/>
        </w:trPr>
        <w:tc>
          <w:tcPr>
            <w:tcW w:w="736" w:type="dxa"/>
            <w:vAlign w:val="center"/>
          </w:tcPr>
          <w:p>
            <w:pPr>
              <w:spacing w:after="0" w:line="240" w:lineRule="auto"/>
              <w:ind w:left="732" w:right="-180" w:rightChars="-75" w:hanging="732" w:hangingChars="305"/>
              <w:jc w:val="center"/>
              <w:textAlignment w:val="center"/>
              <w:rPr>
                <w:bCs/>
                <w:szCs w:val="24"/>
                <w:highlight w:val="none"/>
              </w:rPr>
            </w:pPr>
            <w:r>
              <w:rPr>
                <w:rFonts w:hint="eastAsia"/>
                <w:bCs/>
                <w:szCs w:val="24"/>
                <w:highlight w:val="none"/>
              </w:rPr>
              <w:t>5</w:t>
            </w:r>
          </w:p>
        </w:tc>
        <w:tc>
          <w:tcPr>
            <w:tcW w:w="5447" w:type="dxa"/>
            <w:vAlign w:val="center"/>
          </w:tcPr>
          <w:p>
            <w:pPr>
              <w:spacing w:after="0" w:line="240" w:lineRule="auto"/>
              <w:ind w:left="12" w:right="-180" w:rightChars="-75" w:hanging="12" w:hangingChars="5"/>
              <w:textAlignment w:val="center"/>
              <w:rPr>
                <w:bCs/>
                <w:szCs w:val="24"/>
                <w:highlight w:val="none"/>
              </w:rPr>
            </w:pPr>
            <w:r>
              <w:rPr>
                <w:rFonts w:hint="eastAsia"/>
                <w:bCs/>
                <w:szCs w:val="24"/>
                <w:highlight w:val="none"/>
              </w:rPr>
              <w:t>《建筑电气工程施工质量验收规范》</w:t>
            </w:r>
          </w:p>
        </w:tc>
        <w:tc>
          <w:tcPr>
            <w:tcW w:w="2143" w:type="dxa"/>
            <w:vAlign w:val="center"/>
          </w:tcPr>
          <w:p>
            <w:pPr>
              <w:spacing w:after="0" w:line="240" w:lineRule="auto"/>
              <w:ind w:left="254" w:right="-180" w:rightChars="-75" w:hanging="14"/>
              <w:textAlignment w:val="center"/>
              <w:rPr>
                <w:bCs/>
                <w:szCs w:val="24"/>
                <w:highlight w:val="none"/>
              </w:rPr>
            </w:pPr>
            <w:r>
              <w:rPr>
                <w:rFonts w:hint="eastAsia"/>
                <w:bCs/>
                <w:szCs w:val="24"/>
                <w:highlight w:val="none"/>
              </w:rPr>
              <w:t>GB 50303-201</w:t>
            </w:r>
            <w:r>
              <w:rPr>
                <w:bCs/>
                <w:szCs w:val="24"/>
                <w:highlight w:val="none"/>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10" w:hRule="atLeast"/>
        </w:trPr>
        <w:tc>
          <w:tcPr>
            <w:tcW w:w="736" w:type="dxa"/>
            <w:vAlign w:val="center"/>
          </w:tcPr>
          <w:p>
            <w:pPr>
              <w:spacing w:after="0" w:line="240" w:lineRule="auto"/>
              <w:ind w:left="732" w:right="-180" w:rightChars="-75" w:hanging="732" w:hangingChars="305"/>
              <w:jc w:val="center"/>
              <w:textAlignment w:val="center"/>
              <w:rPr>
                <w:bCs/>
                <w:szCs w:val="24"/>
                <w:highlight w:val="none"/>
              </w:rPr>
            </w:pPr>
            <w:r>
              <w:rPr>
                <w:rFonts w:hint="eastAsia"/>
                <w:bCs/>
                <w:szCs w:val="24"/>
                <w:highlight w:val="none"/>
              </w:rPr>
              <w:t>6</w:t>
            </w:r>
          </w:p>
        </w:tc>
        <w:tc>
          <w:tcPr>
            <w:tcW w:w="5447" w:type="dxa"/>
            <w:vAlign w:val="center"/>
          </w:tcPr>
          <w:p>
            <w:pPr>
              <w:spacing w:after="0" w:line="240" w:lineRule="auto"/>
              <w:ind w:left="12" w:right="-180" w:rightChars="-75" w:hanging="12" w:hangingChars="5"/>
              <w:textAlignment w:val="center"/>
              <w:rPr>
                <w:bCs/>
                <w:szCs w:val="24"/>
                <w:highlight w:val="none"/>
              </w:rPr>
            </w:pPr>
            <w:r>
              <w:rPr>
                <w:rFonts w:hint="eastAsia"/>
                <w:bCs/>
                <w:szCs w:val="24"/>
                <w:highlight w:val="none"/>
              </w:rPr>
              <w:t>《建筑物防雷装置检测技术规范》</w:t>
            </w:r>
          </w:p>
        </w:tc>
        <w:tc>
          <w:tcPr>
            <w:tcW w:w="2143" w:type="dxa"/>
            <w:vAlign w:val="center"/>
          </w:tcPr>
          <w:p>
            <w:pPr>
              <w:spacing w:after="0" w:line="240" w:lineRule="auto"/>
              <w:ind w:left="254" w:right="-180" w:rightChars="-75" w:hanging="14"/>
              <w:textAlignment w:val="center"/>
              <w:rPr>
                <w:bCs/>
                <w:szCs w:val="24"/>
                <w:highlight w:val="none"/>
              </w:rPr>
            </w:pPr>
            <w:r>
              <w:rPr>
                <w:rFonts w:hint="eastAsia"/>
                <w:bCs/>
                <w:szCs w:val="24"/>
                <w:highlight w:val="none"/>
              </w:rPr>
              <w:t>GBT 21431-2015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10" w:hRule="atLeast"/>
        </w:trPr>
        <w:tc>
          <w:tcPr>
            <w:tcW w:w="736" w:type="dxa"/>
            <w:vAlign w:val="center"/>
          </w:tcPr>
          <w:p>
            <w:pPr>
              <w:spacing w:after="0" w:line="240" w:lineRule="auto"/>
              <w:ind w:left="732" w:right="-180" w:rightChars="-75" w:hanging="732" w:hangingChars="305"/>
              <w:jc w:val="center"/>
              <w:textAlignment w:val="center"/>
              <w:rPr>
                <w:bCs/>
                <w:szCs w:val="24"/>
                <w:highlight w:val="none"/>
              </w:rPr>
            </w:pPr>
            <w:r>
              <w:rPr>
                <w:rFonts w:hint="eastAsia"/>
                <w:bCs/>
                <w:szCs w:val="24"/>
                <w:highlight w:val="none"/>
              </w:rPr>
              <w:t>7</w:t>
            </w:r>
          </w:p>
        </w:tc>
        <w:tc>
          <w:tcPr>
            <w:tcW w:w="5447" w:type="dxa"/>
            <w:vAlign w:val="center"/>
          </w:tcPr>
          <w:p>
            <w:pPr>
              <w:spacing w:after="0" w:line="240" w:lineRule="auto"/>
              <w:ind w:left="12" w:right="-180" w:rightChars="-75" w:hanging="12" w:hangingChars="5"/>
              <w:textAlignment w:val="center"/>
              <w:rPr>
                <w:bCs/>
                <w:szCs w:val="24"/>
                <w:highlight w:val="none"/>
              </w:rPr>
            </w:pPr>
            <w:r>
              <w:rPr>
                <w:rFonts w:hint="eastAsia"/>
                <w:bCs/>
                <w:szCs w:val="24"/>
                <w:highlight w:val="none"/>
              </w:rPr>
              <w:t>《电力设施抗震设计规范》</w:t>
            </w:r>
          </w:p>
        </w:tc>
        <w:tc>
          <w:tcPr>
            <w:tcW w:w="2143" w:type="dxa"/>
            <w:vAlign w:val="center"/>
          </w:tcPr>
          <w:p>
            <w:pPr>
              <w:spacing w:after="0" w:line="240" w:lineRule="auto"/>
              <w:ind w:left="254" w:right="-180" w:rightChars="-75" w:hanging="14"/>
              <w:textAlignment w:val="center"/>
              <w:rPr>
                <w:bCs/>
                <w:szCs w:val="24"/>
                <w:highlight w:val="none"/>
              </w:rPr>
            </w:pPr>
            <w:r>
              <w:rPr>
                <w:rFonts w:hint="eastAsia"/>
                <w:bCs/>
                <w:szCs w:val="24"/>
                <w:highlight w:val="none"/>
              </w:rPr>
              <w:t>GB 50260-2013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10" w:hRule="atLeast"/>
        </w:trPr>
        <w:tc>
          <w:tcPr>
            <w:tcW w:w="736" w:type="dxa"/>
            <w:vAlign w:val="center"/>
          </w:tcPr>
          <w:p>
            <w:pPr>
              <w:spacing w:after="0" w:line="240" w:lineRule="auto"/>
              <w:ind w:left="732" w:right="-180" w:rightChars="-75" w:hanging="732" w:hangingChars="305"/>
              <w:jc w:val="center"/>
              <w:textAlignment w:val="center"/>
              <w:rPr>
                <w:bCs/>
                <w:szCs w:val="24"/>
                <w:highlight w:val="none"/>
              </w:rPr>
            </w:pPr>
            <w:r>
              <w:rPr>
                <w:rFonts w:hint="eastAsia"/>
                <w:bCs/>
                <w:szCs w:val="24"/>
                <w:highlight w:val="none"/>
              </w:rPr>
              <w:t>8</w:t>
            </w:r>
          </w:p>
        </w:tc>
        <w:tc>
          <w:tcPr>
            <w:tcW w:w="5447" w:type="dxa"/>
            <w:vAlign w:val="center"/>
          </w:tcPr>
          <w:p>
            <w:pPr>
              <w:spacing w:after="0" w:line="240" w:lineRule="auto"/>
              <w:ind w:left="12" w:right="-180" w:rightChars="-75" w:hanging="12" w:hangingChars="5"/>
              <w:textAlignment w:val="center"/>
              <w:rPr>
                <w:bCs/>
                <w:szCs w:val="24"/>
                <w:highlight w:val="none"/>
              </w:rPr>
            </w:pPr>
            <w:r>
              <w:rPr>
                <w:rFonts w:hint="eastAsia"/>
                <w:bCs/>
                <w:szCs w:val="24"/>
                <w:highlight w:val="none"/>
              </w:rPr>
              <w:t>《建筑物电子信息系统防雷技术规范》</w:t>
            </w:r>
          </w:p>
        </w:tc>
        <w:tc>
          <w:tcPr>
            <w:tcW w:w="2143" w:type="dxa"/>
            <w:vAlign w:val="center"/>
          </w:tcPr>
          <w:p>
            <w:pPr>
              <w:spacing w:after="0" w:line="240" w:lineRule="auto"/>
              <w:ind w:left="254" w:right="-180" w:rightChars="-75" w:hanging="14"/>
              <w:textAlignment w:val="center"/>
              <w:rPr>
                <w:bCs/>
                <w:szCs w:val="24"/>
                <w:highlight w:val="none"/>
              </w:rPr>
            </w:pPr>
            <w:r>
              <w:rPr>
                <w:rFonts w:hint="eastAsia"/>
                <w:bCs/>
                <w:szCs w:val="24"/>
                <w:highlight w:val="none"/>
              </w:rPr>
              <w:t>GB 50343-201</w:t>
            </w:r>
            <w:r>
              <w:rPr>
                <w:bCs/>
                <w:szCs w:val="24"/>
                <w:highlight w:val="none"/>
              </w:rPr>
              <w:t>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10" w:hRule="atLeast"/>
        </w:trPr>
        <w:tc>
          <w:tcPr>
            <w:tcW w:w="736" w:type="dxa"/>
            <w:vAlign w:val="center"/>
          </w:tcPr>
          <w:p>
            <w:pPr>
              <w:spacing w:after="0" w:line="240" w:lineRule="auto"/>
              <w:ind w:left="732" w:right="-180" w:rightChars="-75" w:hanging="732" w:hangingChars="305"/>
              <w:jc w:val="center"/>
              <w:textAlignment w:val="center"/>
              <w:rPr>
                <w:bCs/>
                <w:szCs w:val="24"/>
                <w:highlight w:val="none"/>
              </w:rPr>
            </w:pPr>
            <w:r>
              <w:rPr>
                <w:rFonts w:hint="eastAsia"/>
                <w:bCs/>
                <w:szCs w:val="24"/>
                <w:highlight w:val="none"/>
              </w:rPr>
              <w:t>9</w:t>
            </w:r>
          </w:p>
        </w:tc>
        <w:tc>
          <w:tcPr>
            <w:tcW w:w="5447" w:type="dxa"/>
            <w:vAlign w:val="center"/>
          </w:tcPr>
          <w:p>
            <w:pPr>
              <w:spacing w:after="0" w:line="240" w:lineRule="auto"/>
              <w:ind w:left="12" w:right="-180" w:rightChars="-75" w:hanging="12" w:hangingChars="5"/>
              <w:textAlignment w:val="center"/>
              <w:rPr>
                <w:bCs/>
                <w:szCs w:val="24"/>
                <w:highlight w:val="none"/>
              </w:rPr>
            </w:pPr>
            <w:r>
              <w:rPr>
                <w:rFonts w:hint="eastAsia"/>
                <w:bCs/>
                <w:szCs w:val="24"/>
                <w:highlight w:val="none"/>
              </w:rPr>
              <w:t>《爆炸危险环境电力装置设计规范》</w:t>
            </w:r>
          </w:p>
        </w:tc>
        <w:tc>
          <w:tcPr>
            <w:tcW w:w="2143" w:type="dxa"/>
            <w:vAlign w:val="center"/>
          </w:tcPr>
          <w:p>
            <w:pPr>
              <w:spacing w:after="0" w:line="240" w:lineRule="auto"/>
              <w:ind w:left="254" w:right="-180" w:rightChars="-75" w:hanging="14"/>
              <w:textAlignment w:val="center"/>
              <w:rPr>
                <w:bCs/>
                <w:szCs w:val="24"/>
                <w:highlight w:val="none"/>
              </w:rPr>
            </w:pPr>
            <w:r>
              <w:rPr>
                <w:rFonts w:hint="eastAsia"/>
                <w:bCs/>
                <w:szCs w:val="24"/>
                <w:highlight w:val="none"/>
              </w:rPr>
              <w:t>GB 50058-2014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10" w:hRule="atLeast"/>
        </w:trPr>
        <w:tc>
          <w:tcPr>
            <w:tcW w:w="736" w:type="dxa"/>
            <w:vAlign w:val="center"/>
          </w:tcPr>
          <w:p>
            <w:pPr>
              <w:spacing w:after="0" w:line="240" w:lineRule="auto"/>
              <w:ind w:left="732" w:right="-180" w:rightChars="-75" w:hanging="732" w:hangingChars="305"/>
              <w:jc w:val="center"/>
              <w:textAlignment w:val="center"/>
              <w:rPr>
                <w:bCs/>
                <w:szCs w:val="24"/>
                <w:highlight w:val="none"/>
              </w:rPr>
            </w:pPr>
            <w:r>
              <w:rPr>
                <w:rFonts w:hint="eastAsia"/>
                <w:bCs/>
                <w:szCs w:val="24"/>
                <w:highlight w:val="none"/>
              </w:rPr>
              <w:t>10</w:t>
            </w:r>
          </w:p>
        </w:tc>
        <w:tc>
          <w:tcPr>
            <w:tcW w:w="5447" w:type="dxa"/>
            <w:vAlign w:val="center"/>
          </w:tcPr>
          <w:p>
            <w:pPr>
              <w:spacing w:after="0" w:line="240" w:lineRule="auto"/>
              <w:ind w:left="0" w:right="146" w:rightChars="61"/>
              <w:textAlignment w:val="center"/>
              <w:rPr>
                <w:bCs/>
                <w:szCs w:val="24"/>
                <w:highlight w:val="none"/>
              </w:rPr>
            </w:pPr>
            <w:r>
              <w:rPr>
                <w:rFonts w:hint="eastAsia"/>
                <w:bCs/>
                <w:szCs w:val="24"/>
                <w:highlight w:val="none"/>
              </w:rPr>
              <w:t>《重要电力用户供电电源及自备应急电源配置技术规范》</w:t>
            </w:r>
          </w:p>
        </w:tc>
        <w:tc>
          <w:tcPr>
            <w:tcW w:w="2143" w:type="dxa"/>
            <w:vAlign w:val="center"/>
          </w:tcPr>
          <w:p>
            <w:pPr>
              <w:spacing w:after="0" w:line="240" w:lineRule="auto"/>
              <w:ind w:left="254" w:right="-180" w:rightChars="-75" w:hanging="14"/>
              <w:textAlignment w:val="center"/>
              <w:rPr>
                <w:bCs/>
                <w:szCs w:val="24"/>
                <w:highlight w:val="none"/>
              </w:rPr>
            </w:pPr>
            <w:r>
              <w:rPr>
                <w:rFonts w:hint="eastAsia"/>
                <w:bCs/>
                <w:szCs w:val="24"/>
                <w:highlight w:val="none"/>
              </w:rPr>
              <w:t>GBT 29328-2018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10" w:hRule="atLeast"/>
        </w:trPr>
        <w:tc>
          <w:tcPr>
            <w:tcW w:w="736" w:type="dxa"/>
            <w:vAlign w:val="center"/>
          </w:tcPr>
          <w:p>
            <w:pPr>
              <w:spacing w:after="0" w:line="240" w:lineRule="auto"/>
              <w:ind w:left="732" w:right="-180" w:rightChars="-75" w:hanging="732" w:hangingChars="305"/>
              <w:jc w:val="center"/>
              <w:textAlignment w:val="center"/>
              <w:rPr>
                <w:bCs/>
                <w:szCs w:val="24"/>
                <w:highlight w:val="none"/>
              </w:rPr>
            </w:pPr>
            <w:r>
              <w:rPr>
                <w:rFonts w:hint="eastAsia"/>
                <w:bCs/>
                <w:szCs w:val="24"/>
                <w:highlight w:val="none"/>
              </w:rPr>
              <w:t>11</w:t>
            </w:r>
          </w:p>
        </w:tc>
        <w:tc>
          <w:tcPr>
            <w:tcW w:w="5447" w:type="dxa"/>
            <w:vAlign w:val="center"/>
          </w:tcPr>
          <w:p>
            <w:pPr>
              <w:spacing w:after="0" w:line="240" w:lineRule="auto"/>
              <w:ind w:left="12" w:right="-180" w:rightChars="-75" w:hanging="12" w:hangingChars="5"/>
              <w:textAlignment w:val="center"/>
              <w:rPr>
                <w:bCs/>
                <w:szCs w:val="24"/>
                <w:highlight w:val="none"/>
              </w:rPr>
            </w:pPr>
            <w:r>
              <w:rPr>
                <w:rFonts w:hint="eastAsia"/>
                <w:bCs/>
                <w:szCs w:val="24"/>
                <w:highlight w:val="none"/>
              </w:rPr>
              <w:t>《建筑物防雷设计规范》</w:t>
            </w:r>
          </w:p>
        </w:tc>
        <w:tc>
          <w:tcPr>
            <w:tcW w:w="2143" w:type="dxa"/>
            <w:vAlign w:val="center"/>
          </w:tcPr>
          <w:p>
            <w:pPr>
              <w:spacing w:after="0" w:line="240" w:lineRule="auto"/>
              <w:ind w:left="254" w:right="-180" w:rightChars="-75" w:hanging="14"/>
              <w:textAlignment w:val="center"/>
              <w:rPr>
                <w:bCs/>
                <w:szCs w:val="24"/>
                <w:highlight w:val="none"/>
              </w:rPr>
            </w:pPr>
            <w:r>
              <w:rPr>
                <w:rFonts w:hint="eastAsia"/>
                <w:bCs/>
                <w:szCs w:val="24"/>
                <w:highlight w:val="none"/>
              </w:rPr>
              <w:t>GB 50057-201</w:t>
            </w:r>
            <w:r>
              <w:rPr>
                <w:bCs/>
                <w:szCs w:val="24"/>
                <w:highlight w:val="none"/>
              </w:rPr>
              <w:t>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10" w:hRule="atLeast"/>
        </w:trPr>
        <w:tc>
          <w:tcPr>
            <w:tcW w:w="736" w:type="dxa"/>
            <w:vAlign w:val="center"/>
          </w:tcPr>
          <w:p>
            <w:pPr>
              <w:spacing w:after="0" w:line="240" w:lineRule="auto"/>
              <w:ind w:left="732" w:right="-180" w:rightChars="-75" w:hanging="732" w:hangingChars="305"/>
              <w:jc w:val="center"/>
              <w:textAlignment w:val="center"/>
              <w:rPr>
                <w:bCs/>
                <w:szCs w:val="24"/>
                <w:highlight w:val="none"/>
              </w:rPr>
            </w:pPr>
            <w:r>
              <w:rPr>
                <w:rFonts w:hint="eastAsia"/>
                <w:bCs/>
                <w:szCs w:val="24"/>
                <w:highlight w:val="none"/>
              </w:rPr>
              <w:t>12</w:t>
            </w:r>
          </w:p>
        </w:tc>
        <w:tc>
          <w:tcPr>
            <w:tcW w:w="5447" w:type="dxa"/>
            <w:vAlign w:val="center"/>
          </w:tcPr>
          <w:p>
            <w:pPr>
              <w:spacing w:after="0" w:line="240" w:lineRule="auto"/>
              <w:ind w:left="12" w:right="-180" w:rightChars="-75" w:hanging="12" w:hangingChars="5"/>
              <w:textAlignment w:val="center"/>
              <w:rPr>
                <w:bCs/>
                <w:szCs w:val="24"/>
                <w:highlight w:val="none"/>
              </w:rPr>
            </w:pPr>
            <w:r>
              <w:rPr>
                <w:rFonts w:hint="eastAsia"/>
                <w:bCs/>
                <w:szCs w:val="24"/>
                <w:highlight w:val="none"/>
              </w:rPr>
              <w:t>《往复式内燃机驱动的交流发电机组 第1部分：用途、定额和性能》</w:t>
            </w:r>
          </w:p>
        </w:tc>
        <w:tc>
          <w:tcPr>
            <w:tcW w:w="2143" w:type="dxa"/>
            <w:vAlign w:val="center"/>
          </w:tcPr>
          <w:p>
            <w:pPr>
              <w:spacing w:after="0" w:line="240" w:lineRule="auto"/>
              <w:ind w:left="254" w:right="-180" w:rightChars="-75" w:hanging="14"/>
              <w:textAlignment w:val="center"/>
              <w:rPr>
                <w:bCs/>
                <w:szCs w:val="24"/>
                <w:highlight w:val="none"/>
              </w:rPr>
            </w:pPr>
            <w:r>
              <w:rPr>
                <w:rFonts w:hint="eastAsia"/>
                <w:bCs/>
                <w:szCs w:val="24"/>
                <w:highlight w:val="none"/>
              </w:rPr>
              <w:t>GBT 2820.1-2009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10" w:hRule="atLeast"/>
        </w:trPr>
        <w:tc>
          <w:tcPr>
            <w:tcW w:w="736" w:type="dxa"/>
            <w:vAlign w:val="center"/>
          </w:tcPr>
          <w:p>
            <w:pPr>
              <w:spacing w:after="0" w:line="240" w:lineRule="auto"/>
              <w:ind w:left="732" w:right="-180" w:rightChars="-75" w:hanging="732" w:hangingChars="305"/>
              <w:jc w:val="center"/>
              <w:textAlignment w:val="center"/>
              <w:rPr>
                <w:bCs/>
                <w:szCs w:val="24"/>
                <w:highlight w:val="none"/>
              </w:rPr>
            </w:pPr>
            <w:r>
              <w:rPr>
                <w:rFonts w:hint="eastAsia"/>
                <w:bCs/>
                <w:szCs w:val="24"/>
                <w:highlight w:val="none"/>
              </w:rPr>
              <w:t>13</w:t>
            </w:r>
          </w:p>
        </w:tc>
        <w:tc>
          <w:tcPr>
            <w:tcW w:w="5447" w:type="dxa"/>
            <w:vAlign w:val="center"/>
          </w:tcPr>
          <w:p>
            <w:pPr>
              <w:spacing w:after="0" w:line="240" w:lineRule="auto"/>
              <w:ind w:left="12" w:right="-180" w:rightChars="-75" w:hanging="12" w:hangingChars="5"/>
              <w:textAlignment w:val="center"/>
              <w:rPr>
                <w:bCs/>
                <w:szCs w:val="24"/>
                <w:highlight w:val="none"/>
              </w:rPr>
            </w:pPr>
            <w:r>
              <w:rPr>
                <w:rFonts w:hint="eastAsia"/>
                <w:bCs/>
                <w:szCs w:val="24"/>
                <w:highlight w:val="none"/>
              </w:rPr>
              <w:t>《电力工程电缆设计标准》</w:t>
            </w:r>
          </w:p>
        </w:tc>
        <w:tc>
          <w:tcPr>
            <w:tcW w:w="2143" w:type="dxa"/>
            <w:vAlign w:val="center"/>
          </w:tcPr>
          <w:p>
            <w:pPr>
              <w:spacing w:after="0" w:line="240" w:lineRule="auto"/>
              <w:ind w:left="254" w:right="-180" w:rightChars="-75" w:hanging="14"/>
              <w:textAlignment w:val="center"/>
              <w:rPr>
                <w:bCs/>
                <w:szCs w:val="24"/>
                <w:highlight w:val="none"/>
              </w:rPr>
            </w:pPr>
            <w:r>
              <w:rPr>
                <w:rFonts w:hint="eastAsia"/>
                <w:bCs/>
                <w:szCs w:val="24"/>
                <w:highlight w:val="none"/>
              </w:rPr>
              <w:t>GB 50217-2018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10" w:hRule="atLeast"/>
        </w:trPr>
        <w:tc>
          <w:tcPr>
            <w:tcW w:w="736" w:type="dxa"/>
            <w:vAlign w:val="center"/>
          </w:tcPr>
          <w:p>
            <w:pPr>
              <w:spacing w:after="0" w:line="240" w:lineRule="auto"/>
              <w:ind w:left="732" w:right="-180" w:rightChars="-75" w:hanging="732" w:hangingChars="305"/>
              <w:jc w:val="center"/>
              <w:textAlignment w:val="center"/>
              <w:rPr>
                <w:bCs/>
                <w:szCs w:val="24"/>
                <w:highlight w:val="none"/>
              </w:rPr>
            </w:pPr>
            <w:r>
              <w:rPr>
                <w:rFonts w:hint="eastAsia"/>
                <w:bCs/>
                <w:szCs w:val="24"/>
                <w:highlight w:val="none"/>
              </w:rPr>
              <w:t>14</w:t>
            </w:r>
          </w:p>
        </w:tc>
        <w:tc>
          <w:tcPr>
            <w:tcW w:w="5447" w:type="dxa"/>
            <w:vAlign w:val="center"/>
          </w:tcPr>
          <w:p>
            <w:pPr>
              <w:spacing w:after="0" w:line="240" w:lineRule="auto"/>
              <w:ind w:left="12" w:right="-180" w:rightChars="-75" w:hanging="12" w:hangingChars="5"/>
              <w:textAlignment w:val="center"/>
              <w:rPr>
                <w:bCs/>
                <w:szCs w:val="24"/>
                <w:highlight w:val="none"/>
              </w:rPr>
            </w:pPr>
            <w:r>
              <w:rPr>
                <w:rFonts w:hint="eastAsia"/>
                <w:bCs/>
                <w:szCs w:val="24"/>
                <w:highlight w:val="none"/>
              </w:rPr>
              <w:t>《民用建筑电气设计标准》</w:t>
            </w:r>
          </w:p>
        </w:tc>
        <w:tc>
          <w:tcPr>
            <w:tcW w:w="2143" w:type="dxa"/>
            <w:vAlign w:val="center"/>
          </w:tcPr>
          <w:p>
            <w:pPr>
              <w:spacing w:after="0" w:line="240" w:lineRule="auto"/>
              <w:ind w:left="254" w:right="-180" w:rightChars="-75" w:hanging="14"/>
              <w:textAlignment w:val="center"/>
              <w:rPr>
                <w:bCs/>
                <w:szCs w:val="24"/>
                <w:highlight w:val="none"/>
              </w:rPr>
            </w:pPr>
            <w:r>
              <w:rPr>
                <w:rFonts w:hint="eastAsia"/>
                <w:szCs w:val="24"/>
                <w:highlight w:val="none"/>
              </w:rPr>
              <w:t>GB51348-2019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10" w:hRule="atLeast"/>
        </w:trPr>
        <w:tc>
          <w:tcPr>
            <w:tcW w:w="736" w:type="dxa"/>
            <w:vAlign w:val="center"/>
          </w:tcPr>
          <w:p>
            <w:pPr>
              <w:spacing w:after="0" w:line="240" w:lineRule="auto"/>
              <w:ind w:left="732" w:right="-180" w:rightChars="-75" w:hanging="732" w:hangingChars="305"/>
              <w:jc w:val="center"/>
              <w:textAlignment w:val="center"/>
              <w:rPr>
                <w:bCs/>
                <w:szCs w:val="24"/>
                <w:highlight w:val="none"/>
              </w:rPr>
            </w:pPr>
            <w:r>
              <w:rPr>
                <w:rFonts w:hint="eastAsia"/>
                <w:bCs/>
                <w:szCs w:val="24"/>
                <w:highlight w:val="none"/>
              </w:rPr>
              <w:t>15</w:t>
            </w:r>
          </w:p>
        </w:tc>
        <w:tc>
          <w:tcPr>
            <w:tcW w:w="5447" w:type="dxa"/>
            <w:vAlign w:val="center"/>
          </w:tcPr>
          <w:p>
            <w:pPr>
              <w:spacing w:after="0" w:line="240" w:lineRule="auto"/>
              <w:ind w:left="12" w:right="-180" w:rightChars="-75" w:hanging="12" w:hangingChars="5"/>
              <w:textAlignment w:val="center"/>
              <w:rPr>
                <w:bCs/>
                <w:szCs w:val="24"/>
                <w:highlight w:val="none"/>
              </w:rPr>
            </w:pPr>
            <w:r>
              <w:rPr>
                <w:rFonts w:hint="eastAsia"/>
                <w:bCs/>
                <w:szCs w:val="24"/>
                <w:highlight w:val="none"/>
              </w:rPr>
              <w:t>《电气装置安装工程 电缆线路施工及验收标准》</w:t>
            </w:r>
          </w:p>
        </w:tc>
        <w:tc>
          <w:tcPr>
            <w:tcW w:w="2143" w:type="dxa"/>
            <w:vAlign w:val="center"/>
          </w:tcPr>
          <w:p>
            <w:pPr>
              <w:spacing w:after="0" w:line="240" w:lineRule="auto"/>
              <w:ind w:left="254" w:right="-180" w:rightChars="-75" w:hanging="14"/>
              <w:textAlignment w:val="center"/>
              <w:rPr>
                <w:bCs/>
                <w:szCs w:val="24"/>
                <w:highlight w:val="none"/>
              </w:rPr>
            </w:pPr>
            <w:r>
              <w:rPr>
                <w:rFonts w:hint="eastAsia"/>
                <w:bCs/>
                <w:szCs w:val="24"/>
                <w:highlight w:val="none"/>
              </w:rPr>
              <w:t>GB 50168-2018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10" w:hRule="atLeast"/>
        </w:trPr>
        <w:tc>
          <w:tcPr>
            <w:tcW w:w="736" w:type="dxa"/>
            <w:vAlign w:val="center"/>
          </w:tcPr>
          <w:p>
            <w:pPr>
              <w:spacing w:after="0" w:line="240" w:lineRule="auto"/>
              <w:ind w:left="732" w:right="-180" w:rightChars="-75" w:hanging="732" w:hangingChars="305"/>
              <w:jc w:val="center"/>
              <w:textAlignment w:val="center"/>
              <w:rPr>
                <w:bCs/>
                <w:szCs w:val="24"/>
                <w:highlight w:val="none"/>
              </w:rPr>
            </w:pPr>
            <w:r>
              <w:rPr>
                <w:rFonts w:hint="eastAsia"/>
                <w:bCs/>
                <w:szCs w:val="24"/>
                <w:highlight w:val="none"/>
              </w:rPr>
              <w:t>16</w:t>
            </w:r>
          </w:p>
        </w:tc>
        <w:tc>
          <w:tcPr>
            <w:tcW w:w="5447" w:type="dxa"/>
            <w:vAlign w:val="center"/>
          </w:tcPr>
          <w:p>
            <w:pPr>
              <w:spacing w:after="0" w:line="240" w:lineRule="auto"/>
              <w:ind w:left="12" w:right="-180" w:rightChars="-75" w:hanging="12" w:hangingChars="5"/>
              <w:textAlignment w:val="center"/>
              <w:rPr>
                <w:bCs/>
                <w:szCs w:val="24"/>
                <w:highlight w:val="none"/>
              </w:rPr>
            </w:pPr>
            <w:r>
              <w:rPr>
                <w:rFonts w:hint="eastAsia"/>
                <w:bCs/>
                <w:szCs w:val="24"/>
                <w:highlight w:val="none"/>
              </w:rPr>
              <w:t>《建筑电气照明装置施工与验收规范》</w:t>
            </w:r>
          </w:p>
        </w:tc>
        <w:tc>
          <w:tcPr>
            <w:tcW w:w="2143" w:type="dxa"/>
            <w:vAlign w:val="center"/>
          </w:tcPr>
          <w:p>
            <w:pPr>
              <w:spacing w:after="0" w:line="240" w:lineRule="auto"/>
              <w:ind w:left="254" w:right="-180" w:rightChars="-75" w:hanging="14"/>
              <w:textAlignment w:val="center"/>
              <w:rPr>
                <w:bCs/>
                <w:szCs w:val="24"/>
                <w:highlight w:val="none"/>
              </w:rPr>
            </w:pPr>
            <w:r>
              <w:rPr>
                <w:rFonts w:hint="eastAsia"/>
                <w:bCs/>
                <w:szCs w:val="24"/>
                <w:highlight w:val="none"/>
              </w:rPr>
              <w:t>GB 50617-201</w:t>
            </w:r>
            <w:r>
              <w:rPr>
                <w:bCs/>
                <w:szCs w:val="24"/>
                <w:highlight w:val="none"/>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10" w:hRule="atLeast"/>
        </w:trPr>
        <w:tc>
          <w:tcPr>
            <w:tcW w:w="736" w:type="dxa"/>
            <w:vAlign w:val="center"/>
          </w:tcPr>
          <w:p>
            <w:pPr>
              <w:spacing w:after="0" w:line="240" w:lineRule="auto"/>
              <w:ind w:left="732" w:right="-180" w:rightChars="-75" w:hanging="732" w:hangingChars="305"/>
              <w:jc w:val="center"/>
              <w:textAlignment w:val="center"/>
              <w:rPr>
                <w:bCs/>
                <w:szCs w:val="24"/>
                <w:highlight w:val="none"/>
              </w:rPr>
            </w:pPr>
            <w:r>
              <w:rPr>
                <w:rFonts w:hint="eastAsia"/>
                <w:bCs/>
                <w:szCs w:val="24"/>
                <w:highlight w:val="none"/>
              </w:rPr>
              <w:t>17</w:t>
            </w:r>
          </w:p>
        </w:tc>
        <w:tc>
          <w:tcPr>
            <w:tcW w:w="5447" w:type="dxa"/>
            <w:vAlign w:val="center"/>
          </w:tcPr>
          <w:p>
            <w:pPr>
              <w:spacing w:after="0" w:line="240" w:lineRule="auto"/>
              <w:ind w:left="12" w:right="-180" w:rightChars="-75" w:hanging="12" w:hangingChars="5"/>
              <w:textAlignment w:val="center"/>
              <w:rPr>
                <w:bCs/>
                <w:szCs w:val="24"/>
                <w:highlight w:val="none"/>
              </w:rPr>
            </w:pPr>
            <w:r>
              <w:rPr>
                <w:rFonts w:hint="eastAsia"/>
                <w:bCs/>
                <w:szCs w:val="24"/>
                <w:highlight w:val="none"/>
              </w:rPr>
              <w:t>《外壳防护等级（IP代码）》</w:t>
            </w:r>
          </w:p>
        </w:tc>
        <w:tc>
          <w:tcPr>
            <w:tcW w:w="2143" w:type="dxa"/>
            <w:vAlign w:val="center"/>
          </w:tcPr>
          <w:p>
            <w:pPr>
              <w:spacing w:after="0" w:line="240" w:lineRule="auto"/>
              <w:ind w:left="254" w:right="-180" w:rightChars="-75" w:hanging="14"/>
              <w:textAlignment w:val="center"/>
              <w:rPr>
                <w:bCs/>
                <w:szCs w:val="24"/>
                <w:highlight w:val="none"/>
              </w:rPr>
            </w:pPr>
            <w:r>
              <w:rPr>
                <w:rFonts w:hint="eastAsia"/>
                <w:bCs/>
                <w:szCs w:val="24"/>
                <w:highlight w:val="none"/>
              </w:rPr>
              <w:t>GBT 4208-2017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10" w:hRule="atLeast"/>
        </w:trPr>
        <w:tc>
          <w:tcPr>
            <w:tcW w:w="736" w:type="dxa"/>
            <w:vAlign w:val="center"/>
          </w:tcPr>
          <w:p>
            <w:pPr>
              <w:spacing w:after="0" w:line="240" w:lineRule="auto"/>
              <w:ind w:left="732" w:right="-180" w:rightChars="-75" w:hanging="732" w:hangingChars="305"/>
              <w:jc w:val="center"/>
              <w:textAlignment w:val="center"/>
              <w:rPr>
                <w:bCs/>
                <w:szCs w:val="24"/>
                <w:highlight w:val="none"/>
              </w:rPr>
            </w:pPr>
            <w:r>
              <w:rPr>
                <w:rFonts w:hint="eastAsia"/>
                <w:bCs/>
                <w:szCs w:val="24"/>
                <w:highlight w:val="none"/>
              </w:rPr>
              <w:t>18</w:t>
            </w:r>
          </w:p>
        </w:tc>
        <w:tc>
          <w:tcPr>
            <w:tcW w:w="5447" w:type="dxa"/>
            <w:vAlign w:val="center"/>
          </w:tcPr>
          <w:p>
            <w:pPr>
              <w:spacing w:after="0" w:line="240" w:lineRule="auto"/>
              <w:ind w:left="12" w:right="-180" w:rightChars="-75" w:hanging="12" w:hangingChars="5"/>
              <w:textAlignment w:val="center"/>
              <w:rPr>
                <w:bCs/>
                <w:szCs w:val="24"/>
                <w:highlight w:val="none"/>
              </w:rPr>
            </w:pPr>
            <w:r>
              <w:rPr>
                <w:rFonts w:hint="eastAsia"/>
                <w:bCs/>
                <w:szCs w:val="24"/>
                <w:highlight w:val="none"/>
              </w:rPr>
              <w:t>《电缆及光缆燃烧性能分级》</w:t>
            </w:r>
          </w:p>
        </w:tc>
        <w:tc>
          <w:tcPr>
            <w:tcW w:w="2143" w:type="dxa"/>
            <w:vAlign w:val="center"/>
          </w:tcPr>
          <w:p>
            <w:pPr>
              <w:spacing w:after="0" w:line="240" w:lineRule="auto"/>
              <w:ind w:left="254" w:right="-180" w:rightChars="-75" w:hanging="14"/>
              <w:textAlignment w:val="center"/>
              <w:rPr>
                <w:bCs/>
                <w:szCs w:val="24"/>
                <w:highlight w:val="none"/>
              </w:rPr>
            </w:pPr>
            <w:r>
              <w:rPr>
                <w:rFonts w:hint="eastAsia"/>
                <w:bCs/>
                <w:szCs w:val="24"/>
                <w:highlight w:val="none"/>
              </w:rPr>
              <w:t>GB 31247-2014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10" w:hRule="atLeast"/>
        </w:trPr>
        <w:tc>
          <w:tcPr>
            <w:tcW w:w="736" w:type="dxa"/>
            <w:vAlign w:val="center"/>
          </w:tcPr>
          <w:p>
            <w:pPr>
              <w:spacing w:after="0" w:line="240" w:lineRule="auto"/>
              <w:ind w:left="732" w:right="-180" w:rightChars="-75" w:hanging="732" w:hangingChars="305"/>
              <w:jc w:val="center"/>
              <w:textAlignment w:val="center"/>
              <w:rPr>
                <w:bCs/>
                <w:szCs w:val="24"/>
                <w:highlight w:val="none"/>
              </w:rPr>
            </w:pPr>
            <w:r>
              <w:rPr>
                <w:rFonts w:hint="eastAsia"/>
                <w:bCs/>
                <w:szCs w:val="24"/>
                <w:highlight w:val="none"/>
              </w:rPr>
              <w:t>19</w:t>
            </w:r>
          </w:p>
        </w:tc>
        <w:tc>
          <w:tcPr>
            <w:tcW w:w="5447" w:type="dxa"/>
            <w:vAlign w:val="center"/>
          </w:tcPr>
          <w:p>
            <w:pPr>
              <w:spacing w:after="0" w:line="240" w:lineRule="auto"/>
              <w:ind w:left="12" w:right="-180" w:rightChars="-75" w:hanging="12" w:hangingChars="5"/>
              <w:textAlignment w:val="center"/>
              <w:rPr>
                <w:bCs/>
                <w:szCs w:val="24"/>
                <w:highlight w:val="none"/>
              </w:rPr>
            </w:pPr>
            <w:r>
              <w:rPr>
                <w:rFonts w:hint="eastAsia"/>
                <w:bCs/>
                <w:szCs w:val="24"/>
                <w:highlight w:val="none"/>
              </w:rPr>
              <w:t>《电气装置安装工程蓄电池施工及验收规范》</w:t>
            </w:r>
          </w:p>
        </w:tc>
        <w:tc>
          <w:tcPr>
            <w:tcW w:w="2143" w:type="dxa"/>
            <w:vAlign w:val="center"/>
          </w:tcPr>
          <w:p>
            <w:pPr>
              <w:spacing w:after="0" w:line="240" w:lineRule="auto"/>
              <w:ind w:left="1134" w:right="-180" w:rightChars="-75" w:hanging="894"/>
              <w:textAlignment w:val="center"/>
              <w:rPr>
                <w:bCs/>
                <w:szCs w:val="24"/>
                <w:highlight w:val="none"/>
              </w:rPr>
            </w:pPr>
            <w:r>
              <w:rPr>
                <w:rFonts w:hint="eastAsia"/>
                <w:bCs/>
                <w:szCs w:val="24"/>
                <w:highlight w:val="none"/>
              </w:rPr>
              <w:t>GB 50172-2012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10" w:hRule="atLeast"/>
        </w:trPr>
        <w:tc>
          <w:tcPr>
            <w:tcW w:w="736" w:type="dxa"/>
            <w:vAlign w:val="center"/>
          </w:tcPr>
          <w:p>
            <w:pPr>
              <w:spacing w:after="0" w:line="240" w:lineRule="auto"/>
              <w:ind w:left="732" w:right="-180" w:rightChars="-75" w:hanging="732" w:hangingChars="305"/>
              <w:jc w:val="center"/>
              <w:textAlignment w:val="center"/>
              <w:rPr>
                <w:bCs/>
                <w:szCs w:val="24"/>
                <w:highlight w:val="none"/>
              </w:rPr>
            </w:pPr>
            <w:r>
              <w:rPr>
                <w:rFonts w:hint="eastAsia"/>
                <w:bCs/>
                <w:szCs w:val="24"/>
                <w:highlight w:val="none"/>
              </w:rPr>
              <w:t>20</w:t>
            </w:r>
          </w:p>
        </w:tc>
        <w:tc>
          <w:tcPr>
            <w:tcW w:w="5447" w:type="dxa"/>
            <w:vAlign w:val="center"/>
          </w:tcPr>
          <w:p>
            <w:pPr>
              <w:spacing w:after="0" w:line="240" w:lineRule="auto"/>
              <w:ind w:left="12" w:right="-180" w:rightChars="-75" w:hanging="12" w:hangingChars="5"/>
              <w:textAlignment w:val="center"/>
              <w:rPr>
                <w:bCs/>
                <w:szCs w:val="24"/>
                <w:highlight w:val="none"/>
              </w:rPr>
            </w:pPr>
            <w:r>
              <w:rPr>
                <w:rFonts w:hint="eastAsia"/>
                <w:bCs/>
                <w:szCs w:val="24"/>
                <w:highlight w:val="none"/>
              </w:rPr>
              <w:t>《消防应急照明和疏散指示系统》</w:t>
            </w:r>
          </w:p>
        </w:tc>
        <w:tc>
          <w:tcPr>
            <w:tcW w:w="2143" w:type="dxa"/>
            <w:vAlign w:val="center"/>
          </w:tcPr>
          <w:p>
            <w:pPr>
              <w:spacing w:after="0" w:line="240" w:lineRule="auto"/>
              <w:ind w:left="1134" w:right="-180" w:rightChars="-75" w:hanging="894"/>
              <w:textAlignment w:val="center"/>
              <w:rPr>
                <w:bCs/>
                <w:szCs w:val="24"/>
                <w:highlight w:val="none"/>
              </w:rPr>
            </w:pPr>
            <w:r>
              <w:rPr>
                <w:rFonts w:hint="eastAsia"/>
                <w:bCs/>
                <w:szCs w:val="24"/>
                <w:highlight w:val="none"/>
              </w:rPr>
              <w:t>GB 17945-201</w:t>
            </w:r>
            <w:r>
              <w:rPr>
                <w:bCs/>
                <w:szCs w:val="24"/>
                <w:highlight w:val="none"/>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10" w:hRule="atLeast"/>
        </w:trPr>
        <w:tc>
          <w:tcPr>
            <w:tcW w:w="8326" w:type="dxa"/>
            <w:gridSpan w:val="3"/>
            <w:vAlign w:val="center"/>
          </w:tcPr>
          <w:p>
            <w:pPr>
              <w:spacing w:after="0" w:line="240" w:lineRule="auto"/>
              <w:ind w:left="732" w:right="-180" w:rightChars="-75" w:hanging="732" w:hangingChars="305"/>
              <w:jc w:val="center"/>
              <w:textAlignment w:val="center"/>
              <w:rPr>
                <w:bCs/>
                <w:szCs w:val="24"/>
                <w:highlight w:val="none"/>
              </w:rPr>
            </w:pPr>
            <w:r>
              <w:rPr>
                <w:rFonts w:hint="eastAsia"/>
                <w:bCs/>
                <w:szCs w:val="24"/>
                <w:highlight w:val="none"/>
              </w:rPr>
              <w:t>电磁屏蔽和兼容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10" w:hRule="atLeast"/>
        </w:trPr>
        <w:tc>
          <w:tcPr>
            <w:tcW w:w="736" w:type="dxa"/>
            <w:vAlign w:val="center"/>
          </w:tcPr>
          <w:p>
            <w:pPr>
              <w:spacing w:after="0" w:line="240" w:lineRule="auto"/>
              <w:ind w:left="732" w:right="-180" w:rightChars="-75" w:hanging="732" w:hangingChars="305"/>
              <w:jc w:val="center"/>
              <w:textAlignment w:val="center"/>
              <w:rPr>
                <w:bCs/>
                <w:szCs w:val="24"/>
                <w:highlight w:val="none"/>
              </w:rPr>
            </w:pPr>
            <w:r>
              <w:rPr>
                <w:rFonts w:hint="eastAsia"/>
                <w:bCs/>
                <w:szCs w:val="24"/>
                <w:highlight w:val="none"/>
              </w:rPr>
              <w:t>1</w:t>
            </w:r>
          </w:p>
        </w:tc>
        <w:tc>
          <w:tcPr>
            <w:tcW w:w="5447" w:type="dxa"/>
            <w:vAlign w:val="center"/>
          </w:tcPr>
          <w:p>
            <w:pPr>
              <w:spacing w:after="0" w:line="240" w:lineRule="auto"/>
              <w:ind w:left="14" w:right="-180" w:rightChars="-75" w:hanging="14"/>
              <w:textAlignment w:val="center"/>
              <w:rPr>
                <w:bCs/>
                <w:szCs w:val="24"/>
                <w:highlight w:val="none"/>
              </w:rPr>
            </w:pPr>
            <w:r>
              <w:rPr>
                <w:rFonts w:hint="eastAsia"/>
                <w:bCs/>
                <w:szCs w:val="24"/>
                <w:highlight w:val="none"/>
              </w:rPr>
              <w:t>《电磁屏蔽材料术语》</w:t>
            </w:r>
          </w:p>
        </w:tc>
        <w:tc>
          <w:tcPr>
            <w:tcW w:w="2143" w:type="dxa"/>
            <w:vAlign w:val="center"/>
          </w:tcPr>
          <w:p>
            <w:pPr>
              <w:spacing w:after="0" w:line="240" w:lineRule="auto"/>
              <w:ind w:left="494" w:right="-180" w:rightChars="-75" w:hanging="254"/>
              <w:textAlignment w:val="center"/>
              <w:rPr>
                <w:bCs/>
                <w:szCs w:val="24"/>
                <w:highlight w:val="none"/>
              </w:rPr>
            </w:pPr>
            <w:r>
              <w:rPr>
                <w:rFonts w:hint="eastAsia"/>
                <w:bCs/>
                <w:szCs w:val="24"/>
                <w:highlight w:val="none"/>
              </w:rPr>
              <w:t>GBT 26667-2011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10" w:hRule="atLeast"/>
        </w:trPr>
        <w:tc>
          <w:tcPr>
            <w:tcW w:w="736" w:type="dxa"/>
            <w:vAlign w:val="center"/>
          </w:tcPr>
          <w:p>
            <w:pPr>
              <w:spacing w:after="0" w:line="240" w:lineRule="auto"/>
              <w:ind w:left="732" w:right="-180" w:rightChars="-75" w:hanging="732" w:hangingChars="305"/>
              <w:jc w:val="center"/>
              <w:textAlignment w:val="center"/>
              <w:rPr>
                <w:bCs/>
                <w:szCs w:val="24"/>
                <w:highlight w:val="none"/>
              </w:rPr>
            </w:pPr>
            <w:r>
              <w:rPr>
                <w:rFonts w:hint="eastAsia"/>
                <w:bCs/>
                <w:szCs w:val="24"/>
                <w:highlight w:val="none"/>
              </w:rPr>
              <w:t>2</w:t>
            </w:r>
          </w:p>
        </w:tc>
        <w:tc>
          <w:tcPr>
            <w:tcW w:w="5447" w:type="dxa"/>
            <w:vAlign w:val="center"/>
          </w:tcPr>
          <w:p>
            <w:pPr>
              <w:spacing w:after="0" w:line="240" w:lineRule="auto"/>
              <w:ind w:left="14" w:right="-180" w:rightChars="-75" w:hanging="14"/>
              <w:textAlignment w:val="center"/>
              <w:rPr>
                <w:bCs/>
                <w:szCs w:val="24"/>
                <w:highlight w:val="none"/>
              </w:rPr>
            </w:pPr>
            <w:r>
              <w:rPr>
                <w:rFonts w:hint="eastAsia"/>
                <w:bCs/>
                <w:szCs w:val="24"/>
                <w:highlight w:val="none"/>
              </w:rPr>
              <w:t>《电磁屏蔽室工程技术规范》</w:t>
            </w:r>
          </w:p>
        </w:tc>
        <w:tc>
          <w:tcPr>
            <w:tcW w:w="2143" w:type="dxa"/>
            <w:vAlign w:val="center"/>
          </w:tcPr>
          <w:p>
            <w:pPr>
              <w:spacing w:after="0" w:line="240" w:lineRule="auto"/>
              <w:ind w:left="494" w:right="-180" w:rightChars="-75" w:hanging="254"/>
              <w:textAlignment w:val="center"/>
              <w:rPr>
                <w:bCs/>
                <w:szCs w:val="24"/>
                <w:highlight w:val="none"/>
              </w:rPr>
            </w:pPr>
            <w:r>
              <w:rPr>
                <w:rFonts w:hint="eastAsia"/>
                <w:bCs/>
                <w:szCs w:val="24"/>
                <w:highlight w:val="none"/>
              </w:rPr>
              <w:t>GBT 50719-2011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10" w:hRule="atLeast"/>
        </w:trPr>
        <w:tc>
          <w:tcPr>
            <w:tcW w:w="736" w:type="dxa"/>
            <w:vAlign w:val="center"/>
          </w:tcPr>
          <w:p>
            <w:pPr>
              <w:spacing w:after="0" w:line="240" w:lineRule="auto"/>
              <w:ind w:left="732" w:right="-180" w:rightChars="-75" w:hanging="732" w:hangingChars="305"/>
              <w:jc w:val="center"/>
              <w:textAlignment w:val="center"/>
              <w:rPr>
                <w:bCs/>
                <w:szCs w:val="24"/>
                <w:highlight w:val="none"/>
              </w:rPr>
            </w:pPr>
            <w:r>
              <w:rPr>
                <w:rFonts w:hint="eastAsia"/>
                <w:bCs/>
                <w:szCs w:val="24"/>
                <w:highlight w:val="none"/>
              </w:rPr>
              <w:t>3</w:t>
            </w:r>
          </w:p>
        </w:tc>
        <w:tc>
          <w:tcPr>
            <w:tcW w:w="5447" w:type="dxa"/>
            <w:vAlign w:val="center"/>
          </w:tcPr>
          <w:p>
            <w:pPr>
              <w:spacing w:after="0" w:line="240" w:lineRule="auto"/>
              <w:ind w:left="14" w:right="-180" w:rightChars="-75" w:hanging="14"/>
              <w:textAlignment w:val="center"/>
              <w:rPr>
                <w:bCs/>
                <w:szCs w:val="24"/>
                <w:highlight w:val="none"/>
              </w:rPr>
            </w:pPr>
            <w:r>
              <w:rPr>
                <w:rFonts w:hint="eastAsia"/>
                <w:bCs/>
                <w:szCs w:val="24"/>
                <w:highlight w:val="none"/>
              </w:rPr>
              <w:t>《电磁屏蔽室工程施工及质量验收规范》</w:t>
            </w:r>
          </w:p>
        </w:tc>
        <w:tc>
          <w:tcPr>
            <w:tcW w:w="2143" w:type="dxa"/>
            <w:vAlign w:val="center"/>
          </w:tcPr>
          <w:p>
            <w:pPr>
              <w:spacing w:after="0" w:line="240" w:lineRule="auto"/>
              <w:ind w:left="494" w:right="-180" w:rightChars="-75" w:hanging="254"/>
              <w:textAlignment w:val="center"/>
              <w:rPr>
                <w:bCs/>
                <w:szCs w:val="24"/>
                <w:highlight w:val="none"/>
              </w:rPr>
            </w:pPr>
            <w:r>
              <w:rPr>
                <w:rFonts w:hint="eastAsia"/>
                <w:bCs/>
                <w:szCs w:val="24"/>
                <w:highlight w:val="none"/>
              </w:rPr>
              <w:t>GBT 51103-2015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10" w:hRule="atLeast"/>
        </w:trPr>
        <w:tc>
          <w:tcPr>
            <w:tcW w:w="736" w:type="dxa"/>
            <w:vAlign w:val="center"/>
          </w:tcPr>
          <w:p>
            <w:pPr>
              <w:spacing w:after="0" w:line="240" w:lineRule="auto"/>
              <w:ind w:left="732" w:right="-180" w:rightChars="-75" w:hanging="732" w:hangingChars="305"/>
              <w:jc w:val="center"/>
              <w:textAlignment w:val="center"/>
              <w:rPr>
                <w:bCs/>
                <w:szCs w:val="24"/>
                <w:highlight w:val="none"/>
              </w:rPr>
            </w:pPr>
            <w:r>
              <w:rPr>
                <w:rFonts w:hint="eastAsia"/>
                <w:bCs/>
                <w:szCs w:val="24"/>
                <w:highlight w:val="none"/>
              </w:rPr>
              <w:t>4</w:t>
            </w:r>
          </w:p>
        </w:tc>
        <w:tc>
          <w:tcPr>
            <w:tcW w:w="5447" w:type="dxa"/>
            <w:vAlign w:val="center"/>
          </w:tcPr>
          <w:p>
            <w:pPr>
              <w:spacing w:after="0" w:line="240" w:lineRule="auto"/>
              <w:ind w:left="14" w:right="-180" w:rightChars="-75" w:hanging="14"/>
              <w:textAlignment w:val="center"/>
              <w:rPr>
                <w:bCs/>
                <w:szCs w:val="24"/>
                <w:highlight w:val="none"/>
              </w:rPr>
            </w:pPr>
            <w:r>
              <w:rPr>
                <w:rFonts w:hint="eastAsia"/>
                <w:bCs/>
                <w:szCs w:val="24"/>
                <w:highlight w:val="none"/>
              </w:rPr>
              <w:t>《电磁屏蔽室屏蔽效能的测量方法》</w:t>
            </w:r>
          </w:p>
        </w:tc>
        <w:tc>
          <w:tcPr>
            <w:tcW w:w="2143" w:type="dxa"/>
            <w:vAlign w:val="center"/>
          </w:tcPr>
          <w:p>
            <w:pPr>
              <w:spacing w:after="0" w:line="240" w:lineRule="auto"/>
              <w:ind w:left="494" w:right="-180" w:rightChars="-75" w:hanging="254"/>
              <w:textAlignment w:val="center"/>
              <w:rPr>
                <w:bCs/>
                <w:szCs w:val="24"/>
                <w:highlight w:val="none"/>
              </w:rPr>
            </w:pPr>
            <w:r>
              <w:rPr>
                <w:rFonts w:hint="eastAsia"/>
                <w:bCs/>
                <w:szCs w:val="24"/>
                <w:highlight w:val="none"/>
              </w:rPr>
              <w:t>GBT 12190-2006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10" w:hRule="atLeast"/>
        </w:trPr>
        <w:tc>
          <w:tcPr>
            <w:tcW w:w="8326" w:type="dxa"/>
            <w:gridSpan w:val="3"/>
            <w:vAlign w:val="center"/>
          </w:tcPr>
          <w:p>
            <w:pPr>
              <w:spacing w:after="0" w:line="240" w:lineRule="auto"/>
              <w:ind w:left="732" w:right="-180" w:rightChars="-75" w:hanging="732" w:hangingChars="305"/>
              <w:jc w:val="center"/>
              <w:textAlignment w:val="center"/>
              <w:rPr>
                <w:bCs/>
                <w:szCs w:val="24"/>
                <w:highlight w:val="none"/>
              </w:rPr>
            </w:pPr>
            <w:r>
              <w:rPr>
                <w:rFonts w:hint="eastAsia"/>
                <w:bCs/>
                <w:szCs w:val="24"/>
                <w:highlight w:val="none"/>
              </w:rPr>
              <w:t>空气调节主要标准、规范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10" w:hRule="atLeast"/>
        </w:trPr>
        <w:tc>
          <w:tcPr>
            <w:tcW w:w="736" w:type="dxa"/>
            <w:vAlign w:val="center"/>
          </w:tcPr>
          <w:p>
            <w:pPr>
              <w:spacing w:after="0" w:line="240" w:lineRule="auto"/>
              <w:ind w:left="732" w:right="-180" w:rightChars="-75" w:hanging="732" w:hangingChars="305"/>
              <w:jc w:val="center"/>
              <w:textAlignment w:val="center"/>
              <w:rPr>
                <w:bCs/>
                <w:szCs w:val="24"/>
                <w:highlight w:val="none"/>
              </w:rPr>
            </w:pPr>
            <w:r>
              <w:rPr>
                <w:rFonts w:hint="eastAsia"/>
                <w:bCs/>
                <w:szCs w:val="24"/>
                <w:highlight w:val="none"/>
              </w:rPr>
              <w:t>1</w:t>
            </w:r>
          </w:p>
        </w:tc>
        <w:tc>
          <w:tcPr>
            <w:tcW w:w="5447" w:type="dxa"/>
            <w:vAlign w:val="center"/>
          </w:tcPr>
          <w:p>
            <w:pPr>
              <w:spacing w:after="0" w:line="240" w:lineRule="auto"/>
              <w:ind w:left="14" w:right="-180" w:rightChars="-75" w:hanging="14"/>
              <w:textAlignment w:val="center"/>
              <w:rPr>
                <w:bCs/>
                <w:szCs w:val="24"/>
                <w:highlight w:val="none"/>
              </w:rPr>
            </w:pPr>
            <w:r>
              <w:rPr>
                <w:rFonts w:hint="eastAsia"/>
                <w:bCs/>
                <w:szCs w:val="24"/>
                <w:highlight w:val="none"/>
              </w:rPr>
              <w:t>《工业建筑供暖通风与空气调节设计规范》</w:t>
            </w:r>
          </w:p>
        </w:tc>
        <w:tc>
          <w:tcPr>
            <w:tcW w:w="2143" w:type="dxa"/>
            <w:vAlign w:val="center"/>
          </w:tcPr>
          <w:p>
            <w:pPr>
              <w:spacing w:after="0" w:line="240" w:lineRule="auto"/>
              <w:ind w:left="1134" w:right="-180" w:rightChars="-75" w:hanging="894"/>
              <w:textAlignment w:val="center"/>
              <w:rPr>
                <w:bCs/>
                <w:szCs w:val="24"/>
                <w:highlight w:val="none"/>
              </w:rPr>
            </w:pPr>
            <w:r>
              <w:rPr>
                <w:rFonts w:hint="eastAsia"/>
                <w:bCs/>
                <w:szCs w:val="24"/>
                <w:highlight w:val="none"/>
              </w:rPr>
              <w:t>GB 50019-2015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10" w:hRule="atLeast"/>
        </w:trPr>
        <w:tc>
          <w:tcPr>
            <w:tcW w:w="736" w:type="dxa"/>
            <w:vAlign w:val="center"/>
          </w:tcPr>
          <w:p>
            <w:pPr>
              <w:spacing w:after="0" w:line="240" w:lineRule="auto"/>
              <w:ind w:left="732" w:right="-180" w:rightChars="-75" w:hanging="732" w:hangingChars="305"/>
              <w:jc w:val="center"/>
              <w:textAlignment w:val="center"/>
              <w:rPr>
                <w:bCs/>
                <w:szCs w:val="24"/>
                <w:highlight w:val="none"/>
              </w:rPr>
            </w:pPr>
            <w:r>
              <w:rPr>
                <w:rFonts w:hint="eastAsia"/>
                <w:bCs/>
                <w:szCs w:val="24"/>
                <w:highlight w:val="none"/>
              </w:rPr>
              <w:t>2</w:t>
            </w:r>
          </w:p>
        </w:tc>
        <w:tc>
          <w:tcPr>
            <w:tcW w:w="5447" w:type="dxa"/>
            <w:vAlign w:val="center"/>
          </w:tcPr>
          <w:p>
            <w:pPr>
              <w:spacing w:after="0" w:line="240" w:lineRule="auto"/>
              <w:ind w:left="14" w:right="-180" w:rightChars="-75" w:hanging="14"/>
              <w:textAlignment w:val="center"/>
              <w:rPr>
                <w:bCs/>
                <w:szCs w:val="24"/>
                <w:highlight w:val="none"/>
              </w:rPr>
            </w:pPr>
            <w:r>
              <w:rPr>
                <w:rFonts w:hint="eastAsia"/>
                <w:bCs/>
                <w:szCs w:val="24"/>
                <w:highlight w:val="none"/>
              </w:rPr>
              <w:t>《建筑节能工程施工质量验收标准(含条文说明完整版) 》</w:t>
            </w:r>
          </w:p>
        </w:tc>
        <w:tc>
          <w:tcPr>
            <w:tcW w:w="2143" w:type="dxa"/>
            <w:vAlign w:val="center"/>
          </w:tcPr>
          <w:p>
            <w:pPr>
              <w:spacing w:after="0" w:line="240" w:lineRule="auto"/>
              <w:ind w:left="1134" w:right="-180" w:rightChars="-75" w:hanging="894"/>
              <w:textAlignment w:val="center"/>
              <w:rPr>
                <w:bCs/>
                <w:szCs w:val="24"/>
                <w:highlight w:val="none"/>
              </w:rPr>
            </w:pPr>
            <w:r>
              <w:rPr>
                <w:rFonts w:hint="eastAsia"/>
                <w:bCs/>
                <w:szCs w:val="24"/>
                <w:highlight w:val="none"/>
              </w:rPr>
              <w:t>GB 50411-2</w:t>
            </w:r>
            <w:r>
              <w:rPr>
                <w:bCs/>
                <w:szCs w:val="24"/>
                <w:highlight w:val="none"/>
              </w:rPr>
              <w:t>019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10" w:hRule="atLeast"/>
        </w:trPr>
        <w:tc>
          <w:tcPr>
            <w:tcW w:w="736" w:type="dxa"/>
            <w:vAlign w:val="center"/>
          </w:tcPr>
          <w:p>
            <w:pPr>
              <w:spacing w:after="0" w:line="240" w:lineRule="auto"/>
              <w:ind w:left="732" w:right="-180" w:rightChars="-75" w:hanging="732" w:hangingChars="305"/>
              <w:jc w:val="center"/>
              <w:textAlignment w:val="center"/>
              <w:rPr>
                <w:bCs/>
                <w:szCs w:val="24"/>
                <w:highlight w:val="none"/>
              </w:rPr>
            </w:pPr>
            <w:r>
              <w:rPr>
                <w:rFonts w:hint="eastAsia"/>
                <w:bCs/>
                <w:szCs w:val="24"/>
                <w:highlight w:val="none"/>
              </w:rPr>
              <w:t>3</w:t>
            </w:r>
          </w:p>
        </w:tc>
        <w:tc>
          <w:tcPr>
            <w:tcW w:w="5447" w:type="dxa"/>
            <w:vAlign w:val="center"/>
          </w:tcPr>
          <w:p>
            <w:pPr>
              <w:spacing w:after="0" w:line="240" w:lineRule="auto"/>
              <w:ind w:left="14" w:right="-180" w:rightChars="-75" w:hanging="14"/>
              <w:textAlignment w:val="center"/>
              <w:rPr>
                <w:bCs/>
                <w:szCs w:val="24"/>
                <w:highlight w:val="none"/>
              </w:rPr>
            </w:pPr>
            <w:r>
              <w:rPr>
                <w:rFonts w:hint="eastAsia"/>
                <w:bCs/>
                <w:szCs w:val="24"/>
                <w:highlight w:val="none"/>
              </w:rPr>
              <w:t>《通风与空调工程施工质量验收规范》</w:t>
            </w:r>
          </w:p>
        </w:tc>
        <w:tc>
          <w:tcPr>
            <w:tcW w:w="2143" w:type="dxa"/>
            <w:vAlign w:val="center"/>
          </w:tcPr>
          <w:p>
            <w:pPr>
              <w:spacing w:after="0" w:line="240" w:lineRule="auto"/>
              <w:ind w:left="1134" w:right="-180" w:rightChars="-75" w:hanging="894"/>
              <w:textAlignment w:val="center"/>
              <w:rPr>
                <w:bCs/>
                <w:szCs w:val="24"/>
                <w:highlight w:val="none"/>
              </w:rPr>
            </w:pPr>
            <w:r>
              <w:rPr>
                <w:rFonts w:hint="eastAsia"/>
                <w:bCs/>
                <w:szCs w:val="24"/>
                <w:highlight w:val="none"/>
              </w:rPr>
              <w:t>GB 50243-2016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10" w:hRule="atLeast"/>
        </w:trPr>
        <w:tc>
          <w:tcPr>
            <w:tcW w:w="736" w:type="dxa"/>
            <w:vAlign w:val="center"/>
          </w:tcPr>
          <w:p>
            <w:pPr>
              <w:spacing w:after="0" w:line="240" w:lineRule="auto"/>
              <w:ind w:left="732" w:right="-180" w:rightChars="-75" w:hanging="732" w:hangingChars="305"/>
              <w:jc w:val="center"/>
              <w:textAlignment w:val="center"/>
              <w:rPr>
                <w:bCs/>
                <w:szCs w:val="24"/>
                <w:highlight w:val="none"/>
              </w:rPr>
            </w:pPr>
            <w:r>
              <w:rPr>
                <w:rFonts w:hint="eastAsia"/>
                <w:bCs/>
                <w:szCs w:val="24"/>
                <w:highlight w:val="none"/>
              </w:rPr>
              <w:t>4</w:t>
            </w:r>
          </w:p>
        </w:tc>
        <w:tc>
          <w:tcPr>
            <w:tcW w:w="5447" w:type="dxa"/>
            <w:vAlign w:val="center"/>
          </w:tcPr>
          <w:p>
            <w:pPr>
              <w:spacing w:after="0" w:line="240" w:lineRule="auto"/>
              <w:ind w:left="14" w:right="-180" w:rightChars="-75" w:hanging="14"/>
              <w:textAlignment w:val="center"/>
              <w:rPr>
                <w:bCs/>
                <w:szCs w:val="24"/>
                <w:highlight w:val="none"/>
              </w:rPr>
            </w:pPr>
            <w:r>
              <w:rPr>
                <w:rFonts w:hint="eastAsia"/>
                <w:bCs/>
                <w:szCs w:val="24"/>
                <w:highlight w:val="none"/>
              </w:rPr>
              <w:t>《建筑防烟排烟系统技术标准》</w:t>
            </w:r>
          </w:p>
        </w:tc>
        <w:tc>
          <w:tcPr>
            <w:tcW w:w="2143" w:type="dxa"/>
            <w:vAlign w:val="center"/>
          </w:tcPr>
          <w:p>
            <w:pPr>
              <w:spacing w:after="0" w:line="240" w:lineRule="auto"/>
              <w:ind w:left="1134" w:right="-180" w:rightChars="-75" w:hanging="894"/>
              <w:textAlignment w:val="center"/>
              <w:rPr>
                <w:bCs/>
                <w:szCs w:val="24"/>
                <w:highlight w:val="none"/>
              </w:rPr>
            </w:pPr>
            <w:r>
              <w:rPr>
                <w:rFonts w:hint="eastAsia"/>
                <w:bCs/>
                <w:szCs w:val="24"/>
                <w:highlight w:val="none"/>
              </w:rPr>
              <w:t>GB 51251-2017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10" w:hRule="atLeast"/>
        </w:trPr>
        <w:tc>
          <w:tcPr>
            <w:tcW w:w="736" w:type="dxa"/>
            <w:vAlign w:val="center"/>
          </w:tcPr>
          <w:p>
            <w:pPr>
              <w:spacing w:after="0" w:line="240" w:lineRule="auto"/>
              <w:ind w:left="732" w:right="-180" w:rightChars="-75" w:hanging="732" w:hangingChars="305"/>
              <w:jc w:val="center"/>
              <w:textAlignment w:val="center"/>
              <w:rPr>
                <w:bCs/>
                <w:szCs w:val="24"/>
                <w:highlight w:val="none"/>
              </w:rPr>
            </w:pPr>
            <w:r>
              <w:rPr>
                <w:rFonts w:hint="eastAsia"/>
                <w:bCs/>
                <w:szCs w:val="24"/>
                <w:highlight w:val="none"/>
              </w:rPr>
              <w:t>5</w:t>
            </w:r>
          </w:p>
        </w:tc>
        <w:tc>
          <w:tcPr>
            <w:tcW w:w="5447" w:type="dxa"/>
            <w:vAlign w:val="center"/>
          </w:tcPr>
          <w:p>
            <w:pPr>
              <w:spacing w:after="0" w:line="240" w:lineRule="auto"/>
              <w:ind w:left="14" w:right="-180" w:rightChars="-75" w:hanging="14"/>
              <w:textAlignment w:val="center"/>
              <w:rPr>
                <w:bCs/>
                <w:szCs w:val="24"/>
                <w:highlight w:val="none"/>
              </w:rPr>
            </w:pPr>
            <w:r>
              <w:rPr>
                <w:rFonts w:hint="eastAsia"/>
                <w:bCs/>
                <w:szCs w:val="24"/>
                <w:highlight w:val="none"/>
              </w:rPr>
              <w:t xml:space="preserve">《民用建筑供暖通风与空气调节设计规范》  </w:t>
            </w:r>
          </w:p>
        </w:tc>
        <w:tc>
          <w:tcPr>
            <w:tcW w:w="2143" w:type="dxa"/>
            <w:vAlign w:val="center"/>
          </w:tcPr>
          <w:p>
            <w:pPr>
              <w:spacing w:after="0" w:line="240" w:lineRule="auto"/>
              <w:ind w:left="1134" w:right="-180" w:rightChars="-75" w:hanging="894"/>
              <w:textAlignment w:val="center"/>
              <w:rPr>
                <w:bCs/>
                <w:szCs w:val="24"/>
                <w:highlight w:val="none"/>
              </w:rPr>
            </w:pPr>
            <w:r>
              <w:rPr>
                <w:rFonts w:hint="eastAsia"/>
                <w:bCs/>
                <w:szCs w:val="24"/>
                <w:highlight w:val="none"/>
              </w:rPr>
              <w:t>GB 50736-2012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10" w:hRule="atLeast"/>
        </w:trPr>
        <w:tc>
          <w:tcPr>
            <w:tcW w:w="8326" w:type="dxa"/>
            <w:gridSpan w:val="3"/>
            <w:vAlign w:val="center"/>
          </w:tcPr>
          <w:p>
            <w:pPr>
              <w:spacing w:after="0" w:line="240" w:lineRule="auto"/>
              <w:ind w:left="732" w:right="-180" w:rightChars="-75" w:hanging="732" w:hangingChars="305"/>
              <w:jc w:val="center"/>
              <w:textAlignment w:val="center"/>
              <w:rPr>
                <w:bCs/>
                <w:szCs w:val="24"/>
                <w:highlight w:val="none"/>
              </w:rPr>
            </w:pPr>
            <w:r>
              <w:rPr>
                <w:rFonts w:hint="eastAsia"/>
                <w:bCs/>
                <w:szCs w:val="24"/>
                <w:highlight w:val="none"/>
              </w:rPr>
              <w:t>网络与布线、智能化系统主要标准、规范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10" w:hRule="atLeast"/>
        </w:trPr>
        <w:tc>
          <w:tcPr>
            <w:tcW w:w="736" w:type="dxa"/>
            <w:vAlign w:val="center"/>
          </w:tcPr>
          <w:p>
            <w:pPr>
              <w:spacing w:after="0" w:line="240" w:lineRule="auto"/>
              <w:ind w:left="732" w:right="-180" w:rightChars="-75" w:hanging="732" w:hangingChars="305"/>
              <w:jc w:val="center"/>
              <w:textAlignment w:val="center"/>
              <w:rPr>
                <w:bCs/>
                <w:szCs w:val="24"/>
                <w:highlight w:val="none"/>
              </w:rPr>
            </w:pPr>
            <w:r>
              <w:rPr>
                <w:rFonts w:hint="eastAsia"/>
                <w:bCs/>
                <w:szCs w:val="24"/>
                <w:highlight w:val="none"/>
              </w:rPr>
              <w:t>1</w:t>
            </w:r>
          </w:p>
        </w:tc>
        <w:tc>
          <w:tcPr>
            <w:tcW w:w="5447" w:type="dxa"/>
            <w:vAlign w:val="center"/>
          </w:tcPr>
          <w:p>
            <w:pPr>
              <w:spacing w:after="0" w:line="240" w:lineRule="auto"/>
              <w:ind w:left="14" w:right="-180" w:rightChars="-75" w:hanging="14"/>
              <w:textAlignment w:val="center"/>
              <w:rPr>
                <w:bCs/>
                <w:szCs w:val="24"/>
                <w:highlight w:val="none"/>
              </w:rPr>
            </w:pPr>
            <w:r>
              <w:rPr>
                <w:rFonts w:hint="eastAsia"/>
                <w:bCs/>
                <w:szCs w:val="24"/>
                <w:highlight w:val="none"/>
              </w:rPr>
              <w:t>《智能建筑设计标准》</w:t>
            </w:r>
          </w:p>
        </w:tc>
        <w:tc>
          <w:tcPr>
            <w:tcW w:w="2143" w:type="dxa"/>
            <w:vAlign w:val="center"/>
          </w:tcPr>
          <w:p>
            <w:pPr>
              <w:spacing w:after="0" w:line="240" w:lineRule="auto"/>
              <w:ind w:left="494" w:right="-180" w:rightChars="-75" w:hanging="254"/>
              <w:textAlignment w:val="center"/>
              <w:rPr>
                <w:bCs/>
                <w:szCs w:val="24"/>
                <w:highlight w:val="none"/>
              </w:rPr>
            </w:pPr>
            <w:r>
              <w:rPr>
                <w:rFonts w:hint="eastAsia"/>
                <w:bCs/>
                <w:szCs w:val="24"/>
                <w:highlight w:val="none"/>
              </w:rPr>
              <w:t>GB</w:t>
            </w:r>
            <w:r>
              <w:rPr>
                <w:bCs/>
                <w:szCs w:val="24"/>
                <w:highlight w:val="none"/>
              </w:rPr>
              <w:t xml:space="preserve"> </w:t>
            </w:r>
            <w:r>
              <w:rPr>
                <w:rFonts w:hint="eastAsia"/>
                <w:bCs/>
                <w:szCs w:val="24"/>
                <w:highlight w:val="none"/>
              </w:rPr>
              <w:t>50314-201</w:t>
            </w:r>
            <w:r>
              <w:rPr>
                <w:bCs/>
                <w:szCs w:val="24"/>
                <w:highlight w:val="none"/>
              </w:rPr>
              <w:t>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10" w:hRule="atLeast"/>
        </w:trPr>
        <w:tc>
          <w:tcPr>
            <w:tcW w:w="736" w:type="dxa"/>
            <w:vAlign w:val="center"/>
          </w:tcPr>
          <w:p>
            <w:pPr>
              <w:spacing w:after="0" w:line="240" w:lineRule="auto"/>
              <w:ind w:left="732" w:right="-180" w:rightChars="-75" w:hanging="732" w:hangingChars="305"/>
              <w:jc w:val="center"/>
              <w:textAlignment w:val="center"/>
              <w:rPr>
                <w:bCs/>
                <w:szCs w:val="24"/>
                <w:highlight w:val="none"/>
              </w:rPr>
            </w:pPr>
            <w:r>
              <w:rPr>
                <w:rFonts w:hint="eastAsia"/>
                <w:bCs/>
                <w:szCs w:val="24"/>
                <w:highlight w:val="none"/>
              </w:rPr>
              <w:t>2</w:t>
            </w:r>
          </w:p>
        </w:tc>
        <w:tc>
          <w:tcPr>
            <w:tcW w:w="5447" w:type="dxa"/>
            <w:vAlign w:val="center"/>
          </w:tcPr>
          <w:p>
            <w:pPr>
              <w:spacing w:after="0" w:line="240" w:lineRule="auto"/>
              <w:ind w:left="14" w:right="-180" w:rightChars="-75" w:hanging="14"/>
              <w:textAlignment w:val="center"/>
              <w:rPr>
                <w:bCs/>
                <w:szCs w:val="24"/>
                <w:highlight w:val="none"/>
              </w:rPr>
            </w:pPr>
            <w:r>
              <w:rPr>
                <w:rFonts w:hint="eastAsia"/>
                <w:bCs/>
                <w:szCs w:val="24"/>
                <w:highlight w:val="none"/>
              </w:rPr>
              <w:t>《综合布线系统工程设计规范》</w:t>
            </w:r>
          </w:p>
        </w:tc>
        <w:tc>
          <w:tcPr>
            <w:tcW w:w="2143" w:type="dxa"/>
            <w:vAlign w:val="center"/>
          </w:tcPr>
          <w:p>
            <w:pPr>
              <w:spacing w:after="0" w:line="240" w:lineRule="auto"/>
              <w:ind w:left="494" w:right="-180" w:rightChars="-75" w:hanging="254"/>
              <w:textAlignment w:val="center"/>
              <w:rPr>
                <w:bCs/>
                <w:szCs w:val="24"/>
                <w:highlight w:val="none"/>
              </w:rPr>
            </w:pPr>
            <w:r>
              <w:rPr>
                <w:rFonts w:hint="eastAsia"/>
                <w:bCs/>
                <w:szCs w:val="24"/>
                <w:highlight w:val="none"/>
              </w:rPr>
              <w:t>GB 50311-2016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10" w:hRule="atLeast"/>
        </w:trPr>
        <w:tc>
          <w:tcPr>
            <w:tcW w:w="736" w:type="dxa"/>
            <w:vAlign w:val="center"/>
          </w:tcPr>
          <w:p>
            <w:pPr>
              <w:spacing w:after="0" w:line="240" w:lineRule="auto"/>
              <w:ind w:left="732" w:right="-180" w:rightChars="-75" w:hanging="732" w:hangingChars="305"/>
              <w:jc w:val="center"/>
              <w:textAlignment w:val="center"/>
              <w:rPr>
                <w:bCs/>
                <w:szCs w:val="24"/>
                <w:highlight w:val="none"/>
              </w:rPr>
            </w:pPr>
            <w:r>
              <w:rPr>
                <w:rFonts w:hint="eastAsia"/>
                <w:bCs/>
                <w:szCs w:val="24"/>
                <w:highlight w:val="none"/>
              </w:rPr>
              <w:t>3</w:t>
            </w:r>
          </w:p>
        </w:tc>
        <w:tc>
          <w:tcPr>
            <w:tcW w:w="5447" w:type="dxa"/>
            <w:vAlign w:val="center"/>
          </w:tcPr>
          <w:p>
            <w:pPr>
              <w:spacing w:after="0" w:line="240" w:lineRule="auto"/>
              <w:ind w:left="14" w:right="-180" w:rightChars="-75" w:hanging="14"/>
              <w:textAlignment w:val="center"/>
              <w:rPr>
                <w:bCs/>
                <w:szCs w:val="24"/>
                <w:highlight w:val="none"/>
              </w:rPr>
            </w:pPr>
            <w:r>
              <w:rPr>
                <w:rFonts w:hint="eastAsia"/>
                <w:bCs/>
                <w:szCs w:val="24"/>
                <w:highlight w:val="none"/>
              </w:rPr>
              <w:t>《综合布线系统工程验收规范》</w:t>
            </w:r>
          </w:p>
        </w:tc>
        <w:tc>
          <w:tcPr>
            <w:tcW w:w="2143" w:type="dxa"/>
            <w:vAlign w:val="center"/>
          </w:tcPr>
          <w:p>
            <w:pPr>
              <w:spacing w:after="0" w:line="240" w:lineRule="auto"/>
              <w:ind w:left="494" w:right="-180" w:rightChars="-75" w:hanging="254"/>
              <w:textAlignment w:val="center"/>
              <w:rPr>
                <w:bCs/>
                <w:szCs w:val="24"/>
                <w:highlight w:val="none"/>
              </w:rPr>
            </w:pPr>
            <w:r>
              <w:rPr>
                <w:rFonts w:hint="eastAsia"/>
                <w:bCs/>
                <w:szCs w:val="24"/>
                <w:highlight w:val="none"/>
              </w:rPr>
              <w:t>GBT 50312-2016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10" w:hRule="atLeast"/>
        </w:trPr>
        <w:tc>
          <w:tcPr>
            <w:tcW w:w="736" w:type="dxa"/>
            <w:vAlign w:val="center"/>
          </w:tcPr>
          <w:p>
            <w:pPr>
              <w:spacing w:after="0" w:line="240" w:lineRule="auto"/>
              <w:ind w:left="732" w:right="-180" w:rightChars="-75" w:hanging="732" w:hangingChars="305"/>
              <w:jc w:val="center"/>
              <w:textAlignment w:val="center"/>
              <w:rPr>
                <w:bCs/>
                <w:szCs w:val="24"/>
                <w:highlight w:val="none"/>
              </w:rPr>
            </w:pPr>
            <w:r>
              <w:rPr>
                <w:rFonts w:hint="eastAsia"/>
                <w:bCs/>
                <w:szCs w:val="24"/>
                <w:highlight w:val="none"/>
              </w:rPr>
              <w:t>4</w:t>
            </w:r>
          </w:p>
        </w:tc>
        <w:tc>
          <w:tcPr>
            <w:tcW w:w="5447" w:type="dxa"/>
            <w:vAlign w:val="center"/>
          </w:tcPr>
          <w:p>
            <w:pPr>
              <w:spacing w:after="0" w:line="240" w:lineRule="auto"/>
              <w:ind w:left="14" w:right="-180" w:rightChars="-75" w:hanging="14"/>
              <w:textAlignment w:val="center"/>
              <w:rPr>
                <w:bCs/>
                <w:szCs w:val="24"/>
                <w:highlight w:val="none"/>
              </w:rPr>
            </w:pPr>
            <w:r>
              <w:rPr>
                <w:rFonts w:hint="eastAsia"/>
                <w:bCs/>
                <w:szCs w:val="24"/>
                <w:highlight w:val="none"/>
              </w:rPr>
              <w:t>《安全防范工程技术标准》</w:t>
            </w:r>
          </w:p>
        </w:tc>
        <w:tc>
          <w:tcPr>
            <w:tcW w:w="2143" w:type="dxa"/>
            <w:vAlign w:val="center"/>
          </w:tcPr>
          <w:p>
            <w:pPr>
              <w:spacing w:after="0" w:line="240" w:lineRule="auto"/>
              <w:ind w:left="494" w:right="-180" w:rightChars="-75" w:hanging="254"/>
              <w:textAlignment w:val="center"/>
              <w:rPr>
                <w:bCs/>
                <w:szCs w:val="24"/>
                <w:highlight w:val="none"/>
              </w:rPr>
            </w:pPr>
            <w:r>
              <w:rPr>
                <w:rFonts w:hint="eastAsia"/>
                <w:bCs/>
                <w:szCs w:val="24"/>
                <w:highlight w:val="none"/>
              </w:rPr>
              <w:t>GB 50348-2018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10" w:hRule="atLeast"/>
        </w:trPr>
        <w:tc>
          <w:tcPr>
            <w:tcW w:w="736" w:type="dxa"/>
            <w:vAlign w:val="center"/>
          </w:tcPr>
          <w:p>
            <w:pPr>
              <w:spacing w:after="0" w:line="240" w:lineRule="auto"/>
              <w:ind w:left="732" w:right="-180" w:rightChars="-75" w:hanging="732" w:hangingChars="305"/>
              <w:jc w:val="center"/>
              <w:textAlignment w:val="center"/>
              <w:rPr>
                <w:bCs/>
                <w:szCs w:val="24"/>
                <w:highlight w:val="none"/>
              </w:rPr>
            </w:pPr>
            <w:r>
              <w:rPr>
                <w:rFonts w:hint="eastAsia"/>
                <w:bCs/>
                <w:szCs w:val="24"/>
                <w:highlight w:val="none"/>
              </w:rPr>
              <w:t>5</w:t>
            </w:r>
          </w:p>
        </w:tc>
        <w:tc>
          <w:tcPr>
            <w:tcW w:w="5447" w:type="dxa"/>
            <w:vAlign w:val="center"/>
          </w:tcPr>
          <w:p>
            <w:pPr>
              <w:spacing w:after="0" w:line="240" w:lineRule="auto"/>
              <w:ind w:left="14" w:right="-180" w:rightChars="-75" w:hanging="14"/>
              <w:textAlignment w:val="center"/>
              <w:rPr>
                <w:bCs/>
                <w:szCs w:val="24"/>
                <w:highlight w:val="none"/>
              </w:rPr>
            </w:pPr>
            <w:r>
              <w:rPr>
                <w:rFonts w:hint="eastAsia"/>
                <w:bCs/>
                <w:szCs w:val="24"/>
                <w:highlight w:val="none"/>
              </w:rPr>
              <w:t>《视频安防监控系统工程设计规范》</w:t>
            </w:r>
          </w:p>
        </w:tc>
        <w:tc>
          <w:tcPr>
            <w:tcW w:w="2143" w:type="dxa"/>
            <w:vAlign w:val="center"/>
          </w:tcPr>
          <w:p>
            <w:pPr>
              <w:spacing w:after="0" w:line="240" w:lineRule="auto"/>
              <w:ind w:left="494" w:right="-180" w:rightChars="-75" w:hanging="254"/>
              <w:textAlignment w:val="center"/>
              <w:rPr>
                <w:bCs/>
                <w:szCs w:val="24"/>
                <w:highlight w:val="none"/>
              </w:rPr>
            </w:pPr>
            <w:r>
              <w:rPr>
                <w:rFonts w:hint="eastAsia"/>
                <w:bCs/>
                <w:szCs w:val="24"/>
                <w:highlight w:val="none"/>
              </w:rPr>
              <w:t>GB 50395-20</w:t>
            </w:r>
            <w:r>
              <w:rPr>
                <w:bCs/>
                <w:szCs w:val="24"/>
                <w:highlight w:val="none"/>
              </w:rPr>
              <w:t>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10" w:hRule="atLeast"/>
        </w:trPr>
        <w:tc>
          <w:tcPr>
            <w:tcW w:w="736" w:type="dxa"/>
            <w:vAlign w:val="center"/>
          </w:tcPr>
          <w:p>
            <w:pPr>
              <w:spacing w:after="0" w:line="240" w:lineRule="auto"/>
              <w:ind w:left="732" w:right="-180" w:rightChars="-75" w:hanging="732" w:hangingChars="305"/>
              <w:jc w:val="center"/>
              <w:textAlignment w:val="center"/>
              <w:rPr>
                <w:bCs/>
                <w:szCs w:val="24"/>
                <w:highlight w:val="none"/>
              </w:rPr>
            </w:pPr>
            <w:r>
              <w:rPr>
                <w:rFonts w:hint="eastAsia"/>
                <w:bCs/>
                <w:szCs w:val="24"/>
                <w:highlight w:val="none"/>
              </w:rPr>
              <w:t>6</w:t>
            </w:r>
          </w:p>
        </w:tc>
        <w:tc>
          <w:tcPr>
            <w:tcW w:w="5447" w:type="dxa"/>
            <w:vAlign w:val="center"/>
          </w:tcPr>
          <w:p>
            <w:pPr>
              <w:spacing w:after="0" w:line="240" w:lineRule="auto"/>
              <w:ind w:left="14" w:right="-180" w:rightChars="-75" w:hanging="14"/>
              <w:textAlignment w:val="center"/>
              <w:rPr>
                <w:bCs/>
                <w:szCs w:val="24"/>
                <w:highlight w:val="none"/>
              </w:rPr>
            </w:pPr>
            <w:r>
              <w:rPr>
                <w:rFonts w:hint="eastAsia"/>
                <w:bCs/>
                <w:szCs w:val="24"/>
                <w:highlight w:val="none"/>
              </w:rPr>
              <w:t>《入侵报警系统工程设计规范》</w:t>
            </w:r>
          </w:p>
        </w:tc>
        <w:tc>
          <w:tcPr>
            <w:tcW w:w="2143" w:type="dxa"/>
            <w:vAlign w:val="center"/>
          </w:tcPr>
          <w:p>
            <w:pPr>
              <w:spacing w:after="0" w:line="240" w:lineRule="auto"/>
              <w:ind w:left="494" w:right="-180" w:rightChars="-75" w:hanging="254"/>
              <w:textAlignment w:val="center"/>
              <w:rPr>
                <w:bCs/>
                <w:szCs w:val="24"/>
                <w:highlight w:val="none"/>
              </w:rPr>
            </w:pPr>
            <w:r>
              <w:rPr>
                <w:rFonts w:hint="eastAsia"/>
                <w:bCs/>
                <w:szCs w:val="24"/>
                <w:highlight w:val="none"/>
              </w:rPr>
              <w:t>GB 50394-20</w:t>
            </w:r>
            <w:r>
              <w:rPr>
                <w:bCs/>
                <w:szCs w:val="24"/>
                <w:highlight w:val="none"/>
              </w:rPr>
              <w:t>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10" w:hRule="atLeast"/>
        </w:trPr>
        <w:tc>
          <w:tcPr>
            <w:tcW w:w="736" w:type="dxa"/>
            <w:vAlign w:val="center"/>
          </w:tcPr>
          <w:p>
            <w:pPr>
              <w:spacing w:after="0" w:line="240" w:lineRule="auto"/>
              <w:ind w:left="732" w:right="-180" w:rightChars="-75" w:hanging="732" w:hangingChars="305"/>
              <w:jc w:val="center"/>
              <w:textAlignment w:val="center"/>
              <w:rPr>
                <w:bCs/>
                <w:szCs w:val="24"/>
                <w:highlight w:val="none"/>
              </w:rPr>
            </w:pPr>
            <w:r>
              <w:rPr>
                <w:rFonts w:hint="eastAsia"/>
                <w:bCs/>
                <w:szCs w:val="24"/>
                <w:highlight w:val="none"/>
              </w:rPr>
              <w:t>7</w:t>
            </w:r>
          </w:p>
        </w:tc>
        <w:tc>
          <w:tcPr>
            <w:tcW w:w="5447" w:type="dxa"/>
            <w:vAlign w:val="center"/>
          </w:tcPr>
          <w:p>
            <w:pPr>
              <w:spacing w:after="0" w:line="240" w:lineRule="auto"/>
              <w:ind w:left="14" w:right="-180" w:rightChars="-75" w:hanging="14"/>
              <w:textAlignment w:val="center"/>
              <w:rPr>
                <w:bCs/>
                <w:szCs w:val="24"/>
                <w:highlight w:val="none"/>
              </w:rPr>
            </w:pPr>
            <w:r>
              <w:rPr>
                <w:rFonts w:hint="eastAsia"/>
                <w:bCs/>
                <w:szCs w:val="24"/>
                <w:highlight w:val="none"/>
              </w:rPr>
              <w:t>《公共广播系统工程技术规范》</w:t>
            </w:r>
          </w:p>
        </w:tc>
        <w:tc>
          <w:tcPr>
            <w:tcW w:w="2143" w:type="dxa"/>
            <w:vAlign w:val="center"/>
          </w:tcPr>
          <w:p>
            <w:pPr>
              <w:spacing w:after="0" w:line="240" w:lineRule="auto"/>
              <w:ind w:left="494" w:right="-180" w:rightChars="-75" w:hanging="254"/>
              <w:textAlignment w:val="center"/>
              <w:rPr>
                <w:bCs/>
                <w:szCs w:val="24"/>
                <w:highlight w:val="none"/>
              </w:rPr>
            </w:pPr>
            <w:r>
              <w:rPr>
                <w:rFonts w:hint="eastAsia"/>
                <w:bCs/>
                <w:szCs w:val="24"/>
                <w:highlight w:val="none"/>
              </w:rPr>
              <w:t>GB 50526-201</w:t>
            </w:r>
            <w:r>
              <w:rPr>
                <w:bCs/>
                <w:szCs w:val="24"/>
                <w:highlight w:val="none"/>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10" w:hRule="atLeast"/>
        </w:trPr>
        <w:tc>
          <w:tcPr>
            <w:tcW w:w="736" w:type="dxa"/>
            <w:vAlign w:val="center"/>
          </w:tcPr>
          <w:p>
            <w:pPr>
              <w:spacing w:after="0" w:line="240" w:lineRule="auto"/>
              <w:ind w:left="732" w:right="-180" w:rightChars="-75" w:hanging="732" w:hangingChars="305"/>
              <w:jc w:val="center"/>
              <w:textAlignment w:val="center"/>
              <w:rPr>
                <w:bCs/>
                <w:szCs w:val="24"/>
                <w:highlight w:val="none"/>
              </w:rPr>
            </w:pPr>
            <w:r>
              <w:rPr>
                <w:rFonts w:hint="eastAsia"/>
                <w:bCs/>
                <w:szCs w:val="24"/>
                <w:highlight w:val="none"/>
              </w:rPr>
              <w:t>8</w:t>
            </w:r>
          </w:p>
        </w:tc>
        <w:tc>
          <w:tcPr>
            <w:tcW w:w="5447" w:type="dxa"/>
            <w:vAlign w:val="center"/>
          </w:tcPr>
          <w:p>
            <w:pPr>
              <w:spacing w:after="0" w:line="240" w:lineRule="auto"/>
              <w:ind w:left="14" w:right="-180" w:rightChars="-75" w:hanging="14"/>
              <w:textAlignment w:val="center"/>
              <w:rPr>
                <w:bCs/>
                <w:szCs w:val="24"/>
                <w:highlight w:val="none"/>
              </w:rPr>
            </w:pPr>
            <w:r>
              <w:rPr>
                <w:rFonts w:hint="eastAsia"/>
                <w:bCs/>
                <w:szCs w:val="24"/>
                <w:highlight w:val="none"/>
              </w:rPr>
              <w:t>《安全防范系统验收规则》</w:t>
            </w:r>
          </w:p>
        </w:tc>
        <w:tc>
          <w:tcPr>
            <w:tcW w:w="2143" w:type="dxa"/>
            <w:vAlign w:val="center"/>
          </w:tcPr>
          <w:p>
            <w:pPr>
              <w:spacing w:after="0" w:line="240" w:lineRule="auto"/>
              <w:ind w:left="494" w:right="-180" w:rightChars="-75" w:hanging="254"/>
              <w:textAlignment w:val="center"/>
              <w:rPr>
                <w:bCs/>
                <w:szCs w:val="24"/>
                <w:highlight w:val="none"/>
              </w:rPr>
            </w:pPr>
            <w:r>
              <w:rPr>
                <w:rFonts w:hint="eastAsia"/>
                <w:bCs/>
                <w:szCs w:val="24"/>
                <w:highlight w:val="none"/>
              </w:rPr>
              <w:t>GA 308-2001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10" w:hRule="atLeast"/>
        </w:trPr>
        <w:tc>
          <w:tcPr>
            <w:tcW w:w="8326" w:type="dxa"/>
            <w:gridSpan w:val="3"/>
            <w:vAlign w:val="center"/>
          </w:tcPr>
          <w:p>
            <w:pPr>
              <w:spacing w:after="0" w:line="240" w:lineRule="auto"/>
              <w:ind w:left="732" w:right="-180" w:rightChars="-75" w:hanging="732" w:hangingChars="305"/>
              <w:jc w:val="center"/>
              <w:textAlignment w:val="center"/>
              <w:rPr>
                <w:bCs/>
                <w:szCs w:val="24"/>
                <w:highlight w:val="none"/>
              </w:rPr>
            </w:pPr>
            <w:r>
              <w:rPr>
                <w:rFonts w:hint="eastAsia"/>
                <w:bCs/>
                <w:szCs w:val="24"/>
                <w:highlight w:val="none"/>
              </w:rPr>
              <w:t>给排水主要标准、规范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10" w:hRule="atLeast"/>
        </w:trPr>
        <w:tc>
          <w:tcPr>
            <w:tcW w:w="736" w:type="dxa"/>
            <w:vAlign w:val="center"/>
          </w:tcPr>
          <w:p>
            <w:pPr>
              <w:spacing w:after="0" w:line="240" w:lineRule="auto"/>
              <w:ind w:left="732" w:right="-180" w:rightChars="-75" w:hanging="732" w:hangingChars="305"/>
              <w:jc w:val="center"/>
              <w:textAlignment w:val="center"/>
              <w:rPr>
                <w:bCs/>
                <w:szCs w:val="24"/>
                <w:highlight w:val="none"/>
              </w:rPr>
            </w:pPr>
            <w:r>
              <w:rPr>
                <w:rFonts w:hint="eastAsia"/>
                <w:bCs/>
                <w:szCs w:val="24"/>
                <w:highlight w:val="none"/>
              </w:rPr>
              <w:t>1</w:t>
            </w:r>
          </w:p>
        </w:tc>
        <w:tc>
          <w:tcPr>
            <w:tcW w:w="5447" w:type="dxa"/>
            <w:vAlign w:val="center"/>
          </w:tcPr>
          <w:p>
            <w:pPr>
              <w:spacing w:after="0" w:line="240" w:lineRule="auto"/>
              <w:ind w:left="14" w:right="-180" w:rightChars="-75" w:hanging="14"/>
              <w:textAlignment w:val="center"/>
              <w:rPr>
                <w:bCs/>
                <w:szCs w:val="24"/>
                <w:highlight w:val="none"/>
              </w:rPr>
            </w:pPr>
            <w:r>
              <w:rPr>
                <w:rFonts w:hint="eastAsia"/>
                <w:bCs/>
                <w:szCs w:val="24"/>
                <w:highlight w:val="none"/>
              </w:rPr>
              <w:t>《室外给水设计标准》</w:t>
            </w:r>
          </w:p>
        </w:tc>
        <w:tc>
          <w:tcPr>
            <w:tcW w:w="2143" w:type="dxa"/>
            <w:vAlign w:val="center"/>
          </w:tcPr>
          <w:p>
            <w:pPr>
              <w:spacing w:after="0" w:line="240" w:lineRule="auto"/>
              <w:ind w:left="254" w:right="-180" w:rightChars="-75" w:hanging="14"/>
              <w:textAlignment w:val="center"/>
              <w:rPr>
                <w:bCs/>
                <w:szCs w:val="24"/>
                <w:highlight w:val="none"/>
              </w:rPr>
            </w:pPr>
            <w:r>
              <w:rPr>
                <w:rFonts w:hint="eastAsia"/>
                <w:bCs/>
                <w:szCs w:val="24"/>
                <w:highlight w:val="none"/>
              </w:rPr>
              <w:t>GB 50013-201</w:t>
            </w:r>
            <w:r>
              <w:rPr>
                <w:bCs/>
                <w:szCs w:val="24"/>
                <w:highlight w:val="none"/>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10" w:hRule="atLeast"/>
        </w:trPr>
        <w:tc>
          <w:tcPr>
            <w:tcW w:w="736" w:type="dxa"/>
            <w:vAlign w:val="center"/>
          </w:tcPr>
          <w:p>
            <w:pPr>
              <w:spacing w:after="0" w:line="240" w:lineRule="auto"/>
              <w:ind w:left="732" w:right="-180" w:rightChars="-75" w:hanging="732" w:hangingChars="305"/>
              <w:jc w:val="center"/>
              <w:textAlignment w:val="center"/>
              <w:rPr>
                <w:bCs/>
                <w:szCs w:val="24"/>
                <w:highlight w:val="none"/>
              </w:rPr>
            </w:pPr>
            <w:r>
              <w:rPr>
                <w:rFonts w:hint="eastAsia"/>
                <w:bCs/>
                <w:szCs w:val="24"/>
                <w:highlight w:val="none"/>
              </w:rPr>
              <w:t>2</w:t>
            </w:r>
          </w:p>
        </w:tc>
        <w:tc>
          <w:tcPr>
            <w:tcW w:w="5447" w:type="dxa"/>
            <w:vAlign w:val="center"/>
          </w:tcPr>
          <w:p>
            <w:pPr>
              <w:spacing w:after="0" w:line="240" w:lineRule="auto"/>
              <w:ind w:left="14" w:right="-180" w:rightChars="-75" w:hanging="14"/>
              <w:textAlignment w:val="center"/>
              <w:rPr>
                <w:bCs/>
                <w:szCs w:val="24"/>
                <w:highlight w:val="none"/>
              </w:rPr>
            </w:pPr>
            <w:r>
              <w:rPr>
                <w:rFonts w:hint="eastAsia"/>
                <w:bCs/>
                <w:szCs w:val="24"/>
                <w:highlight w:val="none"/>
              </w:rPr>
              <w:t>《室外排水设计规范》</w:t>
            </w:r>
          </w:p>
        </w:tc>
        <w:tc>
          <w:tcPr>
            <w:tcW w:w="2143" w:type="dxa"/>
            <w:vAlign w:val="center"/>
          </w:tcPr>
          <w:p>
            <w:pPr>
              <w:spacing w:after="0" w:line="240" w:lineRule="auto"/>
              <w:ind w:left="254" w:right="-180" w:rightChars="-75" w:hanging="14"/>
              <w:textAlignment w:val="center"/>
              <w:rPr>
                <w:bCs/>
                <w:szCs w:val="24"/>
                <w:highlight w:val="none"/>
              </w:rPr>
            </w:pPr>
            <w:r>
              <w:rPr>
                <w:rFonts w:hint="eastAsia"/>
                <w:bCs/>
                <w:szCs w:val="24"/>
                <w:highlight w:val="none"/>
              </w:rPr>
              <w:t>GB 50014-2006（2016年版）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10" w:hRule="atLeast"/>
        </w:trPr>
        <w:tc>
          <w:tcPr>
            <w:tcW w:w="736" w:type="dxa"/>
            <w:vAlign w:val="center"/>
          </w:tcPr>
          <w:p>
            <w:pPr>
              <w:spacing w:after="0" w:line="240" w:lineRule="auto"/>
              <w:ind w:left="732" w:right="-180" w:rightChars="-75" w:hanging="732" w:hangingChars="305"/>
              <w:jc w:val="center"/>
              <w:textAlignment w:val="center"/>
              <w:rPr>
                <w:bCs/>
                <w:szCs w:val="24"/>
                <w:highlight w:val="none"/>
              </w:rPr>
            </w:pPr>
            <w:r>
              <w:rPr>
                <w:rFonts w:hint="eastAsia"/>
                <w:bCs/>
                <w:szCs w:val="24"/>
                <w:highlight w:val="none"/>
              </w:rPr>
              <w:t>3</w:t>
            </w:r>
          </w:p>
        </w:tc>
        <w:tc>
          <w:tcPr>
            <w:tcW w:w="5447" w:type="dxa"/>
            <w:vAlign w:val="center"/>
          </w:tcPr>
          <w:p>
            <w:pPr>
              <w:spacing w:after="0" w:line="240" w:lineRule="auto"/>
              <w:ind w:left="14" w:right="-180" w:rightChars="-75" w:hanging="14"/>
              <w:textAlignment w:val="center"/>
              <w:rPr>
                <w:bCs/>
                <w:szCs w:val="24"/>
                <w:highlight w:val="none"/>
              </w:rPr>
            </w:pPr>
            <w:r>
              <w:rPr>
                <w:rFonts w:hint="eastAsia"/>
                <w:bCs/>
                <w:szCs w:val="24"/>
                <w:highlight w:val="none"/>
              </w:rPr>
              <w:t>《建筑给水排水设计规范》</w:t>
            </w:r>
          </w:p>
        </w:tc>
        <w:tc>
          <w:tcPr>
            <w:tcW w:w="2143" w:type="dxa"/>
            <w:vAlign w:val="center"/>
          </w:tcPr>
          <w:p>
            <w:pPr>
              <w:spacing w:after="0" w:line="240" w:lineRule="auto"/>
              <w:ind w:left="254" w:right="-180" w:rightChars="-75" w:hanging="14"/>
              <w:textAlignment w:val="center"/>
              <w:rPr>
                <w:bCs/>
                <w:szCs w:val="24"/>
                <w:highlight w:val="none"/>
              </w:rPr>
            </w:pPr>
            <w:r>
              <w:rPr>
                <w:rFonts w:hint="eastAsia"/>
                <w:bCs/>
                <w:szCs w:val="24"/>
                <w:highlight w:val="none"/>
              </w:rPr>
              <w:t>GB 50015-2003（ 09年版）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10" w:hRule="atLeast"/>
        </w:trPr>
        <w:tc>
          <w:tcPr>
            <w:tcW w:w="736" w:type="dxa"/>
            <w:vAlign w:val="center"/>
          </w:tcPr>
          <w:p>
            <w:pPr>
              <w:spacing w:after="0" w:line="240" w:lineRule="auto"/>
              <w:ind w:left="732" w:right="-180" w:rightChars="-75" w:hanging="732" w:hangingChars="305"/>
              <w:jc w:val="center"/>
              <w:textAlignment w:val="center"/>
              <w:rPr>
                <w:bCs/>
                <w:szCs w:val="24"/>
                <w:highlight w:val="none"/>
              </w:rPr>
            </w:pPr>
            <w:r>
              <w:rPr>
                <w:rFonts w:hint="eastAsia"/>
                <w:bCs/>
                <w:szCs w:val="24"/>
                <w:highlight w:val="none"/>
              </w:rPr>
              <w:t>4</w:t>
            </w:r>
          </w:p>
        </w:tc>
        <w:tc>
          <w:tcPr>
            <w:tcW w:w="5447" w:type="dxa"/>
            <w:vAlign w:val="center"/>
          </w:tcPr>
          <w:p>
            <w:pPr>
              <w:spacing w:after="0" w:line="240" w:lineRule="auto"/>
              <w:ind w:left="14" w:right="-180" w:rightChars="-75" w:hanging="14"/>
              <w:textAlignment w:val="center"/>
              <w:rPr>
                <w:bCs/>
                <w:szCs w:val="24"/>
                <w:highlight w:val="none"/>
              </w:rPr>
            </w:pPr>
            <w:r>
              <w:rPr>
                <w:rFonts w:hint="eastAsia"/>
                <w:bCs/>
                <w:szCs w:val="24"/>
                <w:highlight w:val="none"/>
              </w:rPr>
              <w:t>《建筑给水排水及采暖工程施工质量验收规范》</w:t>
            </w:r>
          </w:p>
        </w:tc>
        <w:tc>
          <w:tcPr>
            <w:tcW w:w="2143" w:type="dxa"/>
            <w:vAlign w:val="center"/>
          </w:tcPr>
          <w:p>
            <w:pPr>
              <w:spacing w:after="0" w:line="240" w:lineRule="auto"/>
              <w:ind w:left="254" w:right="-180" w:rightChars="-75" w:hanging="14"/>
              <w:textAlignment w:val="center"/>
              <w:rPr>
                <w:bCs/>
                <w:szCs w:val="24"/>
                <w:highlight w:val="none"/>
              </w:rPr>
            </w:pPr>
            <w:r>
              <w:rPr>
                <w:rFonts w:hint="eastAsia"/>
                <w:bCs/>
                <w:szCs w:val="24"/>
                <w:highlight w:val="none"/>
              </w:rPr>
              <w:t>GB 50242-2002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10" w:hRule="atLeast"/>
        </w:trPr>
        <w:tc>
          <w:tcPr>
            <w:tcW w:w="736" w:type="dxa"/>
            <w:vAlign w:val="center"/>
          </w:tcPr>
          <w:p>
            <w:pPr>
              <w:spacing w:after="0" w:line="240" w:lineRule="auto"/>
              <w:ind w:left="732" w:right="-180" w:rightChars="-75" w:hanging="732" w:hangingChars="305"/>
              <w:jc w:val="center"/>
              <w:textAlignment w:val="center"/>
              <w:rPr>
                <w:bCs/>
                <w:szCs w:val="24"/>
                <w:highlight w:val="none"/>
              </w:rPr>
            </w:pPr>
            <w:r>
              <w:rPr>
                <w:rFonts w:hint="eastAsia"/>
                <w:bCs/>
                <w:szCs w:val="24"/>
                <w:highlight w:val="none"/>
              </w:rPr>
              <w:t>5</w:t>
            </w:r>
          </w:p>
        </w:tc>
        <w:tc>
          <w:tcPr>
            <w:tcW w:w="5447" w:type="dxa"/>
            <w:vAlign w:val="center"/>
          </w:tcPr>
          <w:p>
            <w:pPr>
              <w:spacing w:after="0" w:line="240" w:lineRule="auto"/>
              <w:ind w:left="14" w:right="-180" w:rightChars="-75" w:hanging="14"/>
              <w:textAlignment w:val="center"/>
              <w:rPr>
                <w:bCs/>
                <w:szCs w:val="24"/>
                <w:highlight w:val="none"/>
              </w:rPr>
            </w:pPr>
            <w:r>
              <w:rPr>
                <w:rFonts w:hint="eastAsia"/>
                <w:bCs/>
                <w:szCs w:val="24"/>
                <w:highlight w:val="none"/>
              </w:rPr>
              <w:t>《给水排水管道工程施工及验收规范》</w:t>
            </w:r>
          </w:p>
        </w:tc>
        <w:tc>
          <w:tcPr>
            <w:tcW w:w="2143" w:type="dxa"/>
            <w:vAlign w:val="center"/>
          </w:tcPr>
          <w:p>
            <w:pPr>
              <w:spacing w:after="0" w:line="240" w:lineRule="auto"/>
              <w:ind w:left="254" w:right="-180" w:rightChars="-75" w:hanging="14"/>
              <w:textAlignment w:val="center"/>
              <w:rPr>
                <w:bCs/>
                <w:szCs w:val="24"/>
                <w:highlight w:val="none"/>
              </w:rPr>
            </w:pPr>
            <w:r>
              <w:rPr>
                <w:rFonts w:hint="eastAsia"/>
                <w:bCs/>
                <w:szCs w:val="24"/>
                <w:highlight w:val="none"/>
              </w:rPr>
              <w:t>GB 50268-2008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10" w:hRule="atLeast"/>
        </w:trPr>
        <w:tc>
          <w:tcPr>
            <w:tcW w:w="8326" w:type="dxa"/>
            <w:gridSpan w:val="3"/>
            <w:vAlign w:val="center"/>
          </w:tcPr>
          <w:p>
            <w:pPr>
              <w:spacing w:after="0" w:line="240" w:lineRule="auto"/>
              <w:ind w:left="732" w:right="-180" w:rightChars="-75" w:hanging="732" w:hangingChars="305"/>
              <w:jc w:val="center"/>
              <w:textAlignment w:val="center"/>
              <w:rPr>
                <w:bCs/>
                <w:szCs w:val="24"/>
                <w:highlight w:val="none"/>
              </w:rPr>
            </w:pPr>
            <w:r>
              <w:rPr>
                <w:rFonts w:hint="eastAsia"/>
                <w:bCs/>
                <w:szCs w:val="24"/>
                <w:highlight w:val="none"/>
              </w:rPr>
              <w:t>消防主要标准、规范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10" w:hRule="atLeast"/>
        </w:trPr>
        <w:tc>
          <w:tcPr>
            <w:tcW w:w="736" w:type="dxa"/>
            <w:vAlign w:val="center"/>
          </w:tcPr>
          <w:p>
            <w:pPr>
              <w:spacing w:after="0" w:line="240" w:lineRule="auto"/>
              <w:ind w:left="732" w:right="-180" w:rightChars="-75" w:hanging="732" w:hangingChars="305"/>
              <w:jc w:val="center"/>
              <w:textAlignment w:val="center"/>
              <w:rPr>
                <w:bCs/>
                <w:szCs w:val="24"/>
                <w:highlight w:val="none"/>
              </w:rPr>
            </w:pPr>
            <w:r>
              <w:rPr>
                <w:rFonts w:hint="eastAsia"/>
                <w:bCs/>
                <w:szCs w:val="24"/>
                <w:highlight w:val="none"/>
              </w:rPr>
              <w:t>1</w:t>
            </w:r>
          </w:p>
        </w:tc>
        <w:tc>
          <w:tcPr>
            <w:tcW w:w="5447" w:type="dxa"/>
            <w:vAlign w:val="center"/>
          </w:tcPr>
          <w:p>
            <w:pPr>
              <w:spacing w:after="0" w:line="240" w:lineRule="auto"/>
              <w:ind w:left="14" w:right="-180" w:rightChars="-75" w:hanging="14"/>
              <w:textAlignment w:val="center"/>
              <w:rPr>
                <w:bCs/>
                <w:szCs w:val="24"/>
                <w:highlight w:val="none"/>
              </w:rPr>
            </w:pPr>
            <w:r>
              <w:rPr>
                <w:rFonts w:hint="eastAsia"/>
                <w:bCs/>
                <w:szCs w:val="24"/>
                <w:highlight w:val="none"/>
              </w:rPr>
              <w:t>《气体灭火系统设计规范》</w:t>
            </w:r>
          </w:p>
        </w:tc>
        <w:tc>
          <w:tcPr>
            <w:tcW w:w="2143" w:type="dxa"/>
            <w:vAlign w:val="center"/>
          </w:tcPr>
          <w:p>
            <w:pPr>
              <w:spacing w:after="0" w:line="240" w:lineRule="auto"/>
              <w:ind w:left="1134" w:right="-180" w:rightChars="-75" w:hanging="894"/>
              <w:textAlignment w:val="center"/>
              <w:rPr>
                <w:bCs/>
                <w:szCs w:val="24"/>
                <w:highlight w:val="none"/>
              </w:rPr>
            </w:pPr>
            <w:r>
              <w:rPr>
                <w:rFonts w:hint="eastAsia"/>
                <w:bCs/>
                <w:szCs w:val="24"/>
                <w:highlight w:val="none"/>
              </w:rPr>
              <w:t>GB 50370-20</w:t>
            </w:r>
            <w:r>
              <w:rPr>
                <w:bCs/>
                <w:szCs w:val="24"/>
                <w:highlight w:val="none"/>
              </w:rPr>
              <w:t>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10" w:hRule="atLeast"/>
        </w:trPr>
        <w:tc>
          <w:tcPr>
            <w:tcW w:w="736" w:type="dxa"/>
            <w:vAlign w:val="center"/>
          </w:tcPr>
          <w:p>
            <w:pPr>
              <w:spacing w:after="0" w:line="240" w:lineRule="auto"/>
              <w:ind w:left="732" w:right="-180" w:rightChars="-75" w:hanging="732" w:hangingChars="305"/>
              <w:jc w:val="center"/>
              <w:textAlignment w:val="center"/>
              <w:rPr>
                <w:bCs/>
                <w:szCs w:val="24"/>
                <w:highlight w:val="none"/>
              </w:rPr>
            </w:pPr>
            <w:r>
              <w:rPr>
                <w:rFonts w:hint="eastAsia"/>
                <w:bCs/>
                <w:szCs w:val="24"/>
                <w:highlight w:val="none"/>
              </w:rPr>
              <w:t>2</w:t>
            </w:r>
          </w:p>
        </w:tc>
        <w:tc>
          <w:tcPr>
            <w:tcW w:w="5447" w:type="dxa"/>
            <w:vAlign w:val="center"/>
          </w:tcPr>
          <w:p>
            <w:pPr>
              <w:spacing w:after="0" w:line="240" w:lineRule="auto"/>
              <w:ind w:left="14" w:right="-180" w:rightChars="-75" w:hanging="14"/>
              <w:textAlignment w:val="center"/>
              <w:rPr>
                <w:bCs/>
                <w:szCs w:val="24"/>
                <w:highlight w:val="none"/>
              </w:rPr>
            </w:pPr>
            <w:r>
              <w:rPr>
                <w:rFonts w:hint="eastAsia"/>
                <w:bCs/>
                <w:szCs w:val="24"/>
                <w:highlight w:val="none"/>
              </w:rPr>
              <w:t>《气体灭火系统施工及验收规范》</w:t>
            </w:r>
          </w:p>
        </w:tc>
        <w:tc>
          <w:tcPr>
            <w:tcW w:w="2143" w:type="dxa"/>
            <w:vAlign w:val="center"/>
          </w:tcPr>
          <w:p>
            <w:pPr>
              <w:spacing w:after="0" w:line="240" w:lineRule="auto"/>
              <w:ind w:left="1134" w:right="-180" w:rightChars="-75" w:hanging="894"/>
              <w:textAlignment w:val="center"/>
              <w:rPr>
                <w:bCs/>
                <w:szCs w:val="24"/>
                <w:highlight w:val="none"/>
              </w:rPr>
            </w:pPr>
            <w:r>
              <w:rPr>
                <w:rFonts w:hint="eastAsia"/>
                <w:bCs/>
                <w:szCs w:val="24"/>
                <w:highlight w:val="none"/>
              </w:rPr>
              <w:t>GB 50263-20</w:t>
            </w:r>
            <w:r>
              <w:rPr>
                <w:bCs/>
                <w:szCs w:val="24"/>
                <w:highlight w:val="none"/>
              </w:rPr>
              <w:t>1</w:t>
            </w:r>
            <w:r>
              <w:rPr>
                <w:rFonts w:hint="eastAsia"/>
                <w:bCs/>
                <w:szCs w:val="24"/>
                <w:highlight w:val="none"/>
              </w:rPr>
              <w:t>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10" w:hRule="atLeast"/>
        </w:trPr>
        <w:tc>
          <w:tcPr>
            <w:tcW w:w="736" w:type="dxa"/>
            <w:vAlign w:val="center"/>
          </w:tcPr>
          <w:p>
            <w:pPr>
              <w:spacing w:after="0" w:line="240" w:lineRule="auto"/>
              <w:ind w:left="732" w:right="-180" w:rightChars="-75" w:hanging="732" w:hangingChars="305"/>
              <w:jc w:val="center"/>
              <w:textAlignment w:val="center"/>
              <w:rPr>
                <w:bCs/>
                <w:szCs w:val="24"/>
                <w:highlight w:val="none"/>
              </w:rPr>
            </w:pPr>
            <w:r>
              <w:rPr>
                <w:rFonts w:hint="eastAsia"/>
                <w:bCs/>
                <w:szCs w:val="24"/>
                <w:highlight w:val="none"/>
              </w:rPr>
              <w:t>3</w:t>
            </w:r>
          </w:p>
        </w:tc>
        <w:tc>
          <w:tcPr>
            <w:tcW w:w="5447" w:type="dxa"/>
            <w:vAlign w:val="center"/>
          </w:tcPr>
          <w:p>
            <w:pPr>
              <w:spacing w:after="0" w:line="240" w:lineRule="auto"/>
              <w:ind w:left="14" w:right="-180" w:rightChars="-75" w:hanging="14"/>
              <w:textAlignment w:val="center"/>
              <w:rPr>
                <w:bCs/>
                <w:szCs w:val="24"/>
                <w:highlight w:val="none"/>
              </w:rPr>
            </w:pPr>
            <w:r>
              <w:rPr>
                <w:rFonts w:hint="eastAsia"/>
                <w:bCs/>
                <w:szCs w:val="24"/>
                <w:highlight w:val="none"/>
              </w:rPr>
              <w:t>《气体灭火系统及部件》</w:t>
            </w:r>
          </w:p>
        </w:tc>
        <w:tc>
          <w:tcPr>
            <w:tcW w:w="2143" w:type="dxa"/>
            <w:vAlign w:val="center"/>
          </w:tcPr>
          <w:p>
            <w:pPr>
              <w:spacing w:after="0" w:line="240" w:lineRule="auto"/>
              <w:ind w:left="1134" w:right="-180" w:rightChars="-75" w:hanging="894"/>
              <w:textAlignment w:val="center"/>
              <w:rPr>
                <w:bCs/>
                <w:szCs w:val="24"/>
                <w:highlight w:val="none"/>
              </w:rPr>
            </w:pPr>
            <w:r>
              <w:rPr>
                <w:rFonts w:hint="eastAsia"/>
                <w:bCs/>
                <w:szCs w:val="24"/>
                <w:highlight w:val="none"/>
              </w:rPr>
              <w:t>GB 25972-2010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10" w:hRule="atLeast"/>
        </w:trPr>
        <w:tc>
          <w:tcPr>
            <w:tcW w:w="736" w:type="dxa"/>
            <w:vAlign w:val="center"/>
          </w:tcPr>
          <w:p>
            <w:pPr>
              <w:spacing w:after="0" w:line="240" w:lineRule="auto"/>
              <w:ind w:left="732" w:right="-180" w:rightChars="-75" w:hanging="732" w:hangingChars="305"/>
              <w:jc w:val="center"/>
              <w:textAlignment w:val="center"/>
              <w:rPr>
                <w:bCs/>
                <w:szCs w:val="24"/>
                <w:highlight w:val="none"/>
              </w:rPr>
            </w:pPr>
            <w:r>
              <w:rPr>
                <w:rFonts w:hint="eastAsia"/>
                <w:bCs/>
                <w:szCs w:val="24"/>
                <w:highlight w:val="none"/>
              </w:rPr>
              <w:t>4</w:t>
            </w:r>
          </w:p>
        </w:tc>
        <w:tc>
          <w:tcPr>
            <w:tcW w:w="5447" w:type="dxa"/>
            <w:vAlign w:val="center"/>
          </w:tcPr>
          <w:p>
            <w:pPr>
              <w:spacing w:after="0" w:line="240" w:lineRule="auto"/>
              <w:ind w:left="14" w:right="-180" w:rightChars="-75" w:hanging="14"/>
              <w:textAlignment w:val="center"/>
              <w:rPr>
                <w:bCs/>
                <w:szCs w:val="24"/>
                <w:highlight w:val="none"/>
              </w:rPr>
            </w:pPr>
            <w:r>
              <w:rPr>
                <w:rFonts w:hint="eastAsia"/>
                <w:bCs/>
                <w:szCs w:val="24"/>
                <w:highlight w:val="none"/>
              </w:rPr>
              <w:t>《火灾自动报警系统设计规范》</w:t>
            </w:r>
          </w:p>
        </w:tc>
        <w:tc>
          <w:tcPr>
            <w:tcW w:w="2143" w:type="dxa"/>
            <w:vAlign w:val="center"/>
          </w:tcPr>
          <w:p>
            <w:pPr>
              <w:spacing w:after="0" w:line="240" w:lineRule="auto"/>
              <w:ind w:left="1134" w:right="-180" w:rightChars="-75" w:hanging="894"/>
              <w:textAlignment w:val="center"/>
              <w:rPr>
                <w:bCs/>
                <w:szCs w:val="24"/>
                <w:highlight w:val="none"/>
              </w:rPr>
            </w:pPr>
            <w:r>
              <w:rPr>
                <w:rFonts w:hint="eastAsia"/>
                <w:bCs/>
                <w:szCs w:val="24"/>
                <w:highlight w:val="none"/>
              </w:rPr>
              <w:t>GB 50116-201</w:t>
            </w:r>
            <w:r>
              <w:rPr>
                <w:bCs/>
                <w:szCs w:val="24"/>
                <w:highlight w:val="none"/>
              </w:rPr>
              <w:t>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10" w:hRule="atLeast"/>
        </w:trPr>
        <w:tc>
          <w:tcPr>
            <w:tcW w:w="736" w:type="dxa"/>
            <w:vAlign w:val="center"/>
          </w:tcPr>
          <w:p>
            <w:pPr>
              <w:spacing w:after="0" w:line="240" w:lineRule="auto"/>
              <w:ind w:left="732" w:right="-180" w:rightChars="-75" w:hanging="732" w:hangingChars="305"/>
              <w:jc w:val="center"/>
              <w:textAlignment w:val="center"/>
              <w:rPr>
                <w:bCs/>
                <w:szCs w:val="24"/>
                <w:highlight w:val="none"/>
              </w:rPr>
            </w:pPr>
            <w:r>
              <w:rPr>
                <w:rFonts w:hint="eastAsia"/>
                <w:bCs/>
                <w:szCs w:val="24"/>
                <w:highlight w:val="none"/>
              </w:rPr>
              <w:t>5</w:t>
            </w:r>
          </w:p>
        </w:tc>
        <w:tc>
          <w:tcPr>
            <w:tcW w:w="5447" w:type="dxa"/>
            <w:vAlign w:val="center"/>
          </w:tcPr>
          <w:p>
            <w:pPr>
              <w:spacing w:after="0" w:line="240" w:lineRule="auto"/>
              <w:ind w:left="14" w:right="-180" w:rightChars="-75" w:hanging="14"/>
              <w:textAlignment w:val="center"/>
              <w:rPr>
                <w:bCs/>
                <w:szCs w:val="24"/>
                <w:highlight w:val="none"/>
              </w:rPr>
            </w:pPr>
            <w:r>
              <w:rPr>
                <w:rFonts w:hint="eastAsia"/>
                <w:bCs/>
                <w:szCs w:val="24"/>
                <w:highlight w:val="none"/>
              </w:rPr>
              <w:t>《火灾自动报警系统施工及验收规范》</w:t>
            </w:r>
          </w:p>
        </w:tc>
        <w:tc>
          <w:tcPr>
            <w:tcW w:w="2143" w:type="dxa"/>
            <w:vAlign w:val="center"/>
          </w:tcPr>
          <w:p>
            <w:pPr>
              <w:spacing w:after="0" w:line="240" w:lineRule="auto"/>
              <w:ind w:left="1134" w:right="-180" w:rightChars="-75" w:hanging="894"/>
              <w:textAlignment w:val="center"/>
              <w:rPr>
                <w:bCs/>
                <w:szCs w:val="24"/>
                <w:highlight w:val="none"/>
              </w:rPr>
            </w:pPr>
            <w:r>
              <w:rPr>
                <w:rFonts w:hint="eastAsia"/>
                <w:bCs/>
                <w:szCs w:val="24"/>
                <w:highlight w:val="none"/>
              </w:rPr>
              <w:t>GB 50166-20</w:t>
            </w:r>
            <w:r>
              <w:rPr>
                <w:bCs/>
                <w:szCs w:val="24"/>
                <w:highlight w:val="none"/>
              </w:rPr>
              <w:t>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10" w:hRule="atLeast"/>
        </w:trPr>
        <w:tc>
          <w:tcPr>
            <w:tcW w:w="736" w:type="dxa"/>
            <w:vAlign w:val="center"/>
          </w:tcPr>
          <w:p>
            <w:pPr>
              <w:spacing w:after="0" w:line="240" w:lineRule="auto"/>
              <w:ind w:left="732" w:right="-180" w:rightChars="-75" w:hanging="732" w:hangingChars="305"/>
              <w:jc w:val="center"/>
              <w:textAlignment w:val="center"/>
              <w:rPr>
                <w:bCs/>
                <w:szCs w:val="24"/>
                <w:highlight w:val="none"/>
              </w:rPr>
            </w:pPr>
            <w:r>
              <w:rPr>
                <w:bCs/>
                <w:szCs w:val="24"/>
                <w:highlight w:val="none"/>
              </w:rPr>
              <w:t>6</w:t>
            </w:r>
          </w:p>
        </w:tc>
        <w:tc>
          <w:tcPr>
            <w:tcW w:w="5447" w:type="dxa"/>
            <w:vAlign w:val="center"/>
          </w:tcPr>
          <w:p>
            <w:pPr>
              <w:spacing w:after="0" w:line="240" w:lineRule="auto"/>
              <w:ind w:left="14" w:right="-180" w:rightChars="-75" w:hanging="14"/>
              <w:textAlignment w:val="center"/>
              <w:rPr>
                <w:bCs/>
                <w:szCs w:val="24"/>
                <w:highlight w:val="none"/>
              </w:rPr>
            </w:pPr>
            <w:r>
              <w:rPr>
                <w:rFonts w:hint="eastAsia"/>
                <w:bCs/>
                <w:szCs w:val="24"/>
                <w:highlight w:val="none"/>
              </w:rPr>
              <w:t>《消防给水及消火栓系统技术规范》</w:t>
            </w:r>
          </w:p>
        </w:tc>
        <w:tc>
          <w:tcPr>
            <w:tcW w:w="2143" w:type="dxa"/>
            <w:vAlign w:val="center"/>
          </w:tcPr>
          <w:p>
            <w:pPr>
              <w:spacing w:after="0" w:line="240" w:lineRule="auto"/>
              <w:ind w:left="1134" w:right="-180" w:rightChars="-75" w:hanging="894"/>
              <w:textAlignment w:val="center"/>
              <w:rPr>
                <w:bCs/>
                <w:szCs w:val="24"/>
                <w:highlight w:val="none"/>
              </w:rPr>
            </w:pPr>
            <w:r>
              <w:rPr>
                <w:rFonts w:hint="eastAsia"/>
                <w:bCs/>
                <w:szCs w:val="24"/>
                <w:highlight w:val="none"/>
              </w:rPr>
              <w:t>GB 50974-201</w:t>
            </w:r>
            <w:r>
              <w:rPr>
                <w:bCs/>
                <w:szCs w:val="24"/>
                <w:highlight w:val="none"/>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10" w:hRule="atLeast"/>
        </w:trPr>
        <w:tc>
          <w:tcPr>
            <w:tcW w:w="736" w:type="dxa"/>
            <w:vAlign w:val="center"/>
          </w:tcPr>
          <w:p>
            <w:pPr>
              <w:spacing w:after="0" w:line="240" w:lineRule="auto"/>
              <w:ind w:left="732" w:right="-180" w:rightChars="-75" w:hanging="732" w:hangingChars="305"/>
              <w:jc w:val="center"/>
              <w:textAlignment w:val="center"/>
              <w:rPr>
                <w:bCs/>
                <w:szCs w:val="24"/>
                <w:highlight w:val="none"/>
              </w:rPr>
            </w:pPr>
            <w:r>
              <w:rPr>
                <w:bCs/>
                <w:szCs w:val="24"/>
                <w:highlight w:val="none"/>
              </w:rPr>
              <w:t>7</w:t>
            </w:r>
          </w:p>
        </w:tc>
        <w:tc>
          <w:tcPr>
            <w:tcW w:w="5447" w:type="dxa"/>
            <w:vAlign w:val="center"/>
          </w:tcPr>
          <w:p>
            <w:pPr>
              <w:spacing w:after="0" w:line="240" w:lineRule="auto"/>
              <w:ind w:left="14" w:right="-180" w:rightChars="-75" w:hanging="14"/>
              <w:textAlignment w:val="center"/>
              <w:rPr>
                <w:bCs/>
                <w:szCs w:val="24"/>
                <w:highlight w:val="none"/>
              </w:rPr>
            </w:pPr>
            <w:r>
              <w:rPr>
                <w:rFonts w:hint="eastAsia"/>
                <w:bCs/>
                <w:szCs w:val="24"/>
                <w:highlight w:val="none"/>
              </w:rPr>
              <w:t>《消防应急照明和疏散指示系统技术标准》</w:t>
            </w:r>
          </w:p>
        </w:tc>
        <w:tc>
          <w:tcPr>
            <w:tcW w:w="2143" w:type="dxa"/>
            <w:vAlign w:val="center"/>
          </w:tcPr>
          <w:p>
            <w:pPr>
              <w:spacing w:after="0" w:line="240" w:lineRule="auto"/>
              <w:ind w:left="1134" w:right="-180" w:rightChars="-75" w:hanging="894"/>
              <w:textAlignment w:val="center"/>
              <w:rPr>
                <w:bCs/>
                <w:szCs w:val="24"/>
                <w:highlight w:val="none"/>
              </w:rPr>
            </w:pPr>
            <w:r>
              <w:rPr>
                <w:rFonts w:hint="eastAsia"/>
                <w:bCs/>
                <w:szCs w:val="24"/>
                <w:highlight w:val="none"/>
              </w:rPr>
              <w:t>GB 51309-2018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10" w:hRule="atLeast"/>
        </w:trPr>
        <w:tc>
          <w:tcPr>
            <w:tcW w:w="736" w:type="dxa"/>
            <w:vAlign w:val="center"/>
          </w:tcPr>
          <w:p>
            <w:pPr>
              <w:spacing w:after="0" w:line="240" w:lineRule="auto"/>
              <w:ind w:left="732" w:right="-180" w:rightChars="-75" w:hanging="732" w:hangingChars="305"/>
              <w:jc w:val="center"/>
              <w:textAlignment w:val="center"/>
              <w:rPr>
                <w:bCs/>
                <w:szCs w:val="24"/>
                <w:highlight w:val="none"/>
              </w:rPr>
            </w:pPr>
            <w:r>
              <w:rPr>
                <w:bCs/>
                <w:szCs w:val="24"/>
                <w:highlight w:val="none"/>
              </w:rPr>
              <w:t>8</w:t>
            </w:r>
          </w:p>
        </w:tc>
        <w:tc>
          <w:tcPr>
            <w:tcW w:w="5447" w:type="dxa"/>
            <w:vAlign w:val="center"/>
          </w:tcPr>
          <w:p>
            <w:pPr>
              <w:spacing w:after="0" w:line="240" w:lineRule="auto"/>
              <w:ind w:left="14" w:right="-180" w:rightChars="-75" w:hanging="14"/>
              <w:textAlignment w:val="center"/>
              <w:rPr>
                <w:bCs/>
                <w:szCs w:val="24"/>
                <w:highlight w:val="none"/>
              </w:rPr>
            </w:pPr>
            <w:r>
              <w:rPr>
                <w:rFonts w:hint="eastAsia"/>
                <w:bCs/>
                <w:szCs w:val="24"/>
                <w:highlight w:val="none"/>
              </w:rPr>
              <w:t>《消防控制室通用技术要求》</w:t>
            </w:r>
          </w:p>
        </w:tc>
        <w:tc>
          <w:tcPr>
            <w:tcW w:w="2143" w:type="dxa"/>
            <w:vAlign w:val="center"/>
          </w:tcPr>
          <w:p>
            <w:pPr>
              <w:spacing w:after="0" w:line="240" w:lineRule="auto"/>
              <w:ind w:left="1134" w:right="-180" w:rightChars="-75" w:hanging="894"/>
              <w:textAlignment w:val="center"/>
              <w:rPr>
                <w:bCs/>
                <w:szCs w:val="24"/>
                <w:highlight w:val="none"/>
              </w:rPr>
            </w:pPr>
            <w:r>
              <w:rPr>
                <w:rFonts w:hint="eastAsia"/>
                <w:bCs/>
                <w:szCs w:val="24"/>
                <w:highlight w:val="none"/>
              </w:rPr>
              <w:t>GB 25506-201</w:t>
            </w:r>
            <w:r>
              <w:rPr>
                <w:bCs/>
                <w:szCs w:val="24"/>
                <w:highlight w:val="none"/>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10" w:hRule="atLeast"/>
        </w:trPr>
        <w:tc>
          <w:tcPr>
            <w:tcW w:w="736" w:type="dxa"/>
            <w:vAlign w:val="center"/>
          </w:tcPr>
          <w:p>
            <w:pPr>
              <w:spacing w:after="0" w:line="240" w:lineRule="auto"/>
              <w:ind w:left="732" w:right="-180" w:rightChars="-75" w:hanging="732" w:hangingChars="305"/>
              <w:jc w:val="center"/>
              <w:textAlignment w:val="center"/>
              <w:rPr>
                <w:bCs/>
                <w:szCs w:val="24"/>
                <w:highlight w:val="none"/>
              </w:rPr>
            </w:pPr>
            <w:r>
              <w:rPr>
                <w:bCs/>
                <w:szCs w:val="24"/>
                <w:highlight w:val="none"/>
              </w:rPr>
              <w:t>9</w:t>
            </w:r>
          </w:p>
        </w:tc>
        <w:tc>
          <w:tcPr>
            <w:tcW w:w="5447" w:type="dxa"/>
            <w:vAlign w:val="center"/>
          </w:tcPr>
          <w:p>
            <w:pPr>
              <w:spacing w:after="0" w:line="240" w:lineRule="auto"/>
              <w:ind w:left="14" w:right="-180" w:rightChars="-75" w:hanging="14"/>
              <w:textAlignment w:val="center"/>
              <w:rPr>
                <w:bCs/>
                <w:szCs w:val="24"/>
                <w:highlight w:val="none"/>
              </w:rPr>
            </w:pPr>
            <w:r>
              <w:rPr>
                <w:rFonts w:hint="eastAsia"/>
                <w:bCs/>
                <w:szCs w:val="24"/>
                <w:highlight w:val="none"/>
              </w:rPr>
              <w:t>《惰性气体灭火剂》</w:t>
            </w:r>
          </w:p>
        </w:tc>
        <w:tc>
          <w:tcPr>
            <w:tcW w:w="2143" w:type="dxa"/>
            <w:vAlign w:val="center"/>
          </w:tcPr>
          <w:p>
            <w:pPr>
              <w:spacing w:after="0" w:line="240" w:lineRule="auto"/>
              <w:ind w:left="1134" w:right="-180" w:rightChars="-75" w:hanging="894"/>
              <w:textAlignment w:val="center"/>
              <w:rPr>
                <w:bCs/>
                <w:szCs w:val="24"/>
                <w:highlight w:val="none"/>
              </w:rPr>
            </w:pPr>
            <w:r>
              <w:rPr>
                <w:rFonts w:hint="eastAsia"/>
                <w:bCs/>
                <w:szCs w:val="24"/>
                <w:highlight w:val="none"/>
              </w:rPr>
              <w:t>GB 20128-2006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10" w:hRule="atLeast"/>
        </w:trPr>
        <w:tc>
          <w:tcPr>
            <w:tcW w:w="736" w:type="dxa"/>
            <w:vAlign w:val="center"/>
          </w:tcPr>
          <w:p>
            <w:pPr>
              <w:spacing w:after="0" w:line="240" w:lineRule="auto"/>
              <w:ind w:left="732" w:right="-180" w:rightChars="-75" w:hanging="732" w:hangingChars="305"/>
              <w:jc w:val="center"/>
              <w:textAlignment w:val="center"/>
              <w:rPr>
                <w:bCs/>
                <w:szCs w:val="24"/>
                <w:highlight w:val="none"/>
              </w:rPr>
            </w:pPr>
            <w:r>
              <w:rPr>
                <w:bCs/>
                <w:szCs w:val="24"/>
                <w:highlight w:val="none"/>
              </w:rPr>
              <w:t>10</w:t>
            </w:r>
          </w:p>
        </w:tc>
        <w:tc>
          <w:tcPr>
            <w:tcW w:w="5447" w:type="dxa"/>
            <w:vAlign w:val="center"/>
          </w:tcPr>
          <w:p>
            <w:pPr>
              <w:spacing w:after="0" w:line="240" w:lineRule="auto"/>
              <w:ind w:left="14" w:right="-180" w:rightChars="-75" w:hanging="14"/>
              <w:textAlignment w:val="center"/>
              <w:rPr>
                <w:bCs/>
                <w:szCs w:val="24"/>
                <w:highlight w:val="none"/>
              </w:rPr>
            </w:pPr>
            <w:r>
              <w:rPr>
                <w:rFonts w:hint="eastAsia"/>
                <w:bCs/>
                <w:szCs w:val="24"/>
                <w:highlight w:val="none"/>
              </w:rPr>
              <w:t>《防火门监控器》</w:t>
            </w:r>
          </w:p>
        </w:tc>
        <w:tc>
          <w:tcPr>
            <w:tcW w:w="2143" w:type="dxa"/>
            <w:vAlign w:val="center"/>
          </w:tcPr>
          <w:p>
            <w:pPr>
              <w:spacing w:after="0" w:line="240" w:lineRule="auto"/>
              <w:ind w:left="1134" w:right="-180" w:rightChars="-75" w:hanging="894"/>
              <w:textAlignment w:val="center"/>
              <w:rPr>
                <w:bCs/>
                <w:szCs w:val="24"/>
                <w:highlight w:val="none"/>
              </w:rPr>
            </w:pPr>
            <w:r>
              <w:rPr>
                <w:rFonts w:hint="eastAsia"/>
                <w:bCs/>
                <w:szCs w:val="24"/>
                <w:highlight w:val="none"/>
              </w:rPr>
              <w:t>GB 29364-2012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10" w:hRule="atLeast"/>
        </w:trPr>
        <w:tc>
          <w:tcPr>
            <w:tcW w:w="736" w:type="dxa"/>
            <w:vAlign w:val="center"/>
          </w:tcPr>
          <w:p>
            <w:pPr>
              <w:spacing w:after="0" w:line="240" w:lineRule="auto"/>
              <w:ind w:left="732" w:right="-180" w:rightChars="-75" w:hanging="732" w:hangingChars="305"/>
              <w:jc w:val="center"/>
              <w:textAlignment w:val="center"/>
              <w:rPr>
                <w:bCs/>
                <w:szCs w:val="24"/>
                <w:highlight w:val="none"/>
              </w:rPr>
            </w:pPr>
            <w:r>
              <w:rPr>
                <w:bCs/>
                <w:szCs w:val="24"/>
                <w:highlight w:val="none"/>
              </w:rPr>
              <w:t>11</w:t>
            </w:r>
          </w:p>
        </w:tc>
        <w:tc>
          <w:tcPr>
            <w:tcW w:w="5447" w:type="dxa"/>
            <w:vAlign w:val="center"/>
          </w:tcPr>
          <w:p>
            <w:pPr>
              <w:spacing w:after="0" w:line="240" w:lineRule="auto"/>
              <w:ind w:left="14" w:right="-180" w:rightChars="-75" w:hanging="14"/>
              <w:textAlignment w:val="center"/>
              <w:rPr>
                <w:bCs/>
                <w:szCs w:val="24"/>
                <w:highlight w:val="none"/>
              </w:rPr>
            </w:pPr>
            <w:r>
              <w:rPr>
                <w:rFonts w:hint="eastAsia"/>
                <w:bCs/>
                <w:szCs w:val="24"/>
                <w:highlight w:val="none"/>
              </w:rPr>
              <w:t>《消防安全标志设置要求》</w:t>
            </w:r>
          </w:p>
        </w:tc>
        <w:tc>
          <w:tcPr>
            <w:tcW w:w="2143" w:type="dxa"/>
            <w:vAlign w:val="center"/>
          </w:tcPr>
          <w:p>
            <w:pPr>
              <w:spacing w:after="0" w:line="240" w:lineRule="auto"/>
              <w:ind w:left="1134" w:right="-180" w:rightChars="-75" w:hanging="894"/>
              <w:textAlignment w:val="center"/>
              <w:rPr>
                <w:bCs/>
                <w:szCs w:val="24"/>
                <w:highlight w:val="none"/>
              </w:rPr>
            </w:pPr>
            <w:r>
              <w:rPr>
                <w:rFonts w:hint="eastAsia"/>
                <w:bCs/>
                <w:szCs w:val="24"/>
                <w:highlight w:val="none"/>
              </w:rPr>
              <w:t>GB 15630-</w:t>
            </w:r>
            <w:r>
              <w:rPr>
                <w:bCs/>
                <w:szCs w:val="24"/>
                <w:highlight w:val="none"/>
              </w:rPr>
              <w:t>2015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10" w:hRule="atLeast"/>
        </w:trPr>
        <w:tc>
          <w:tcPr>
            <w:tcW w:w="736" w:type="dxa"/>
            <w:vAlign w:val="center"/>
          </w:tcPr>
          <w:p>
            <w:pPr>
              <w:spacing w:after="0" w:line="240" w:lineRule="auto"/>
              <w:ind w:left="732" w:right="-180" w:rightChars="-75" w:hanging="732" w:hangingChars="305"/>
              <w:jc w:val="center"/>
              <w:textAlignment w:val="center"/>
              <w:rPr>
                <w:bCs/>
                <w:szCs w:val="24"/>
                <w:highlight w:val="none"/>
              </w:rPr>
            </w:pPr>
            <w:r>
              <w:rPr>
                <w:bCs/>
                <w:szCs w:val="24"/>
                <w:highlight w:val="none"/>
              </w:rPr>
              <w:t>12</w:t>
            </w:r>
          </w:p>
        </w:tc>
        <w:tc>
          <w:tcPr>
            <w:tcW w:w="5447" w:type="dxa"/>
            <w:vAlign w:val="center"/>
          </w:tcPr>
          <w:p>
            <w:pPr>
              <w:spacing w:after="0" w:line="240" w:lineRule="auto"/>
              <w:ind w:left="14" w:right="-180" w:rightChars="-75" w:hanging="14"/>
              <w:textAlignment w:val="center"/>
              <w:rPr>
                <w:bCs/>
                <w:szCs w:val="24"/>
                <w:highlight w:val="none"/>
              </w:rPr>
            </w:pPr>
            <w:r>
              <w:rPr>
                <w:rFonts w:hint="eastAsia"/>
                <w:bCs/>
                <w:szCs w:val="24"/>
                <w:highlight w:val="none"/>
              </w:rPr>
              <w:t>《建筑灭火器配置设计规范》</w:t>
            </w:r>
          </w:p>
        </w:tc>
        <w:tc>
          <w:tcPr>
            <w:tcW w:w="2143" w:type="dxa"/>
            <w:vAlign w:val="center"/>
          </w:tcPr>
          <w:p>
            <w:pPr>
              <w:spacing w:after="0" w:line="240" w:lineRule="auto"/>
              <w:ind w:left="1134" w:right="-180" w:rightChars="-75" w:hanging="894"/>
              <w:textAlignment w:val="center"/>
              <w:rPr>
                <w:bCs/>
                <w:szCs w:val="24"/>
                <w:highlight w:val="none"/>
              </w:rPr>
            </w:pPr>
            <w:r>
              <w:rPr>
                <w:rFonts w:hint="eastAsia"/>
                <w:bCs/>
                <w:szCs w:val="24"/>
                <w:highlight w:val="none"/>
              </w:rPr>
              <w:t>GB 50140-20</w:t>
            </w:r>
            <w:r>
              <w:rPr>
                <w:bCs/>
                <w:szCs w:val="24"/>
                <w:highlight w:val="none"/>
              </w:rPr>
              <w:t>19</w:t>
            </w:r>
          </w:p>
        </w:tc>
      </w:tr>
      <w:bookmarkEnd w:id="140"/>
    </w:tbl>
    <w:p>
      <w:pPr>
        <w:spacing w:line="360" w:lineRule="auto"/>
        <w:ind w:left="240" w:right="-180" w:rightChars="-75" w:firstLine="480" w:firstLineChars="200"/>
        <w:rPr>
          <w:color w:val="auto"/>
          <w:szCs w:val="24"/>
          <w:highlight w:val="none"/>
        </w:rPr>
      </w:pPr>
      <w:r>
        <w:rPr>
          <w:rFonts w:hint="eastAsia"/>
          <w:color w:val="auto"/>
          <w:szCs w:val="24"/>
          <w:highlight w:val="none"/>
        </w:rPr>
        <w:t>其它相关现行国家和广州市地方设计规范、规程和标准；如国家已发布最新相关标准规范，以最新标准规范为准。</w:t>
      </w:r>
    </w:p>
    <w:p>
      <w:pPr>
        <w:pStyle w:val="4"/>
        <w:numPr>
          <w:ilvl w:val="0"/>
          <w:numId w:val="57"/>
        </w:numPr>
        <w:spacing w:before="0" w:after="0" w:line="360" w:lineRule="auto"/>
        <w:ind w:left="1134" w:right="-180" w:rightChars="-75" w:hanging="708"/>
        <w:rPr>
          <w:color w:val="auto"/>
          <w:sz w:val="24"/>
          <w:szCs w:val="24"/>
          <w:highlight w:val="none"/>
        </w:rPr>
      </w:pPr>
      <w:r>
        <w:rPr>
          <w:rFonts w:hint="eastAsia"/>
          <w:color w:val="auto"/>
          <w:sz w:val="24"/>
          <w:szCs w:val="24"/>
          <w:highlight w:val="none"/>
        </w:rPr>
        <w:t>系统的技术要求</w:t>
      </w:r>
    </w:p>
    <w:p>
      <w:pPr>
        <w:pStyle w:val="5"/>
        <w:numPr>
          <w:ilvl w:val="0"/>
          <w:numId w:val="58"/>
        </w:numPr>
        <w:tabs>
          <w:tab w:val="left" w:pos="1440"/>
        </w:tabs>
        <w:ind w:left="1134" w:right="-180" w:rightChars="-75" w:hanging="708"/>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装饰装修系统</w:t>
      </w:r>
    </w:p>
    <w:p>
      <w:pPr>
        <w:pStyle w:val="6"/>
        <w:ind w:left="1134" w:right="-180" w:rightChars="-75" w:hanging="708"/>
        <w:rPr>
          <w:color w:val="auto"/>
          <w:sz w:val="24"/>
          <w:szCs w:val="24"/>
          <w:highlight w:val="none"/>
        </w:rPr>
      </w:pPr>
      <w:r>
        <w:rPr>
          <w:color w:val="auto"/>
          <w:sz w:val="24"/>
          <w:szCs w:val="24"/>
          <w:highlight w:val="none"/>
        </w:rPr>
        <w:t>1</w:t>
      </w:r>
      <w:r>
        <w:rPr>
          <w:rFonts w:hint="eastAsia"/>
          <w:color w:val="auto"/>
          <w:sz w:val="24"/>
          <w:szCs w:val="24"/>
          <w:highlight w:val="none"/>
        </w:rPr>
        <w:t>、</w:t>
      </w:r>
      <w:r>
        <w:rPr>
          <w:color w:val="auto"/>
          <w:sz w:val="24"/>
          <w:szCs w:val="24"/>
          <w:highlight w:val="none"/>
        </w:rPr>
        <w:t>工程概述</w:t>
      </w:r>
    </w:p>
    <w:p>
      <w:pPr>
        <w:spacing w:line="360" w:lineRule="auto"/>
        <w:ind w:left="240" w:right="-180" w:rightChars="-75" w:firstLine="480" w:firstLineChars="200"/>
        <w:rPr>
          <w:color w:val="auto"/>
          <w:szCs w:val="24"/>
          <w:highlight w:val="none"/>
        </w:rPr>
      </w:pPr>
      <w:r>
        <w:rPr>
          <w:color w:val="auto"/>
          <w:szCs w:val="24"/>
          <w:highlight w:val="none"/>
        </w:rPr>
        <w:t>本项目装饰装修工程主要是对</w:t>
      </w:r>
      <w:r>
        <w:rPr>
          <w:rFonts w:hint="eastAsia"/>
          <w:color w:val="auto"/>
          <w:szCs w:val="24"/>
          <w:highlight w:val="none"/>
        </w:rPr>
        <w:t>信息机房</w:t>
      </w:r>
      <w:r>
        <w:rPr>
          <w:color w:val="auto"/>
          <w:szCs w:val="24"/>
          <w:highlight w:val="none"/>
        </w:rPr>
        <w:t>机房及相关辅助区域进行装修施工，范围包括墙面、吊顶、地面、门窗等工程。</w:t>
      </w:r>
    </w:p>
    <w:p>
      <w:pPr>
        <w:spacing w:line="360" w:lineRule="auto"/>
        <w:ind w:left="240" w:right="-180" w:rightChars="-75" w:firstLine="480" w:firstLineChars="200"/>
        <w:rPr>
          <w:color w:val="auto"/>
          <w:szCs w:val="24"/>
          <w:highlight w:val="none"/>
        </w:rPr>
      </w:pPr>
      <w:r>
        <w:rPr>
          <w:color w:val="auto"/>
          <w:szCs w:val="24"/>
          <w:highlight w:val="none"/>
        </w:rPr>
        <w:t>机房装饰装修宗旨：既要与现代化的机房设备相匹配，又能通过精良、独特的设计构思，真正体现“现代、高雅、美观、适用”的整体形象。</w:t>
      </w:r>
    </w:p>
    <w:p>
      <w:pPr>
        <w:spacing w:line="360" w:lineRule="auto"/>
        <w:ind w:left="240" w:right="-180" w:rightChars="-75" w:firstLine="480" w:firstLineChars="200"/>
        <w:rPr>
          <w:color w:val="auto"/>
          <w:szCs w:val="24"/>
          <w:highlight w:val="none"/>
        </w:rPr>
      </w:pPr>
      <w:r>
        <w:rPr>
          <w:color w:val="auto"/>
          <w:szCs w:val="24"/>
          <w:highlight w:val="none"/>
        </w:rPr>
        <w:t>机房室内装潢设计应遵循的原则：要体现出作为重要信息汇集地的室内装潢特点；在充分考虑计算机系统、通讯、空调、UPS等设备的安全性、可靠性、先进性的前提下</w:t>
      </w:r>
      <w:r>
        <w:rPr>
          <w:rFonts w:hint="eastAsia"/>
          <w:color w:val="auto"/>
          <w:szCs w:val="24"/>
          <w:highlight w:val="none"/>
        </w:rPr>
        <w:t>，</w:t>
      </w:r>
      <w:r>
        <w:rPr>
          <w:color w:val="auto"/>
          <w:szCs w:val="24"/>
          <w:highlight w:val="none"/>
        </w:rPr>
        <w:t>达到高雅、大方、简朴的风格；机房室内装潢基本格调要简明、淡雅、柔和。</w:t>
      </w:r>
    </w:p>
    <w:p>
      <w:pPr>
        <w:spacing w:line="360" w:lineRule="auto"/>
        <w:ind w:left="240" w:right="-180" w:rightChars="-75" w:firstLine="480" w:firstLineChars="200"/>
        <w:rPr>
          <w:color w:val="auto"/>
          <w:szCs w:val="24"/>
          <w:highlight w:val="none"/>
        </w:rPr>
      </w:pPr>
      <w:r>
        <w:rPr>
          <w:color w:val="auto"/>
          <w:szCs w:val="24"/>
          <w:highlight w:val="none"/>
        </w:rPr>
        <w:t>中心机房装修材料选择无毒、无刺激性、不燃、难燃、阻燃材料，充分考虑环保因素，有利于工作人员的自身健康。</w:t>
      </w:r>
    </w:p>
    <w:p>
      <w:pPr>
        <w:pStyle w:val="6"/>
        <w:ind w:left="1134" w:right="-180" w:rightChars="-75" w:hanging="708"/>
        <w:rPr>
          <w:color w:val="auto"/>
          <w:sz w:val="24"/>
          <w:szCs w:val="24"/>
          <w:highlight w:val="none"/>
        </w:rPr>
      </w:pPr>
      <w:r>
        <w:rPr>
          <w:rFonts w:hint="eastAsia"/>
          <w:color w:val="auto"/>
          <w:sz w:val="24"/>
          <w:szCs w:val="24"/>
          <w:highlight w:val="none"/>
        </w:rPr>
        <w:t>2、</w:t>
      </w:r>
      <w:r>
        <w:rPr>
          <w:color w:val="auto"/>
          <w:sz w:val="24"/>
          <w:szCs w:val="24"/>
          <w:highlight w:val="none"/>
        </w:rPr>
        <w:t>施工原则</w:t>
      </w:r>
    </w:p>
    <w:p>
      <w:pPr>
        <w:spacing w:line="360" w:lineRule="auto"/>
        <w:ind w:left="240" w:right="-180" w:rightChars="-75" w:firstLine="480" w:firstLineChars="200"/>
        <w:rPr>
          <w:color w:val="auto"/>
          <w:szCs w:val="24"/>
          <w:highlight w:val="none"/>
        </w:rPr>
      </w:pPr>
      <w:r>
        <w:rPr>
          <w:rFonts w:hint="eastAsia"/>
          <w:color w:val="auto"/>
          <w:szCs w:val="24"/>
          <w:highlight w:val="none"/>
        </w:rPr>
        <w:t>信息机房</w:t>
      </w:r>
      <w:r>
        <w:rPr>
          <w:color w:val="auto"/>
          <w:szCs w:val="24"/>
          <w:highlight w:val="none"/>
        </w:rPr>
        <w:t>机房室内装修，应选用气密性好、不起尘、易清洁、符合环保要求、在温度和湿度变化作用下变形小、具有表面静电耗散性能的材料，不得使用强吸湿性材料及未经表面改性处理的高分子绝缘材料作为面层。</w:t>
      </w:r>
    </w:p>
    <w:p>
      <w:pPr>
        <w:spacing w:line="360" w:lineRule="auto"/>
        <w:ind w:left="240" w:right="-180" w:rightChars="-75" w:firstLine="480" w:firstLineChars="200"/>
        <w:rPr>
          <w:color w:val="auto"/>
          <w:szCs w:val="24"/>
          <w:highlight w:val="none"/>
        </w:rPr>
      </w:pPr>
      <w:r>
        <w:rPr>
          <w:rFonts w:hint="eastAsia"/>
          <w:color w:val="auto"/>
          <w:szCs w:val="24"/>
          <w:highlight w:val="none"/>
        </w:rPr>
        <w:t>信息机房</w:t>
      </w:r>
      <w:r>
        <w:rPr>
          <w:color w:val="auto"/>
          <w:szCs w:val="24"/>
          <w:highlight w:val="none"/>
        </w:rPr>
        <w:t>机房内墙壁和顶棚的装修应满足使用功能要求，表面应平整、光滑不起尘、避免炫光，并应减少凹凸面。</w:t>
      </w:r>
    </w:p>
    <w:p>
      <w:pPr>
        <w:spacing w:line="360" w:lineRule="auto"/>
        <w:ind w:left="240" w:right="-180" w:rightChars="-75" w:firstLine="480" w:firstLineChars="200"/>
        <w:rPr>
          <w:color w:val="auto"/>
          <w:szCs w:val="24"/>
          <w:highlight w:val="none"/>
        </w:rPr>
      </w:pPr>
      <w:r>
        <w:rPr>
          <w:color w:val="auto"/>
          <w:szCs w:val="24"/>
          <w:highlight w:val="none"/>
        </w:rPr>
        <w:t>防静电活动地板下的地面和房间顶面装饰应不起尘、不易积灰、易于清洁的材料。楼板和地面应采取保温、防潮措施，围护结构宜采取防结露措施。</w:t>
      </w:r>
    </w:p>
    <w:p>
      <w:pPr>
        <w:spacing w:line="360" w:lineRule="auto"/>
        <w:ind w:left="240" w:right="-180" w:rightChars="-75" w:firstLine="480" w:firstLineChars="200"/>
        <w:rPr>
          <w:color w:val="auto"/>
          <w:szCs w:val="24"/>
          <w:highlight w:val="none"/>
        </w:rPr>
      </w:pPr>
      <w:r>
        <w:rPr>
          <w:color w:val="auto"/>
          <w:szCs w:val="24"/>
          <w:highlight w:val="none"/>
        </w:rPr>
        <w:t>当</w:t>
      </w:r>
      <w:r>
        <w:rPr>
          <w:rFonts w:hint="eastAsia"/>
          <w:color w:val="auto"/>
          <w:szCs w:val="24"/>
          <w:highlight w:val="none"/>
        </w:rPr>
        <w:t>信息机房</w:t>
      </w:r>
      <w:r>
        <w:rPr>
          <w:color w:val="auto"/>
          <w:szCs w:val="24"/>
          <w:highlight w:val="none"/>
        </w:rPr>
        <w:t>机房内设有用水设备时，应采取防止水漫溢和渗漏措施。</w:t>
      </w:r>
    </w:p>
    <w:p>
      <w:pPr>
        <w:spacing w:line="360" w:lineRule="auto"/>
        <w:ind w:left="240" w:right="-180" w:rightChars="-75" w:firstLine="480" w:firstLineChars="200"/>
        <w:rPr>
          <w:color w:val="auto"/>
          <w:szCs w:val="24"/>
          <w:highlight w:val="none"/>
        </w:rPr>
      </w:pPr>
      <w:r>
        <w:rPr>
          <w:rFonts w:hint="eastAsia"/>
          <w:color w:val="auto"/>
          <w:szCs w:val="24"/>
          <w:highlight w:val="none"/>
        </w:rPr>
        <w:t>信息机房</w:t>
      </w:r>
      <w:r>
        <w:rPr>
          <w:color w:val="auto"/>
          <w:szCs w:val="24"/>
          <w:highlight w:val="none"/>
        </w:rPr>
        <w:t>机房门窗、墙壁、地面的构造和施工缝隙，均应采取密闭措施。</w:t>
      </w:r>
    </w:p>
    <w:p>
      <w:pPr>
        <w:pStyle w:val="6"/>
        <w:ind w:left="1134" w:right="-180" w:rightChars="-75" w:hanging="708"/>
        <w:rPr>
          <w:color w:val="auto"/>
          <w:sz w:val="24"/>
          <w:szCs w:val="24"/>
          <w:highlight w:val="none"/>
        </w:rPr>
      </w:pPr>
      <w:r>
        <w:rPr>
          <w:rFonts w:hint="eastAsia"/>
          <w:color w:val="auto"/>
          <w:sz w:val="24"/>
          <w:szCs w:val="24"/>
          <w:highlight w:val="none"/>
        </w:rPr>
        <w:t>3、吊顶</w:t>
      </w:r>
      <w:r>
        <w:rPr>
          <w:color w:val="auto"/>
          <w:sz w:val="24"/>
          <w:szCs w:val="24"/>
          <w:highlight w:val="none"/>
        </w:rPr>
        <w:t>工程概况</w:t>
      </w:r>
    </w:p>
    <w:p>
      <w:pPr>
        <w:spacing w:line="360" w:lineRule="auto"/>
        <w:ind w:left="240" w:right="-180" w:rightChars="-75" w:firstLine="480" w:firstLineChars="200"/>
        <w:rPr>
          <w:color w:val="auto"/>
          <w:szCs w:val="24"/>
          <w:highlight w:val="none"/>
        </w:rPr>
      </w:pPr>
      <w:r>
        <w:rPr>
          <w:rFonts w:hint="eastAsia"/>
          <w:color w:val="auto"/>
          <w:szCs w:val="24"/>
          <w:highlight w:val="none"/>
        </w:rPr>
        <w:t>互联网D</w:t>
      </w:r>
      <w:r>
        <w:rPr>
          <w:color w:val="auto"/>
          <w:szCs w:val="24"/>
          <w:highlight w:val="none"/>
        </w:rPr>
        <w:t>MZ</w:t>
      </w:r>
      <w:r>
        <w:rPr>
          <w:rFonts w:hint="eastAsia"/>
          <w:color w:val="auto"/>
          <w:szCs w:val="24"/>
          <w:highlight w:val="none"/>
        </w:rPr>
        <w:t>区域、核心设备区域（一）、核心设备区域（二）、核心网络和安全设备区域、U</w:t>
      </w:r>
      <w:r>
        <w:rPr>
          <w:color w:val="auto"/>
          <w:szCs w:val="24"/>
          <w:highlight w:val="none"/>
        </w:rPr>
        <w:t>PS</w:t>
      </w:r>
      <w:r>
        <w:rPr>
          <w:rFonts w:hint="eastAsia"/>
          <w:color w:val="auto"/>
          <w:szCs w:val="24"/>
          <w:highlight w:val="none"/>
        </w:rPr>
        <w:t>配电间、主控机房、气瓶间（不在本包范围内）板底</w:t>
      </w:r>
      <w:r>
        <w:rPr>
          <w:color w:val="auto"/>
          <w:szCs w:val="24"/>
          <w:highlight w:val="none"/>
        </w:rPr>
        <w:t>及梁墙沿上部全面抹灰修补并刷防尘乳胶漆。</w:t>
      </w:r>
    </w:p>
    <w:p>
      <w:pPr>
        <w:spacing w:line="360" w:lineRule="auto"/>
        <w:ind w:left="240" w:right="-180" w:rightChars="-75" w:firstLine="480" w:firstLineChars="200"/>
        <w:rPr>
          <w:color w:val="auto"/>
          <w:szCs w:val="24"/>
          <w:highlight w:val="none"/>
        </w:rPr>
      </w:pPr>
      <w:r>
        <w:rPr>
          <w:rFonts w:hint="eastAsia"/>
          <w:color w:val="auto"/>
          <w:szCs w:val="24"/>
          <w:highlight w:val="none"/>
        </w:rPr>
        <w:t>互联网D</w:t>
      </w:r>
      <w:r>
        <w:rPr>
          <w:color w:val="auto"/>
          <w:szCs w:val="24"/>
          <w:highlight w:val="none"/>
        </w:rPr>
        <w:t>MZ</w:t>
      </w:r>
      <w:r>
        <w:rPr>
          <w:rFonts w:hint="eastAsia"/>
          <w:color w:val="auto"/>
          <w:szCs w:val="24"/>
          <w:highlight w:val="none"/>
        </w:rPr>
        <w:t>区域、核心设备区域（一）、核心设备区域（二）、核心网络和安全设备区域、U</w:t>
      </w:r>
      <w:r>
        <w:rPr>
          <w:color w:val="auto"/>
          <w:szCs w:val="24"/>
          <w:highlight w:val="none"/>
        </w:rPr>
        <w:t>PS</w:t>
      </w:r>
      <w:r>
        <w:rPr>
          <w:rFonts w:hint="eastAsia"/>
          <w:color w:val="auto"/>
          <w:szCs w:val="24"/>
          <w:highlight w:val="none"/>
        </w:rPr>
        <w:t>配电间、主控机房、气瓶间（不在本包范围内）</w:t>
      </w:r>
      <w:r>
        <w:rPr>
          <w:color w:val="auto"/>
          <w:szCs w:val="24"/>
          <w:highlight w:val="none"/>
        </w:rPr>
        <w:t>安装铝质微孔天花规格为600*600*0.8mm；配原厂专用龙骨及配件，整齐划一，并可以减少空调冷气的损耗。</w:t>
      </w:r>
    </w:p>
    <w:p>
      <w:pPr>
        <w:pStyle w:val="6"/>
        <w:ind w:left="1134" w:right="-180" w:rightChars="-75" w:hanging="708"/>
        <w:rPr>
          <w:color w:val="auto"/>
          <w:sz w:val="24"/>
          <w:szCs w:val="24"/>
          <w:highlight w:val="none"/>
        </w:rPr>
      </w:pPr>
      <w:r>
        <w:rPr>
          <w:rFonts w:hint="eastAsia"/>
          <w:color w:val="auto"/>
          <w:sz w:val="24"/>
          <w:szCs w:val="24"/>
          <w:highlight w:val="none"/>
        </w:rPr>
        <w:t>4、</w:t>
      </w:r>
      <w:r>
        <w:rPr>
          <w:color w:val="auto"/>
          <w:sz w:val="24"/>
          <w:szCs w:val="24"/>
          <w:highlight w:val="none"/>
        </w:rPr>
        <w:t>地</w:t>
      </w:r>
      <w:r>
        <w:rPr>
          <w:rFonts w:hint="eastAsia"/>
          <w:color w:val="auto"/>
          <w:sz w:val="24"/>
          <w:szCs w:val="24"/>
          <w:highlight w:val="none"/>
        </w:rPr>
        <w:t>面</w:t>
      </w:r>
      <w:r>
        <w:rPr>
          <w:color w:val="auto"/>
          <w:sz w:val="24"/>
          <w:szCs w:val="24"/>
          <w:highlight w:val="none"/>
        </w:rPr>
        <w:t>工程概况</w:t>
      </w:r>
    </w:p>
    <w:p>
      <w:pPr>
        <w:spacing w:line="360" w:lineRule="auto"/>
        <w:ind w:left="240" w:right="-180" w:rightChars="-75" w:firstLine="480" w:firstLineChars="200"/>
        <w:rPr>
          <w:color w:val="auto"/>
          <w:szCs w:val="24"/>
          <w:highlight w:val="none"/>
        </w:rPr>
      </w:pPr>
      <w:r>
        <w:rPr>
          <w:rFonts w:hint="eastAsia"/>
          <w:color w:val="auto"/>
          <w:szCs w:val="24"/>
          <w:highlight w:val="none"/>
        </w:rPr>
        <w:t>互联网D</w:t>
      </w:r>
      <w:r>
        <w:rPr>
          <w:color w:val="auto"/>
          <w:szCs w:val="24"/>
          <w:highlight w:val="none"/>
        </w:rPr>
        <w:t>MZ</w:t>
      </w:r>
      <w:r>
        <w:rPr>
          <w:rFonts w:hint="eastAsia"/>
          <w:color w:val="auto"/>
          <w:szCs w:val="24"/>
          <w:highlight w:val="none"/>
        </w:rPr>
        <w:t>区域、核心设备区域（一）、核心设备区域（二）、核心网络和安全设备区域、U</w:t>
      </w:r>
      <w:r>
        <w:rPr>
          <w:color w:val="auto"/>
          <w:szCs w:val="24"/>
          <w:highlight w:val="none"/>
        </w:rPr>
        <w:t>PS</w:t>
      </w:r>
      <w:r>
        <w:rPr>
          <w:rFonts w:hint="eastAsia"/>
          <w:color w:val="auto"/>
          <w:szCs w:val="24"/>
          <w:highlight w:val="none"/>
        </w:rPr>
        <w:t>配电间、主控机房</w:t>
      </w:r>
      <w:r>
        <w:rPr>
          <w:color w:val="auto"/>
          <w:szCs w:val="24"/>
          <w:highlight w:val="none"/>
        </w:rPr>
        <w:t>地面进行基层清理</w:t>
      </w:r>
      <w:r>
        <w:rPr>
          <w:rFonts w:hint="eastAsia"/>
          <w:color w:val="auto"/>
          <w:szCs w:val="24"/>
          <w:highlight w:val="none"/>
        </w:rPr>
        <w:t>，</w:t>
      </w:r>
      <w:r>
        <w:rPr>
          <w:color w:val="auto"/>
          <w:szCs w:val="24"/>
          <w:highlight w:val="none"/>
        </w:rPr>
        <w:t>水泥沙浆找平修补。</w:t>
      </w:r>
      <w:r>
        <w:rPr>
          <w:rFonts w:hint="eastAsia"/>
          <w:color w:val="auto"/>
          <w:szCs w:val="24"/>
          <w:highlight w:val="none"/>
        </w:rPr>
        <w:t>互联网D</w:t>
      </w:r>
      <w:r>
        <w:rPr>
          <w:color w:val="auto"/>
          <w:szCs w:val="24"/>
          <w:highlight w:val="none"/>
        </w:rPr>
        <w:t>MZ</w:t>
      </w:r>
      <w:r>
        <w:rPr>
          <w:rFonts w:hint="eastAsia"/>
          <w:color w:val="auto"/>
          <w:szCs w:val="24"/>
          <w:highlight w:val="none"/>
        </w:rPr>
        <w:t>区域、核心设备区域（一）、核心设备区域（二）、核心网络和安全设备区域、U</w:t>
      </w:r>
      <w:r>
        <w:rPr>
          <w:color w:val="auto"/>
          <w:szCs w:val="24"/>
          <w:highlight w:val="none"/>
        </w:rPr>
        <w:t>PS</w:t>
      </w:r>
      <w:r>
        <w:rPr>
          <w:rFonts w:hint="eastAsia"/>
          <w:color w:val="auto"/>
          <w:szCs w:val="24"/>
          <w:highlight w:val="none"/>
        </w:rPr>
        <w:t>配电间、主控机房</w:t>
      </w:r>
      <w:r>
        <w:rPr>
          <w:color w:val="auto"/>
          <w:szCs w:val="24"/>
          <w:highlight w:val="none"/>
        </w:rPr>
        <w:t>地面刷防尘漆两遍</w:t>
      </w:r>
      <w:r>
        <w:rPr>
          <w:rFonts w:hint="eastAsia"/>
          <w:color w:val="auto"/>
          <w:szCs w:val="24"/>
          <w:highlight w:val="none"/>
        </w:rPr>
        <w:t>，防静电地板架空300mm高</w:t>
      </w:r>
      <w:r>
        <w:rPr>
          <w:color w:val="auto"/>
          <w:szCs w:val="24"/>
          <w:highlight w:val="none"/>
        </w:rPr>
        <w:t>；</w:t>
      </w:r>
      <w:r>
        <w:rPr>
          <w:rFonts w:hint="eastAsia"/>
          <w:color w:val="auto"/>
          <w:szCs w:val="24"/>
          <w:highlight w:val="none"/>
        </w:rPr>
        <w:t>地板下的地面和墙面四壁做找平、防尘处理，防静电地板按照国家标准要求铺装，互联网D</w:t>
      </w:r>
      <w:r>
        <w:rPr>
          <w:color w:val="auto"/>
          <w:szCs w:val="24"/>
          <w:highlight w:val="none"/>
        </w:rPr>
        <w:t>MZ</w:t>
      </w:r>
      <w:r>
        <w:rPr>
          <w:rFonts w:hint="eastAsia"/>
          <w:color w:val="auto"/>
          <w:szCs w:val="24"/>
          <w:highlight w:val="none"/>
        </w:rPr>
        <w:t>区域、核心设备区域（一）、核心设备区域（二）、核心网络和安全设备区域、U</w:t>
      </w:r>
      <w:r>
        <w:rPr>
          <w:color w:val="auto"/>
          <w:szCs w:val="24"/>
          <w:highlight w:val="none"/>
        </w:rPr>
        <w:t>PS</w:t>
      </w:r>
      <w:r>
        <w:rPr>
          <w:rFonts w:hint="eastAsia"/>
          <w:color w:val="auto"/>
          <w:szCs w:val="24"/>
          <w:highlight w:val="none"/>
        </w:rPr>
        <w:t>配电间、主控机房架空地板下做等电位接地，整个地板支架通过导线连接成一个金属整体，并与主接地良好连接。</w:t>
      </w:r>
    </w:p>
    <w:p>
      <w:pPr>
        <w:pStyle w:val="6"/>
        <w:ind w:left="1134" w:right="-180" w:rightChars="-75" w:hanging="708"/>
        <w:rPr>
          <w:color w:val="auto"/>
          <w:sz w:val="24"/>
          <w:szCs w:val="24"/>
          <w:highlight w:val="none"/>
        </w:rPr>
      </w:pPr>
      <w:r>
        <w:rPr>
          <w:rFonts w:hint="eastAsia"/>
          <w:color w:val="auto"/>
          <w:sz w:val="24"/>
          <w:szCs w:val="24"/>
          <w:highlight w:val="none"/>
        </w:rPr>
        <w:t>5、</w:t>
      </w:r>
      <w:r>
        <w:rPr>
          <w:color w:val="auto"/>
          <w:sz w:val="24"/>
          <w:szCs w:val="24"/>
          <w:highlight w:val="none"/>
        </w:rPr>
        <w:t>墙面工程</w:t>
      </w:r>
      <w:r>
        <w:rPr>
          <w:rFonts w:ascii="宋体" w:hAnsi="宋体" w:eastAsia="宋体" w:cs="Times New Roman"/>
          <w:b/>
          <w:bCs/>
          <w:color w:val="auto"/>
          <w:kern w:val="2"/>
          <w:sz w:val="24"/>
          <w:szCs w:val="24"/>
          <w:highlight w:val="none"/>
          <w:lang w:val="en-US" w:eastAsia="zh-CN" w:bidi="ar-SA"/>
        </w:rPr>
        <w:t>概况</w:t>
      </w:r>
    </w:p>
    <w:p>
      <w:pPr>
        <w:spacing w:line="360" w:lineRule="auto"/>
        <w:ind w:left="240" w:right="-180" w:rightChars="-75" w:firstLine="480" w:firstLineChars="200"/>
        <w:rPr>
          <w:color w:val="auto"/>
          <w:szCs w:val="24"/>
          <w:highlight w:val="none"/>
        </w:rPr>
      </w:pPr>
      <w:r>
        <w:rPr>
          <w:rFonts w:hint="eastAsia"/>
          <w:color w:val="auto"/>
          <w:szCs w:val="24"/>
          <w:highlight w:val="none"/>
        </w:rPr>
        <w:t>互联网D</w:t>
      </w:r>
      <w:r>
        <w:rPr>
          <w:color w:val="auto"/>
          <w:szCs w:val="24"/>
          <w:highlight w:val="none"/>
        </w:rPr>
        <w:t>MZ</w:t>
      </w:r>
      <w:r>
        <w:rPr>
          <w:rFonts w:hint="eastAsia"/>
          <w:color w:val="auto"/>
          <w:szCs w:val="24"/>
          <w:highlight w:val="none"/>
        </w:rPr>
        <w:t>区域、核心设备区域（一）、核心设备区域（二）、核心网络和安全设备区域</w:t>
      </w:r>
      <w:r>
        <w:rPr>
          <w:color w:val="auto"/>
          <w:szCs w:val="24"/>
          <w:highlight w:val="none"/>
        </w:rPr>
        <w:t>采</w:t>
      </w:r>
      <w:r>
        <w:rPr>
          <w:rFonts w:hint="eastAsia"/>
          <w:color w:val="auto"/>
          <w:szCs w:val="24"/>
          <w:highlight w:val="none"/>
        </w:rPr>
        <w:t>用</w:t>
      </w:r>
      <w:r>
        <w:rPr>
          <w:color w:val="auto"/>
          <w:szCs w:val="24"/>
          <w:highlight w:val="none"/>
        </w:rPr>
        <w:t>机房彩钢板饰面墙，机房彩钢板内侧空隙填充</w:t>
      </w:r>
      <w:r>
        <w:rPr>
          <w:rFonts w:hint="eastAsia"/>
          <w:color w:val="auto"/>
          <w:szCs w:val="24"/>
          <w:highlight w:val="none"/>
        </w:rPr>
        <w:t>50mm厚岩棉</w:t>
      </w:r>
      <w:r>
        <w:rPr>
          <w:color w:val="auto"/>
          <w:szCs w:val="24"/>
          <w:highlight w:val="none"/>
        </w:rPr>
        <w:t>做保温、节能处理</w:t>
      </w:r>
      <w:r>
        <w:rPr>
          <w:rFonts w:hint="eastAsia"/>
          <w:color w:val="auto"/>
          <w:szCs w:val="24"/>
          <w:highlight w:val="none"/>
        </w:rPr>
        <w:t>，</w:t>
      </w:r>
      <w:r>
        <w:rPr>
          <w:color w:val="auto"/>
          <w:szCs w:val="24"/>
          <w:highlight w:val="none"/>
        </w:rPr>
        <w:t>墙面、柱面下部做不锈钢踢脚线宽100mm，与地板间无缝衔接。</w:t>
      </w:r>
      <w:r>
        <w:rPr>
          <w:rFonts w:hint="eastAsia"/>
          <w:color w:val="auto"/>
          <w:szCs w:val="24"/>
          <w:highlight w:val="none"/>
        </w:rPr>
        <w:t>U</w:t>
      </w:r>
      <w:r>
        <w:rPr>
          <w:color w:val="auto"/>
          <w:szCs w:val="24"/>
          <w:highlight w:val="none"/>
        </w:rPr>
        <w:t>PS</w:t>
      </w:r>
      <w:r>
        <w:rPr>
          <w:rFonts w:hint="eastAsia"/>
          <w:color w:val="auto"/>
          <w:szCs w:val="24"/>
          <w:highlight w:val="none"/>
        </w:rPr>
        <w:t>配电间、主控中心</w:t>
      </w:r>
      <w:r>
        <w:rPr>
          <w:color w:val="auto"/>
          <w:szCs w:val="24"/>
          <w:highlight w:val="none"/>
        </w:rPr>
        <w:t>墙面为耐擦洗乳胶漆饰面（铲墙皮、界面剂处理、两遍成品腻子、两遍乳胶漆）</w:t>
      </w:r>
      <w:r>
        <w:rPr>
          <w:rFonts w:hint="eastAsia"/>
          <w:color w:val="auto"/>
          <w:szCs w:val="24"/>
          <w:highlight w:val="none"/>
        </w:rPr>
        <w:t>，</w:t>
      </w:r>
      <w:r>
        <w:rPr>
          <w:color w:val="auto"/>
          <w:szCs w:val="24"/>
          <w:highlight w:val="none"/>
        </w:rPr>
        <w:t>不锈钢踢脚线宽100mm。</w:t>
      </w:r>
    </w:p>
    <w:p>
      <w:pPr>
        <w:spacing w:line="360" w:lineRule="auto"/>
        <w:ind w:left="240" w:right="-180" w:rightChars="-75" w:firstLine="480" w:firstLineChars="200"/>
        <w:rPr>
          <w:color w:val="auto"/>
          <w:szCs w:val="24"/>
          <w:highlight w:val="none"/>
        </w:rPr>
      </w:pPr>
      <w:r>
        <w:rPr>
          <w:rFonts w:hint="eastAsia"/>
          <w:color w:val="auto"/>
          <w:szCs w:val="24"/>
          <w:highlight w:val="none"/>
        </w:rPr>
        <w:t>互联网D</w:t>
      </w:r>
      <w:r>
        <w:rPr>
          <w:color w:val="auto"/>
          <w:szCs w:val="24"/>
          <w:highlight w:val="none"/>
        </w:rPr>
        <w:t>MZ</w:t>
      </w:r>
      <w:r>
        <w:rPr>
          <w:rFonts w:hint="eastAsia"/>
          <w:color w:val="auto"/>
          <w:szCs w:val="24"/>
          <w:highlight w:val="none"/>
        </w:rPr>
        <w:t>区域、核心设备区域（一）、核心设备区域（二）、核心网络和安全设备区域房</w:t>
      </w:r>
      <w:r>
        <w:rPr>
          <w:color w:val="auto"/>
          <w:szCs w:val="24"/>
          <w:highlight w:val="none"/>
        </w:rPr>
        <w:t>、</w:t>
      </w:r>
      <w:r>
        <w:rPr>
          <w:rFonts w:hint="eastAsia"/>
          <w:color w:val="auto"/>
          <w:szCs w:val="24"/>
          <w:highlight w:val="none"/>
        </w:rPr>
        <w:t>U</w:t>
      </w:r>
      <w:r>
        <w:rPr>
          <w:color w:val="auto"/>
          <w:szCs w:val="24"/>
          <w:highlight w:val="none"/>
        </w:rPr>
        <w:t>PS</w:t>
      </w:r>
      <w:r>
        <w:rPr>
          <w:rFonts w:hint="eastAsia"/>
          <w:color w:val="auto"/>
          <w:szCs w:val="24"/>
          <w:highlight w:val="none"/>
        </w:rPr>
        <w:t>配电间</w:t>
      </w:r>
      <w:r>
        <w:rPr>
          <w:color w:val="auto"/>
          <w:szCs w:val="24"/>
          <w:highlight w:val="none"/>
        </w:rPr>
        <w:t>窗户采用轻钢龙骨石膏板隔断进行封堵，填充50厚岩棉板保温，做好外部防水处理。</w:t>
      </w:r>
    </w:p>
    <w:p>
      <w:pPr>
        <w:spacing w:line="360" w:lineRule="auto"/>
        <w:ind w:left="240" w:right="-180" w:rightChars="-75" w:firstLine="480" w:firstLineChars="200"/>
        <w:rPr>
          <w:color w:val="auto"/>
          <w:szCs w:val="24"/>
          <w:highlight w:val="none"/>
        </w:rPr>
      </w:pPr>
      <w:r>
        <w:rPr>
          <w:rFonts w:hint="eastAsia"/>
          <w:color w:val="auto"/>
          <w:szCs w:val="24"/>
          <w:highlight w:val="none"/>
        </w:rPr>
        <w:t>互联网D</w:t>
      </w:r>
      <w:r>
        <w:rPr>
          <w:color w:val="auto"/>
          <w:szCs w:val="24"/>
          <w:highlight w:val="none"/>
        </w:rPr>
        <w:t>MZ</w:t>
      </w:r>
      <w:r>
        <w:rPr>
          <w:rFonts w:hint="eastAsia"/>
          <w:color w:val="auto"/>
          <w:szCs w:val="24"/>
          <w:highlight w:val="none"/>
        </w:rPr>
        <w:t>区域、核心设备区域（一）、核心设备区域（二）、核心网络和安全设备区域隔墙以及与走廊间隔墙采用12mm厚铯钾防火玻璃+80钢管隔断，玻璃隔断吊顶上、地板下部分采用钢骨架+轻钢龙骨+双面单层12mm厚防火石膏板隔断封堵，隔断内填充50mm厚岩棉板，其余功能分区的隔墙均为200mm厚轻质砌块砌筑实墙。</w:t>
      </w:r>
    </w:p>
    <w:p>
      <w:pPr>
        <w:spacing w:line="360" w:lineRule="auto"/>
        <w:ind w:left="240" w:right="-180" w:rightChars="-75" w:firstLine="480" w:firstLineChars="200"/>
        <w:rPr>
          <w:color w:val="auto"/>
          <w:szCs w:val="24"/>
          <w:highlight w:val="none"/>
        </w:rPr>
      </w:pPr>
      <w:r>
        <w:rPr>
          <w:rFonts w:hint="eastAsia"/>
          <w:color w:val="auto"/>
          <w:szCs w:val="24"/>
          <w:highlight w:val="none"/>
        </w:rPr>
        <w:t>信息机房</w:t>
      </w:r>
      <w:r>
        <w:rPr>
          <w:color w:val="auto"/>
          <w:szCs w:val="24"/>
          <w:highlight w:val="none"/>
        </w:rPr>
        <w:t>机房内所有与外界连接的管线槽接口处均应做密封处理，以防止虫、鼠进入机房。</w:t>
      </w:r>
    </w:p>
    <w:p>
      <w:pPr>
        <w:spacing w:line="360" w:lineRule="auto"/>
        <w:ind w:left="240" w:right="-180" w:rightChars="-75" w:firstLine="480" w:firstLineChars="200"/>
        <w:rPr>
          <w:color w:val="auto"/>
          <w:szCs w:val="24"/>
          <w:highlight w:val="none"/>
        </w:rPr>
      </w:pPr>
      <w:r>
        <w:rPr>
          <w:rFonts w:hint="eastAsia"/>
          <w:color w:val="auto"/>
          <w:szCs w:val="24"/>
          <w:highlight w:val="none"/>
        </w:rPr>
        <w:t>互联网D</w:t>
      </w:r>
      <w:r>
        <w:rPr>
          <w:color w:val="auto"/>
          <w:szCs w:val="24"/>
          <w:highlight w:val="none"/>
        </w:rPr>
        <w:t>MZ</w:t>
      </w:r>
      <w:r>
        <w:rPr>
          <w:rFonts w:hint="eastAsia"/>
          <w:color w:val="auto"/>
          <w:szCs w:val="24"/>
          <w:highlight w:val="none"/>
        </w:rPr>
        <w:t>区域、核心设备区域（一）、核心设备区域（二）、核心网络和安全设备区域</w:t>
      </w:r>
      <w:r>
        <w:rPr>
          <w:color w:val="auto"/>
          <w:szCs w:val="24"/>
          <w:highlight w:val="none"/>
        </w:rPr>
        <w:t>入口安装防火玻璃</w:t>
      </w:r>
      <w:r>
        <w:rPr>
          <w:rFonts w:hint="eastAsia"/>
          <w:color w:val="auto"/>
          <w:szCs w:val="24"/>
          <w:highlight w:val="none"/>
        </w:rPr>
        <w:t>密闭</w:t>
      </w:r>
      <w:r>
        <w:rPr>
          <w:color w:val="auto"/>
          <w:szCs w:val="24"/>
          <w:highlight w:val="none"/>
        </w:rPr>
        <w:t>门，</w:t>
      </w:r>
      <w:r>
        <w:rPr>
          <w:rFonts w:hint="eastAsia"/>
          <w:color w:val="auto"/>
          <w:szCs w:val="24"/>
          <w:highlight w:val="none"/>
        </w:rPr>
        <w:t>尺寸为1500*2300mm；其余功能分区</w:t>
      </w:r>
      <w:r>
        <w:rPr>
          <w:color w:val="auto"/>
          <w:szCs w:val="24"/>
          <w:highlight w:val="none"/>
        </w:rPr>
        <w:t>安装</w:t>
      </w:r>
      <w:r>
        <w:rPr>
          <w:rFonts w:hint="eastAsia"/>
          <w:color w:val="auto"/>
          <w:szCs w:val="24"/>
          <w:highlight w:val="none"/>
        </w:rPr>
        <w:t>15</w:t>
      </w:r>
      <w:r>
        <w:rPr>
          <w:color w:val="auto"/>
          <w:szCs w:val="24"/>
          <w:highlight w:val="none"/>
        </w:rPr>
        <w:t>00*2</w:t>
      </w:r>
      <w:r>
        <w:rPr>
          <w:rFonts w:hint="eastAsia"/>
          <w:color w:val="auto"/>
          <w:szCs w:val="24"/>
          <w:highlight w:val="none"/>
        </w:rPr>
        <w:t>3</w:t>
      </w:r>
      <w:r>
        <w:rPr>
          <w:color w:val="auto"/>
          <w:szCs w:val="24"/>
          <w:highlight w:val="none"/>
        </w:rPr>
        <w:t>00mm甲级钢质防火门</w:t>
      </w:r>
      <w:r>
        <w:rPr>
          <w:rFonts w:hint="eastAsia"/>
          <w:color w:val="auto"/>
          <w:szCs w:val="24"/>
          <w:highlight w:val="none"/>
        </w:rPr>
        <w:t>，</w:t>
      </w:r>
      <w:r>
        <w:rPr>
          <w:color w:val="auto"/>
          <w:szCs w:val="24"/>
          <w:highlight w:val="none"/>
        </w:rPr>
        <w:t>所有甲级钢质防火门均为外开门。 </w:t>
      </w:r>
    </w:p>
    <w:p>
      <w:pPr>
        <w:spacing w:line="360" w:lineRule="auto"/>
        <w:ind w:left="240" w:right="-180" w:rightChars="-75" w:firstLine="480" w:firstLineChars="200"/>
        <w:rPr>
          <w:color w:val="auto"/>
          <w:szCs w:val="24"/>
          <w:highlight w:val="none"/>
        </w:rPr>
      </w:pPr>
      <w:r>
        <w:rPr>
          <w:color w:val="auto"/>
          <w:szCs w:val="24"/>
          <w:highlight w:val="none"/>
        </w:rPr>
        <w:t>在精密空调下方设计</w:t>
      </w:r>
      <w:r>
        <w:rPr>
          <w:rFonts w:hint="eastAsia"/>
          <w:color w:val="auto"/>
          <w:szCs w:val="24"/>
          <w:highlight w:val="none"/>
        </w:rPr>
        <w:t>10</w:t>
      </w:r>
      <w:r>
        <w:rPr>
          <w:color w:val="auto"/>
          <w:szCs w:val="24"/>
          <w:highlight w:val="none"/>
        </w:rPr>
        <w:t>0mm高拦水坝，并配备漏水检测系统和紧急排水地漏。</w:t>
      </w:r>
    </w:p>
    <w:p>
      <w:pPr>
        <w:spacing w:line="360" w:lineRule="auto"/>
        <w:ind w:left="240" w:right="-180" w:rightChars="-75" w:firstLine="480" w:firstLineChars="200"/>
        <w:rPr>
          <w:color w:val="auto"/>
          <w:szCs w:val="24"/>
          <w:highlight w:val="none"/>
        </w:rPr>
      </w:pPr>
      <w:r>
        <w:rPr>
          <w:color w:val="auto"/>
          <w:szCs w:val="24"/>
          <w:highlight w:val="none"/>
        </w:rPr>
        <w:t>各项指标均满足《</w:t>
      </w:r>
      <w:r>
        <w:rPr>
          <w:rFonts w:hint="eastAsia"/>
          <w:color w:val="auto"/>
          <w:szCs w:val="24"/>
          <w:highlight w:val="none"/>
        </w:rPr>
        <w:t>数据中心设计规范</w:t>
      </w:r>
      <w:r>
        <w:rPr>
          <w:color w:val="auto"/>
          <w:szCs w:val="24"/>
          <w:highlight w:val="none"/>
        </w:rPr>
        <w:t>》（GB50174-2017）和《建筑内部装修设计防火规范》（GB50222-2015）。</w:t>
      </w:r>
    </w:p>
    <w:p>
      <w:pPr>
        <w:pStyle w:val="6"/>
        <w:ind w:left="1134" w:right="-180" w:rightChars="-75" w:hanging="708"/>
        <w:rPr>
          <w:color w:val="auto"/>
          <w:sz w:val="24"/>
          <w:szCs w:val="24"/>
          <w:highlight w:val="none"/>
        </w:rPr>
      </w:pPr>
      <w:r>
        <w:rPr>
          <w:rFonts w:hint="eastAsia"/>
          <w:color w:val="auto"/>
          <w:sz w:val="24"/>
          <w:szCs w:val="24"/>
          <w:highlight w:val="none"/>
        </w:rPr>
        <w:t>6、</w:t>
      </w:r>
      <w:r>
        <w:rPr>
          <w:color w:val="auto"/>
          <w:sz w:val="24"/>
          <w:szCs w:val="24"/>
          <w:highlight w:val="none"/>
        </w:rPr>
        <w:t>隐蔽部分工程概况</w:t>
      </w:r>
    </w:p>
    <w:p>
      <w:pPr>
        <w:spacing w:line="360" w:lineRule="auto"/>
        <w:ind w:left="240" w:right="-180" w:rightChars="-75" w:firstLine="480" w:firstLineChars="200"/>
        <w:rPr>
          <w:color w:val="auto"/>
          <w:szCs w:val="24"/>
          <w:highlight w:val="none"/>
        </w:rPr>
      </w:pPr>
      <w:r>
        <w:rPr>
          <w:color w:val="auto"/>
          <w:szCs w:val="24"/>
          <w:highlight w:val="none"/>
        </w:rPr>
        <w:t>针对装饰工程中的隐蔽工程，系统设计严格按照国家标准对隐蔽部分材料采取：</w:t>
      </w:r>
    </w:p>
    <w:p>
      <w:pPr>
        <w:spacing w:line="360" w:lineRule="auto"/>
        <w:ind w:left="240" w:right="-180" w:rightChars="-75" w:firstLine="480" w:firstLineChars="200"/>
        <w:rPr>
          <w:color w:val="auto"/>
          <w:szCs w:val="24"/>
          <w:highlight w:val="none"/>
        </w:rPr>
      </w:pPr>
      <w:r>
        <w:rPr>
          <w:color w:val="auto"/>
          <w:szCs w:val="24"/>
          <w:highlight w:val="none"/>
        </w:rPr>
        <w:t>A、墙体部分作防潮处理；</w:t>
      </w:r>
    </w:p>
    <w:p>
      <w:pPr>
        <w:spacing w:line="360" w:lineRule="auto"/>
        <w:ind w:left="240" w:right="-180" w:rightChars="-75" w:firstLine="480" w:firstLineChars="200"/>
        <w:rPr>
          <w:color w:val="auto"/>
          <w:szCs w:val="24"/>
          <w:highlight w:val="none"/>
        </w:rPr>
      </w:pPr>
      <w:r>
        <w:rPr>
          <w:color w:val="auto"/>
          <w:szCs w:val="24"/>
          <w:highlight w:val="none"/>
        </w:rPr>
        <w:t>B、部分非阻燃材料涂刷防火涂料；</w:t>
      </w:r>
    </w:p>
    <w:p>
      <w:pPr>
        <w:spacing w:line="360" w:lineRule="auto"/>
        <w:ind w:left="240" w:right="-180" w:rightChars="-75" w:firstLine="480" w:firstLineChars="200"/>
        <w:rPr>
          <w:color w:val="auto"/>
          <w:szCs w:val="24"/>
          <w:highlight w:val="none"/>
        </w:rPr>
      </w:pPr>
      <w:r>
        <w:rPr>
          <w:color w:val="auto"/>
          <w:szCs w:val="24"/>
          <w:highlight w:val="none"/>
        </w:rPr>
        <w:t>C、所有隐蔽用材必须符合机房用材性能的指标，做到不起尘、阻燃、绝燃，不会产生静电，牢固耐用并无病虫害发生。</w:t>
      </w:r>
    </w:p>
    <w:p>
      <w:pPr>
        <w:pStyle w:val="6"/>
        <w:ind w:left="1134" w:right="-180" w:rightChars="-75" w:hanging="708"/>
        <w:rPr>
          <w:rFonts w:hint="eastAsia"/>
          <w:color w:val="auto"/>
          <w:sz w:val="24"/>
          <w:szCs w:val="24"/>
          <w:highlight w:val="none"/>
        </w:rPr>
      </w:pPr>
      <w:r>
        <w:rPr>
          <w:rFonts w:hint="eastAsia"/>
          <w:color w:val="auto"/>
          <w:sz w:val="24"/>
          <w:szCs w:val="24"/>
          <w:highlight w:val="none"/>
        </w:rPr>
        <w:t>7、防水工程概况</w:t>
      </w:r>
    </w:p>
    <w:p>
      <w:pPr>
        <w:spacing w:line="360" w:lineRule="auto"/>
        <w:ind w:left="240" w:right="-180" w:rightChars="-75" w:firstLine="480" w:firstLineChars="200"/>
        <w:rPr>
          <w:color w:val="auto"/>
          <w:szCs w:val="24"/>
          <w:highlight w:val="none"/>
        </w:rPr>
      </w:pPr>
      <w:r>
        <w:rPr>
          <w:color w:val="auto"/>
          <w:szCs w:val="24"/>
          <w:highlight w:val="none"/>
        </w:rPr>
        <w:t>精密空调安装时，地面安装拦水坝，其上水管从</w:t>
      </w:r>
      <w:r>
        <w:rPr>
          <w:rFonts w:hint="eastAsia"/>
          <w:color w:val="auto"/>
          <w:szCs w:val="24"/>
          <w:highlight w:val="none"/>
        </w:rPr>
        <w:t>设备转换层</w:t>
      </w:r>
      <w:r>
        <w:rPr>
          <w:color w:val="auto"/>
          <w:szCs w:val="24"/>
          <w:highlight w:val="none"/>
        </w:rPr>
        <w:t>软件化水系统处采用吊顶上走管方式至</w:t>
      </w:r>
      <w:r>
        <w:rPr>
          <w:rFonts w:hint="eastAsia"/>
          <w:color w:val="auto"/>
          <w:szCs w:val="24"/>
          <w:highlight w:val="none"/>
        </w:rPr>
        <w:t>精密空调主机</w:t>
      </w:r>
      <w:r>
        <w:rPr>
          <w:color w:val="auto"/>
          <w:szCs w:val="24"/>
          <w:highlight w:val="none"/>
        </w:rPr>
        <w:t>，然后分别引至</w:t>
      </w:r>
      <w:r>
        <w:rPr>
          <w:rFonts w:hint="eastAsia"/>
          <w:color w:val="auto"/>
          <w:szCs w:val="24"/>
          <w:highlight w:val="none"/>
        </w:rPr>
        <w:t>行机</w:t>
      </w:r>
      <w:r>
        <w:rPr>
          <w:color w:val="auto"/>
          <w:szCs w:val="24"/>
          <w:highlight w:val="none"/>
        </w:rPr>
        <w:t>空调</w:t>
      </w:r>
      <w:r>
        <w:rPr>
          <w:rFonts w:hint="eastAsia"/>
          <w:color w:val="auto"/>
          <w:szCs w:val="24"/>
          <w:highlight w:val="none"/>
        </w:rPr>
        <w:t>末端</w:t>
      </w:r>
      <w:r>
        <w:rPr>
          <w:color w:val="auto"/>
          <w:szCs w:val="24"/>
          <w:highlight w:val="none"/>
        </w:rPr>
        <w:t>。上水管加装橡塑保温，防止因温差产生冷凝水。</w:t>
      </w:r>
    </w:p>
    <w:p>
      <w:pPr>
        <w:spacing w:line="360" w:lineRule="auto"/>
        <w:ind w:left="240" w:right="-180" w:rightChars="-75" w:firstLine="480" w:firstLineChars="200"/>
        <w:rPr>
          <w:color w:val="auto"/>
          <w:szCs w:val="24"/>
          <w:highlight w:val="none"/>
        </w:rPr>
      </w:pPr>
      <w:r>
        <w:rPr>
          <w:color w:val="auto"/>
          <w:szCs w:val="24"/>
          <w:highlight w:val="none"/>
        </w:rPr>
        <w:t>精密空调下水管</w:t>
      </w:r>
      <w:r>
        <w:rPr>
          <w:rFonts w:hint="eastAsia"/>
          <w:color w:val="auto"/>
          <w:szCs w:val="24"/>
          <w:highlight w:val="none"/>
        </w:rPr>
        <w:t>穿楼板至设备转换层吊顶上走管方式至下水立管</w:t>
      </w:r>
      <w:r>
        <w:rPr>
          <w:color w:val="auto"/>
          <w:szCs w:val="24"/>
          <w:highlight w:val="none"/>
        </w:rPr>
        <w:t>，并对空调四周及机房四周增加漏水监测，及时监控漏水状况。</w:t>
      </w:r>
    </w:p>
    <w:p>
      <w:pPr>
        <w:spacing w:line="360" w:lineRule="auto"/>
        <w:ind w:left="240" w:right="-180" w:rightChars="-75" w:firstLine="480" w:firstLineChars="200"/>
        <w:rPr>
          <w:color w:val="auto"/>
          <w:szCs w:val="24"/>
          <w:highlight w:val="none"/>
        </w:rPr>
      </w:pPr>
      <w:r>
        <w:rPr>
          <w:color w:val="auto"/>
          <w:szCs w:val="24"/>
          <w:highlight w:val="none"/>
        </w:rPr>
        <w:t xml:space="preserve"> </w:t>
      </w:r>
      <w:r>
        <w:rPr>
          <w:rFonts w:hint="eastAsia"/>
          <w:color w:val="auto"/>
          <w:szCs w:val="24"/>
          <w:highlight w:val="none"/>
        </w:rPr>
        <w:t>设置一</w:t>
      </w:r>
      <w:r>
        <w:rPr>
          <w:color w:val="auto"/>
          <w:szCs w:val="24"/>
          <w:highlight w:val="none"/>
        </w:rPr>
        <w:t>套软化水系统放置在</w:t>
      </w:r>
      <w:r>
        <w:rPr>
          <w:rFonts w:hint="eastAsia"/>
          <w:color w:val="auto"/>
          <w:szCs w:val="24"/>
          <w:highlight w:val="none"/>
        </w:rPr>
        <w:t>机房层口空调机房</w:t>
      </w:r>
      <w:r>
        <w:rPr>
          <w:color w:val="auto"/>
          <w:szCs w:val="24"/>
          <w:highlight w:val="none"/>
        </w:rPr>
        <w:t>，利用水管自有压力，经过软件化装置，将水送至</w:t>
      </w:r>
      <w:r>
        <w:rPr>
          <w:rFonts w:hint="eastAsia"/>
          <w:color w:val="auto"/>
          <w:szCs w:val="24"/>
          <w:highlight w:val="none"/>
        </w:rPr>
        <w:t>机房层</w:t>
      </w:r>
      <w:r>
        <w:rPr>
          <w:color w:val="auto"/>
          <w:szCs w:val="24"/>
          <w:highlight w:val="none"/>
        </w:rPr>
        <w:t>机房精密空调。</w:t>
      </w:r>
    </w:p>
    <w:p>
      <w:pPr>
        <w:pStyle w:val="6"/>
        <w:ind w:firstLine="470"/>
        <w:rPr>
          <w:color w:val="auto"/>
          <w:sz w:val="24"/>
          <w:szCs w:val="24"/>
          <w:highlight w:val="none"/>
        </w:rPr>
      </w:pPr>
      <w:r>
        <w:rPr>
          <w:rFonts w:hint="eastAsia"/>
          <w:color w:val="auto"/>
          <w:sz w:val="24"/>
          <w:szCs w:val="24"/>
          <w:highlight w:val="none"/>
        </w:rPr>
        <w:t>8、</w:t>
      </w:r>
      <w:r>
        <w:rPr>
          <w:color w:val="auto"/>
          <w:sz w:val="24"/>
          <w:szCs w:val="24"/>
          <w:highlight w:val="none"/>
        </w:rPr>
        <w:t>防鼠防虫工程概况</w:t>
      </w:r>
    </w:p>
    <w:p>
      <w:pPr>
        <w:spacing w:line="360" w:lineRule="auto"/>
        <w:ind w:left="240" w:right="-180" w:rightChars="-75" w:firstLine="480" w:firstLineChars="200"/>
        <w:rPr>
          <w:color w:val="auto"/>
          <w:szCs w:val="24"/>
          <w:highlight w:val="none"/>
        </w:rPr>
      </w:pPr>
      <w:r>
        <w:rPr>
          <w:color w:val="auto"/>
          <w:szCs w:val="24"/>
          <w:highlight w:val="none"/>
        </w:rPr>
        <w:t>密封所有</w:t>
      </w:r>
      <w:r>
        <w:rPr>
          <w:rFonts w:hint="eastAsia"/>
          <w:color w:val="auto"/>
          <w:szCs w:val="24"/>
          <w:highlight w:val="none"/>
        </w:rPr>
        <w:t>信息机房</w:t>
      </w:r>
      <w:r>
        <w:rPr>
          <w:color w:val="auto"/>
          <w:szCs w:val="24"/>
          <w:highlight w:val="none"/>
        </w:rPr>
        <w:t>机房与外界连接的空洞，保证机房的密闭性，提高制冷效率、提高机房洁净度、防止鼠患。</w:t>
      </w:r>
    </w:p>
    <w:p>
      <w:pPr>
        <w:pStyle w:val="6"/>
        <w:ind w:left="1134" w:right="-180" w:rightChars="-75" w:hanging="708"/>
        <w:rPr>
          <w:color w:val="auto"/>
          <w:sz w:val="24"/>
          <w:szCs w:val="24"/>
          <w:highlight w:val="none"/>
        </w:rPr>
      </w:pPr>
      <w:bookmarkStart w:id="141" w:name="_Toc41899571"/>
      <w:bookmarkStart w:id="142" w:name="_Hlk92559201"/>
      <w:r>
        <w:rPr>
          <w:rFonts w:hint="eastAsia"/>
          <w:color w:val="auto"/>
          <w:sz w:val="24"/>
          <w:szCs w:val="24"/>
          <w:highlight w:val="none"/>
        </w:rPr>
        <w:t>9、机房装修</w:t>
      </w:r>
      <w:bookmarkEnd w:id="141"/>
    </w:p>
    <w:p>
      <w:pPr>
        <w:pStyle w:val="7"/>
        <w:ind w:left="1134" w:right="-180" w:rightChars="-75" w:hanging="708"/>
        <w:rPr>
          <w:rFonts w:ascii="宋体" w:hAnsi="宋体" w:eastAsia="宋体" w:cs="宋体"/>
          <w:highlight w:val="none"/>
        </w:rPr>
      </w:pPr>
      <w:r>
        <w:rPr>
          <w:rFonts w:hint="eastAsia" w:ascii="宋体" w:hAnsi="宋体" w:eastAsia="宋体" w:cs="宋体"/>
          <w:highlight w:val="none"/>
        </w:rPr>
        <w:t>(1)关键技术指标</w:t>
      </w:r>
    </w:p>
    <w:p>
      <w:pPr>
        <w:spacing w:line="360" w:lineRule="auto"/>
        <w:ind w:left="240" w:right="-180" w:rightChars="-75" w:firstLine="480" w:firstLineChars="200"/>
        <w:rPr>
          <w:color w:val="auto"/>
          <w:szCs w:val="24"/>
          <w:highlight w:val="none"/>
        </w:rPr>
      </w:pPr>
      <w:r>
        <w:rPr>
          <w:rFonts w:hint="eastAsia"/>
          <w:color w:val="auto"/>
          <w:szCs w:val="24"/>
          <w:highlight w:val="none"/>
        </w:rPr>
        <w:t>投标人承诺满足或优于以下技术指标，否则存在无法通过验收的风险。</w:t>
      </w:r>
    </w:p>
    <w:p>
      <w:pPr>
        <w:pStyle w:val="7"/>
        <w:ind w:left="1134" w:right="-180" w:rightChars="-75" w:hanging="708"/>
        <w:rPr>
          <w:rFonts w:ascii="宋体" w:hAnsi="宋体" w:eastAsia="宋体" w:cs="宋体"/>
          <w:highlight w:val="none"/>
        </w:rPr>
      </w:pPr>
      <w:r>
        <w:rPr>
          <w:rFonts w:hint="eastAsia" w:ascii="宋体" w:hAnsi="宋体" w:eastAsia="宋体" w:cs="宋体"/>
          <w:highlight w:val="none"/>
        </w:rPr>
        <w:t>(2)主要设备技术参数要求</w:t>
      </w:r>
    </w:p>
    <w:p>
      <w:pPr>
        <w:pStyle w:val="8"/>
        <w:ind w:left="1134" w:right="-180" w:rightChars="-75" w:hanging="708"/>
        <w:rPr>
          <w:highlight w:val="none"/>
        </w:rPr>
      </w:pPr>
      <w:r>
        <w:rPr>
          <w:rFonts w:hint="eastAsia"/>
          <w:highlight w:val="none"/>
        </w:rPr>
        <w:t>1）</w:t>
      </w:r>
      <w:r>
        <w:rPr>
          <w:highlight w:val="none"/>
        </w:rPr>
        <w:t>.</w:t>
      </w:r>
      <w:r>
        <w:rPr>
          <w:rFonts w:hint="eastAsia"/>
          <w:highlight w:val="none"/>
        </w:rPr>
        <w:t>防静电活动地板与通风地板</w:t>
      </w:r>
    </w:p>
    <w:p>
      <w:pPr>
        <w:spacing w:line="360" w:lineRule="auto"/>
        <w:ind w:left="240" w:right="-180" w:rightChars="-75" w:firstLine="480" w:firstLineChars="200"/>
        <w:rPr>
          <w:color w:val="auto"/>
          <w:szCs w:val="24"/>
          <w:highlight w:val="none"/>
        </w:rPr>
      </w:pPr>
      <w:r>
        <w:rPr>
          <w:rFonts w:hint="eastAsia"/>
          <w:color w:val="auto"/>
          <w:szCs w:val="24"/>
          <w:highlight w:val="none"/>
        </w:rPr>
        <w:t>应满足《防静电活动地板通用规范》GB/T 36340-2018GB/T 36340-2018；《</w:t>
      </w:r>
      <w:r>
        <w:rPr>
          <w:color w:val="auto"/>
          <w:szCs w:val="24"/>
          <w:highlight w:val="none"/>
        </w:rPr>
        <w:t>防静电工程施工与质量验收规范</w:t>
      </w:r>
      <w:r>
        <w:rPr>
          <w:rFonts w:hint="eastAsia"/>
          <w:color w:val="auto"/>
          <w:szCs w:val="24"/>
          <w:highlight w:val="none"/>
        </w:rPr>
        <w:t>》GB 50944-2013；《建筑内部装修设计防火规范》GB50222-2017等现行国家标准。</w:t>
      </w:r>
    </w:p>
    <w:p>
      <w:pPr>
        <w:spacing w:line="360" w:lineRule="auto"/>
        <w:ind w:left="250" w:leftChars="104" w:right="-180" w:rightChars="-75" w:firstLine="469"/>
        <w:rPr>
          <w:color w:val="auto"/>
          <w:szCs w:val="24"/>
          <w:highlight w:val="none"/>
        </w:rPr>
      </w:pPr>
      <w:r>
        <w:rPr>
          <w:rStyle w:val="21"/>
          <w:rFonts w:hint="eastAsia"/>
          <w:b/>
          <w:bCs/>
          <w:color w:val="auto"/>
          <w:szCs w:val="24"/>
          <w:highlight w:val="none"/>
        </w:rPr>
        <w:t>活动地板技术参数：</w:t>
      </w:r>
      <w:r>
        <w:rPr>
          <w:rFonts w:hint="eastAsia"/>
          <w:color w:val="auto"/>
          <w:szCs w:val="24"/>
          <w:highlight w:val="none"/>
        </w:rPr>
        <w:t>防静电硫酸钙复合活动地板材质：底层镀锌钢板封底，中间基层硫酸钙板或水玻璃高纤维密度板，面层为10mm防静电-生态负离子-陶瓷地砖，四周黑色导电边条封边，600*600*32mm(精准尺寸±≦0.7毫米)；</w:t>
      </w:r>
    </w:p>
    <w:p>
      <w:pPr>
        <w:tabs>
          <w:tab w:val="left" w:pos="1155"/>
        </w:tabs>
        <w:spacing w:line="360" w:lineRule="auto"/>
        <w:ind w:left="250" w:leftChars="104" w:right="-180" w:rightChars="-75" w:firstLine="469"/>
        <w:rPr>
          <w:color w:val="auto"/>
          <w:szCs w:val="24"/>
          <w:highlight w:val="none"/>
        </w:rPr>
      </w:pPr>
      <w:r>
        <w:rPr>
          <w:rFonts w:hint="eastAsia"/>
          <w:color w:val="auto"/>
          <w:szCs w:val="24"/>
          <w:highlight w:val="none"/>
        </w:rPr>
        <w:t>地板颜色：暂定白底蓝花或金花米黄；</w:t>
      </w:r>
    </w:p>
    <w:p>
      <w:pPr>
        <w:tabs>
          <w:tab w:val="left" w:pos="1155"/>
        </w:tabs>
        <w:spacing w:line="360" w:lineRule="auto"/>
        <w:ind w:left="250" w:leftChars="104" w:right="-180" w:rightChars="-75" w:firstLine="469"/>
        <w:rPr>
          <w:color w:val="auto"/>
          <w:szCs w:val="24"/>
          <w:highlight w:val="none"/>
        </w:rPr>
      </w:pPr>
      <w:r>
        <w:rPr>
          <w:rFonts w:hint="eastAsia"/>
          <w:color w:val="auto"/>
          <w:szCs w:val="24"/>
          <w:highlight w:val="none"/>
        </w:rPr>
        <w:t>导电性能：系统电阻1.0×10</w:t>
      </w:r>
      <w:r>
        <w:rPr>
          <w:rFonts w:hint="eastAsia"/>
          <w:color w:val="auto"/>
          <w:szCs w:val="24"/>
          <w:highlight w:val="none"/>
          <w:vertAlign w:val="superscript"/>
        </w:rPr>
        <w:t>6-9</w:t>
      </w:r>
      <w:r>
        <w:rPr>
          <w:rFonts w:hint="eastAsia"/>
          <w:color w:val="auto"/>
          <w:szCs w:val="24"/>
          <w:highlight w:val="none"/>
        </w:rPr>
        <w:t>Ω ，静电起电电压&lt;50伏，半衰时间&lt;0.5秒；</w:t>
      </w:r>
    </w:p>
    <w:p>
      <w:pPr>
        <w:tabs>
          <w:tab w:val="left" w:pos="1155"/>
        </w:tabs>
        <w:spacing w:line="360" w:lineRule="auto"/>
        <w:ind w:left="250" w:leftChars="104" w:right="-180" w:rightChars="-75" w:firstLine="469"/>
        <w:rPr>
          <w:color w:val="auto"/>
          <w:szCs w:val="24"/>
          <w:highlight w:val="none"/>
        </w:rPr>
      </w:pPr>
      <w:r>
        <w:rPr>
          <w:rFonts w:hint="eastAsia"/>
          <w:color w:val="auto"/>
          <w:szCs w:val="24"/>
          <w:highlight w:val="none"/>
        </w:rPr>
        <w:t>机械性能：均布载荷 ≥1600 kg/㎡，集中载荷 &gt;450kg ，极限集中载荷≥1700㎏；</w:t>
      </w:r>
    </w:p>
    <w:p>
      <w:pPr>
        <w:tabs>
          <w:tab w:val="left" w:pos="846"/>
          <w:tab w:val="left" w:pos="1155"/>
        </w:tabs>
        <w:spacing w:line="360" w:lineRule="auto"/>
        <w:ind w:left="250" w:leftChars="104" w:right="-180" w:rightChars="-75" w:firstLine="469"/>
        <w:rPr>
          <w:color w:val="auto"/>
          <w:szCs w:val="24"/>
          <w:highlight w:val="none"/>
        </w:rPr>
      </w:pPr>
      <w:r>
        <w:rPr>
          <w:rFonts w:hint="eastAsia"/>
          <w:color w:val="auto"/>
          <w:szCs w:val="24"/>
          <w:highlight w:val="none"/>
        </w:rPr>
        <w:t>耐老化性：使用寿命30年以上；</w:t>
      </w:r>
    </w:p>
    <w:p>
      <w:pPr>
        <w:tabs>
          <w:tab w:val="left" w:pos="846"/>
          <w:tab w:val="left" w:pos="1155"/>
        </w:tabs>
        <w:spacing w:line="360" w:lineRule="auto"/>
        <w:ind w:left="250" w:leftChars="104" w:right="-180" w:rightChars="-75" w:firstLine="469"/>
        <w:rPr>
          <w:color w:val="auto"/>
          <w:szCs w:val="24"/>
          <w:highlight w:val="none"/>
        </w:rPr>
      </w:pPr>
      <w:r>
        <w:rPr>
          <w:rFonts w:hint="eastAsia"/>
          <w:color w:val="auto"/>
          <w:szCs w:val="24"/>
          <w:highlight w:val="none"/>
        </w:rPr>
        <w:t>耐磨性 ：0.1g/2000转；</w:t>
      </w:r>
    </w:p>
    <w:p>
      <w:pPr>
        <w:tabs>
          <w:tab w:val="left" w:pos="846"/>
          <w:tab w:val="left" w:pos="1155"/>
        </w:tabs>
        <w:spacing w:line="360" w:lineRule="auto"/>
        <w:ind w:left="250" w:leftChars="104" w:right="-180" w:rightChars="-75" w:firstLine="469"/>
        <w:rPr>
          <w:color w:val="auto"/>
          <w:szCs w:val="24"/>
          <w:highlight w:val="none"/>
        </w:rPr>
      </w:pPr>
      <w:r>
        <w:rPr>
          <w:rFonts w:hint="eastAsia"/>
          <w:color w:val="auto"/>
          <w:szCs w:val="24"/>
          <w:highlight w:val="none"/>
        </w:rPr>
        <w:t>防火性能：国家A级防火材料；</w:t>
      </w:r>
    </w:p>
    <w:p>
      <w:pPr>
        <w:tabs>
          <w:tab w:val="left" w:pos="846"/>
          <w:tab w:val="left" w:pos="1155"/>
        </w:tabs>
        <w:spacing w:line="360" w:lineRule="auto"/>
        <w:ind w:left="250" w:leftChars="104" w:right="-180" w:rightChars="-75" w:firstLine="469"/>
        <w:rPr>
          <w:color w:val="auto"/>
          <w:szCs w:val="24"/>
          <w:highlight w:val="none"/>
        </w:rPr>
      </w:pPr>
      <w:r>
        <w:rPr>
          <w:rFonts w:hint="eastAsia"/>
          <w:color w:val="auto"/>
          <w:szCs w:val="24"/>
          <w:highlight w:val="none"/>
        </w:rPr>
        <w:t>地板外观：板块图案清晰、色泽均匀，无裂纹、掉角、缺口等。</w:t>
      </w:r>
    </w:p>
    <w:p>
      <w:pPr>
        <w:tabs>
          <w:tab w:val="left" w:pos="846"/>
          <w:tab w:val="left" w:pos="1155"/>
        </w:tabs>
        <w:spacing w:line="360" w:lineRule="auto"/>
        <w:ind w:left="250" w:leftChars="104" w:right="-180" w:rightChars="-75" w:firstLine="469"/>
        <w:rPr>
          <w:color w:val="auto"/>
          <w:szCs w:val="24"/>
          <w:highlight w:val="none"/>
        </w:rPr>
      </w:pPr>
      <w:r>
        <w:rPr>
          <w:rFonts w:hint="eastAsia"/>
          <w:color w:val="auto"/>
          <w:szCs w:val="24"/>
          <w:highlight w:val="none"/>
        </w:rPr>
        <w:t>防静电活动地板需用铜箔编制接地网做防静电处理，四边采用30x3mm接地铜条与墙脚固定，接地网采用100x0.3mm铜箔编制，铜箔与接地铜条有效连接，接地铜条与大楼接地排有效连接，保证每一根金属支架脚与铜箔有效连接，两条平行铜箔之间可在600mm至3000mm之间。</w:t>
      </w:r>
    </w:p>
    <w:p>
      <w:pPr>
        <w:pStyle w:val="8"/>
        <w:ind w:left="1134" w:right="-180" w:rightChars="-75" w:hanging="708"/>
        <w:rPr>
          <w:highlight w:val="none"/>
        </w:rPr>
      </w:pPr>
      <w:r>
        <w:rPr>
          <w:rFonts w:hint="eastAsia"/>
          <w:highlight w:val="none"/>
        </w:rPr>
        <w:t>2）</w:t>
      </w:r>
      <w:r>
        <w:rPr>
          <w:highlight w:val="none"/>
        </w:rPr>
        <w:t>.</w:t>
      </w:r>
      <w:r>
        <w:rPr>
          <w:rFonts w:hint="eastAsia"/>
          <w:highlight w:val="none"/>
        </w:rPr>
        <w:t>防静电地坪漆</w:t>
      </w:r>
    </w:p>
    <w:p>
      <w:pPr>
        <w:shd w:val="clear" w:color="auto" w:fill="FFFFFF"/>
        <w:spacing w:line="360" w:lineRule="auto"/>
        <w:ind w:left="240" w:right="-180" w:rightChars="-75" w:firstLine="546"/>
        <w:textAlignment w:val="baseline"/>
        <w:rPr>
          <w:color w:val="auto"/>
          <w:szCs w:val="24"/>
          <w:highlight w:val="none"/>
          <w:shd w:val="clear" w:color="auto" w:fill="FFFFFF"/>
        </w:rPr>
      </w:pPr>
      <w:r>
        <w:rPr>
          <w:rFonts w:hint="eastAsia"/>
          <w:color w:val="auto"/>
          <w:szCs w:val="24"/>
          <w:highlight w:val="none"/>
          <w:shd w:val="clear" w:color="auto" w:fill="FFFFFF"/>
        </w:rPr>
        <w:t>防静电环氧地坪漆厚度不应小于1.5mm，表面形态均匀光滑，使用年限8年，地坪特性能消除及防止静电或电磁波产生，避免静电火花及电磁波干扰及破坏。混凝土地面要求符合《建筑地面工程施工质量验收规范》(GB50209—2010)，强度要求基层细石混凝土免除的抗压强度要达到25Mpa以上，与涂料的黏结强度应大于1.5MPa，平整度要求基层的平整度用2m长度靠尺检查，最大间隙不得超过2mm，含水率和PH值基层的含水率应小于4%，PH值小于9 ，表面质量：基层表面应无空鼓，开裂，坑洞，起壳和油污 。</w:t>
      </w:r>
    </w:p>
    <w:p>
      <w:pPr>
        <w:shd w:val="clear" w:color="auto" w:fill="FFFFFF"/>
        <w:spacing w:line="360" w:lineRule="auto"/>
        <w:ind w:left="240" w:right="-180" w:rightChars="-75" w:firstLine="546"/>
        <w:textAlignment w:val="baseline"/>
        <w:rPr>
          <w:color w:val="auto"/>
          <w:szCs w:val="24"/>
          <w:highlight w:val="none"/>
          <w:shd w:val="clear" w:color="auto" w:fill="FFFFFF"/>
        </w:rPr>
      </w:pPr>
      <w:r>
        <w:rPr>
          <w:rFonts w:hint="eastAsia"/>
          <w:color w:val="auto"/>
          <w:szCs w:val="24"/>
          <w:highlight w:val="none"/>
          <w:shd w:val="clear" w:color="auto" w:fill="FFFFFF"/>
        </w:rPr>
        <w:t>防静电环氧地坪漆导电地网需待底漆干燥后测量地坪的电阻率(要求l04Q·m以下)，按3m×3m内以横向纵向的间隔贴导电铜箔，建立静电耗散泄漏层，并与接地装置连接，组成完整的静电泄漏体系。在施工时，一定要注意最终表面的光滑性和平整度，光滑性和平整度越高越好，才能使导电自粘铜箔能很好地粘附。</w:t>
      </w:r>
    </w:p>
    <w:p>
      <w:pPr>
        <w:pStyle w:val="8"/>
        <w:ind w:left="1134" w:right="-180" w:rightChars="-75" w:hanging="708"/>
        <w:rPr>
          <w:highlight w:val="none"/>
        </w:rPr>
      </w:pPr>
      <w:r>
        <w:rPr>
          <w:rFonts w:hint="eastAsia"/>
          <w:highlight w:val="none"/>
        </w:rPr>
        <w:t>3）</w:t>
      </w:r>
      <w:r>
        <w:rPr>
          <w:highlight w:val="none"/>
        </w:rPr>
        <w:t>.</w:t>
      </w:r>
      <w:r>
        <w:rPr>
          <w:rFonts w:hint="eastAsia"/>
          <w:highlight w:val="none"/>
        </w:rPr>
        <w:t>楼地面防水</w:t>
      </w:r>
    </w:p>
    <w:p>
      <w:pPr>
        <w:adjustRightInd w:val="0"/>
        <w:spacing w:line="360" w:lineRule="auto"/>
        <w:ind w:left="240" w:right="-180" w:rightChars="-75" w:firstLine="480" w:firstLineChars="200"/>
        <w:textAlignment w:val="baseline"/>
        <w:rPr>
          <w:color w:val="auto"/>
          <w:szCs w:val="24"/>
          <w:highlight w:val="none"/>
          <w:shd w:val="clear" w:color="auto" w:fill="FFFFFF"/>
        </w:rPr>
      </w:pPr>
      <w:r>
        <w:rPr>
          <w:rFonts w:hint="eastAsia"/>
          <w:color w:val="auto"/>
          <w:szCs w:val="24"/>
          <w:highlight w:val="none"/>
          <w:shd w:val="clear" w:color="auto" w:fill="FFFFFF"/>
        </w:rPr>
        <w:t>根据聚合物水泥基防水涂料或氨酯防水涂料的施工工序，并产品需达到以下技术要求与理想的防水效果：</w:t>
      </w:r>
    </w:p>
    <w:p>
      <w:pPr>
        <w:adjustRightInd w:val="0"/>
        <w:spacing w:line="360" w:lineRule="auto"/>
        <w:ind w:left="240" w:right="-180" w:rightChars="-75" w:firstLine="480" w:firstLineChars="200"/>
        <w:textAlignment w:val="baseline"/>
        <w:rPr>
          <w:color w:val="auto"/>
          <w:szCs w:val="24"/>
          <w:highlight w:val="none"/>
          <w:shd w:val="clear" w:color="auto" w:fill="FFFFFF"/>
        </w:rPr>
      </w:pPr>
      <w:r>
        <w:rPr>
          <w:rFonts w:hint="eastAsia"/>
          <w:color w:val="auto"/>
          <w:szCs w:val="24"/>
          <w:highlight w:val="none"/>
          <w:shd w:val="clear" w:color="auto" w:fill="FFFFFF"/>
        </w:rPr>
        <w:t>施工时基面平整，干净，无起沙，松动，含水率低于8%。</w:t>
      </w:r>
    </w:p>
    <w:p>
      <w:pPr>
        <w:adjustRightInd w:val="0"/>
        <w:spacing w:line="360" w:lineRule="auto"/>
        <w:ind w:left="240" w:right="-180" w:rightChars="-75" w:firstLine="480" w:firstLineChars="200"/>
        <w:textAlignment w:val="baseline"/>
        <w:rPr>
          <w:color w:val="auto"/>
          <w:szCs w:val="24"/>
          <w:highlight w:val="none"/>
          <w:shd w:val="clear" w:color="auto" w:fill="FFFFFF"/>
        </w:rPr>
      </w:pPr>
      <w:r>
        <w:rPr>
          <w:rFonts w:hint="eastAsia"/>
          <w:color w:val="auto"/>
          <w:szCs w:val="24"/>
          <w:highlight w:val="none"/>
          <w:shd w:val="clear" w:color="auto" w:fill="FFFFFF"/>
        </w:rPr>
        <w:t>施工时应先进行基面验收，确保符合要求，再进行防水涂抹，完工后，防水层未固化前，不得上人，不得进行下道工序，以免破坏防水层。</w:t>
      </w:r>
    </w:p>
    <w:p>
      <w:pPr>
        <w:adjustRightInd w:val="0"/>
        <w:spacing w:line="360" w:lineRule="auto"/>
        <w:ind w:left="240" w:right="-180" w:rightChars="-75" w:firstLine="480" w:firstLineChars="200"/>
        <w:textAlignment w:val="baseline"/>
        <w:rPr>
          <w:color w:val="auto"/>
          <w:szCs w:val="24"/>
          <w:highlight w:val="none"/>
          <w:shd w:val="clear" w:color="auto" w:fill="FFFFFF"/>
        </w:rPr>
      </w:pPr>
      <w:r>
        <w:rPr>
          <w:rFonts w:hint="eastAsia"/>
          <w:color w:val="auto"/>
          <w:szCs w:val="24"/>
          <w:highlight w:val="none"/>
          <w:shd w:val="clear" w:color="auto" w:fill="FFFFFF"/>
        </w:rPr>
        <w:t>为了防止防水层在安装角度支撑架遭到破坏，再铺设C25混凝土垫层30mm厚。</w:t>
      </w:r>
    </w:p>
    <w:p>
      <w:pPr>
        <w:adjustRightInd w:val="0"/>
        <w:spacing w:line="360" w:lineRule="auto"/>
        <w:ind w:left="240" w:right="-180" w:rightChars="-75" w:firstLine="480" w:firstLineChars="200"/>
        <w:textAlignment w:val="baseline"/>
        <w:rPr>
          <w:color w:val="auto"/>
          <w:szCs w:val="24"/>
          <w:highlight w:val="none"/>
          <w:shd w:val="clear" w:color="auto" w:fill="FFFFFF"/>
        </w:rPr>
      </w:pPr>
      <w:r>
        <w:rPr>
          <w:rFonts w:hint="eastAsia"/>
          <w:color w:val="auto"/>
          <w:szCs w:val="24"/>
          <w:highlight w:val="none"/>
          <w:shd w:val="clear" w:color="auto" w:fill="FFFFFF"/>
        </w:rPr>
        <w:t>施工过程中注意事项：</w:t>
      </w:r>
    </w:p>
    <w:p>
      <w:pPr>
        <w:adjustRightInd w:val="0"/>
        <w:spacing w:line="360" w:lineRule="auto"/>
        <w:ind w:left="240" w:right="-180" w:rightChars="-75" w:firstLine="480" w:firstLineChars="200"/>
        <w:textAlignment w:val="baseline"/>
        <w:rPr>
          <w:color w:val="auto"/>
          <w:szCs w:val="24"/>
          <w:highlight w:val="none"/>
          <w:shd w:val="clear" w:color="auto" w:fill="FFFFFF"/>
        </w:rPr>
      </w:pPr>
      <w:r>
        <w:rPr>
          <w:rFonts w:hint="eastAsia"/>
          <w:color w:val="auto"/>
          <w:szCs w:val="24"/>
          <w:highlight w:val="none"/>
          <w:shd w:val="clear" w:color="auto" w:fill="FFFFFF"/>
        </w:rPr>
        <w:t>施工温度应在5℃至35℃；</w:t>
      </w:r>
    </w:p>
    <w:p>
      <w:pPr>
        <w:adjustRightInd w:val="0"/>
        <w:spacing w:line="360" w:lineRule="auto"/>
        <w:ind w:left="240" w:right="-180" w:rightChars="-75" w:firstLine="480" w:firstLineChars="200"/>
        <w:textAlignment w:val="baseline"/>
        <w:rPr>
          <w:color w:val="auto"/>
          <w:szCs w:val="24"/>
          <w:highlight w:val="none"/>
          <w:shd w:val="clear" w:color="auto" w:fill="FFFFFF"/>
        </w:rPr>
      </w:pPr>
      <w:r>
        <w:rPr>
          <w:rFonts w:hint="eastAsia"/>
          <w:color w:val="auto"/>
          <w:szCs w:val="24"/>
          <w:highlight w:val="none"/>
          <w:shd w:val="clear" w:color="auto" w:fill="FFFFFF"/>
        </w:rPr>
        <w:t>调配好的浆料要在1小时内用完；</w:t>
      </w:r>
    </w:p>
    <w:p>
      <w:pPr>
        <w:adjustRightInd w:val="0"/>
        <w:spacing w:line="360" w:lineRule="auto"/>
        <w:ind w:left="240" w:right="-180" w:rightChars="-75" w:firstLine="480" w:firstLineChars="200"/>
        <w:textAlignment w:val="baseline"/>
        <w:rPr>
          <w:color w:val="auto"/>
          <w:szCs w:val="24"/>
          <w:highlight w:val="none"/>
          <w:shd w:val="clear" w:color="auto" w:fill="FFFFFF"/>
        </w:rPr>
      </w:pPr>
      <w:r>
        <w:rPr>
          <w:rFonts w:hint="eastAsia"/>
          <w:color w:val="auto"/>
          <w:szCs w:val="24"/>
          <w:highlight w:val="none"/>
          <w:shd w:val="clear" w:color="auto" w:fill="FFFFFF"/>
        </w:rPr>
        <w:t>寒冷地区或低温条件下请注意产品的防冻贮存，液体组份的贮存温度不低于0℃；</w:t>
      </w:r>
    </w:p>
    <w:p>
      <w:pPr>
        <w:adjustRightInd w:val="0"/>
        <w:spacing w:line="360" w:lineRule="auto"/>
        <w:ind w:left="240" w:right="-180" w:rightChars="-75" w:firstLine="480" w:firstLineChars="200"/>
        <w:textAlignment w:val="baseline"/>
        <w:rPr>
          <w:color w:val="auto"/>
          <w:szCs w:val="24"/>
          <w:highlight w:val="none"/>
          <w:shd w:val="clear" w:color="auto" w:fill="FFFFFF"/>
        </w:rPr>
      </w:pPr>
      <w:r>
        <w:rPr>
          <w:rFonts w:hint="eastAsia"/>
          <w:color w:val="auto"/>
          <w:szCs w:val="24"/>
          <w:highlight w:val="none"/>
          <w:shd w:val="clear" w:color="auto" w:fill="FFFFFF"/>
        </w:rPr>
        <w:t>使用时，勿在本产品中掺入水分或其它材料；</w:t>
      </w:r>
    </w:p>
    <w:p>
      <w:pPr>
        <w:adjustRightInd w:val="0"/>
        <w:spacing w:line="360" w:lineRule="auto"/>
        <w:ind w:left="240" w:right="-180" w:rightChars="-75" w:firstLine="480" w:firstLineChars="200"/>
        <w:textAlignment w:val="baseline"/>
        <w:rPr>
          <w:color w:val="auto"/>
          <w:szCs w:val="24"/>
          <w:highlight w:val="none"/>
          <w:shd w:val="clear" w:color="auto" w:fill="FFFFFF"/>
        </w:rPr>
      </w:pPr>
      <w:r>
        <w:rPr>
          <w:rFonts w:hint="eastAsia"/>
          <w:color w:val="auto"/>
          <w:szCs w:val="24"/>
          <w:highlight w:val="none"/>
          <w:shd w:val="clear" w:color="auto" w:fill="FFFFFF"/>
        </w:rPr>
        <w:t>施工时请采用合适的防护措施，如手套等。</w:t>
      </w:r>
    </w:p>
    <w:p>
      <w:pPr>
        <w:adjustRightInd w:val="0"/>
        <w:spacing w:line="360" w:lineRule="auto"/>
        <w:ind w:left="240" w:right="-180" w:rightChars="-75" w:firstLine="480" w:firstLineChars="200"/>
        <w:textAlignment w:val="baseline"/>
        <w:rPr>
          <w:color w:val="auto"/>
          <w:szCs w:val="24"/>
          <w:highlight w:val="none"/>
          <w:shd w:val="clear" w:color="auto" w:fill="FFFFFF"/>
        </w:rPr>
      </w:pPr>
      <w:r>
        <w:rPr>
          <w:rFonts w:hint="eastAsia"/>
          <w:color w:val="auto"/>
          <w:szCs w:val="24"/>
          <w:highlight w:val="none"/>
          <w:shd w:val="clear" w:color="auto" w:fill="FFFFFF"/>
        </w:rPr>
        <w:t>通过上述的施工流程后，具有与基面粘结力强，涂膜中的高分子物质能渗入到基面微细细缝内。涂膜有良好的柔韧性，对基层伸缩或开裂的适应性强，抗拉性强度高。绿色环保，无毒无味，无污染环境，对人身无伤害，耐候性好，高温不流淌，低温不龟裂，优异的抗老化性能，能耐油、耐磨、耐臭氧、耐酸碱侵蚀，涂膜密实，防水层完整，无裂缝，无针孔、无气泡、水蒸气渗透系数小，既具有防水功能又有隔气功能的理想效果。</w:t>
      </w:r>
    </w:p>
    <w:p>
      <w:pPr>
        <w:pStyle w:val="8"/>
        <w:ind w:left="1134" w:right="-180" w:rightChars="-75" w:hanging="708"/>
        <w:rPr>
          <w:highlight w:val="none"/>
        </w:rPr>
      </w:pPr>
      <w:r>
        <w:rPr>
          <w:rFonts w:hint="eastAsia"/>
          <w:highlight w:val="none"/>
        </w:rPr>
        <w:t>4）</w:t>
      </w:r>
      <w:r>
        <w:rPr>
          <w:highlight w:val="none"/>
        </w:rPr>
        <w:t>.</w:t>
      </w:r>
      <w:r>
        <w:rPr>
          <w:rFonts w:hint="eastAsia"/>
          <w:highlight w:val="none"/>
        </w:rPr>
        <w:t>环氧树脂地坪漆</w:t>
      </w:r>
    </w:p>
    <w:p>
      <w:pPr>
        <w:tabs>
          <w:tab w:val="left" w:pos="1200"/>
        </w:tabs>
        <w:adjustRightInd w:val="0"/>
        <w:spacing w:line="360" w:lineRule="auto"/>
        <w:ind w:left="240" w:right="-180" w:rightChars="-75" w:firstLine="480" w:firstLineChars="200"/>
        <w:textAlignment w:val="baseline"/>
        <w:rPr>
          <w:color w:val="auto"/>
          <w:szCs w:val="24"/>
          <w:highlight w:val="none"/>
          <w:shd w:val="clear" w:color="auto" w:fill="FFFFFF"/>
        </w:rPr>
      </w:pPr>
      <w:r>
        <w:rPr>
          <w:rFonts w:hint="eastAsia"/>
          <w:color w:val="auto"/>
          <w:szCs w:val="24"/>
          <w:highlight w:val="none"/>
          <w:shd w:val="clear" w:color="auto" w:fill="FFFFFF"/>
        </w:rPr>
        <w:t>环氧树脂地坪漆设计主要以防尘防静电为主，1.5mm厚的水性透气型涂装，施工要求：</w:t>
      </w:r>
    </w:p>
    <w:p>
      <w:pPr>
        <w:tabs>
          <w:tab w:val="left" w:pos="1200"/>
        </w:tabs>
        <w:adjustRightInd w:val="0"/>
        <w:spacing w:line="360" w:lineRule="auto"/>
        <w:ind w:left="240" w:right="-180" w:rightChars="-75" w:firstLine="480" w:firstLineChars="200"/>
        <w:textAlignment w:val="baseline"/>
        <w:rPr>
          <w:color w:val="auto"/>
          <w:szCs w:val="24"/>
          <w:highlight w:val="none"/>
          <w:shd w:val="clear" w:color="auto" w:fill="FFFFFF"/>
        </w:rPr>
      </w:pPr>
      <w:r>
        <w:rPr>
          <w:rFonts w:hint="eastAsia"/>
          <w:color w:val="auto"/>
          <w:szCs w:val="24"/>
          <w:highlight w:val="none"/>
          <w:shd w:val="clear" w:color="auto" w:fill="FFFFFF"/>
        </w:rPr>
        <w:t>基面含水率:在6%以上时不能施工非水性环氧地坪；</w:t>
      </w:r>
    </w:p>
    <w:p>
      <w:pPr>
        <w:tabs>
          <w:tab w:val="left" w:pos="1200"/>
        </w:tabs>
        <w:adjustRightInd w:val="0"/>
        <w:spacing w:line="360" w:lineRule="auto"/>
        <w:ind w:left="240" w:right="-180" w:rightChars="-75" w:firstLine="480" w:firstLineChars="200"/>
        <w:textAlignment w:val="baseline"/>
        <w:rPr>
          <w:color w:val="auto"/>
          <w:szCs w:val="24"/>
          <w:highlight w:val="none"/>
          <w:shd w:val="clear" w:color="auto" w:fill="FFFFFF"/>
        </w:rPr>
      </w:pPr>
      <w:r>
        <w:rPr>
          <w:rFonts w:hint="eastAsia"/>
          <w:color w:val="auto"/>
          <w:szCs w:val="24"/>
          <w:highlight w:val="none"/>
          <w:shd w:val="clear" w:color="auto" w:fill="FFFFFF"/>
        </w:rPr>
        <w:t>空气中湿度:在85%以上应停止施工；</w:t>
      </w:r>
    </w:p>
    <w:p>
      <w:pPr>
        <w:tabs>
          <w:tab w:val="left" w:pos="1200"/>
        </w:tabs>
        <w:adjustRightInd w:val="0"/>
        <w:spacing w:line="360" w:lineRule="auto"/>
        <w:ind w:left="240" w:right="-180" w:rightChars="-75" w:firstLine="480" w:firstLineChars="200"/>
        <w:textAlignment w:val="baseline"/>
        <w:rPr>
          <w:color w:val="auto"/>
          <w:szCs w:val="24"/>
          <w:highlight w:val="none"/>
          <w:shd w:val="clear" w:color="auto" w:fill="FFFFFF"/>
        </w:rPr>
      </w:pPr>
      <w:r>
        <w:rPr>
          <w:rFonts w:hint="eastAsia"/>
          <w:color w:val="auto"/>
          <w:szCs w:val="24"/>
          <w:highlight w:val="none"/>
          <w:shd w:val="clear" w:color="auto" w:fill="FFFFFF"/>
        </w:rPr>
        <w:t>施工温度:低于5℃应选用特殊配方。</w:t>
      </w:r>
    </w:p>
    <w:p>
      <w:pPr>
        <w:tabs>
          <w:tab w:val="left" w:pos="1200"/>
        </w:tabs>
        <w:adjustRightInd w:val="0"/>
        <w:spacing w:line="360" w:lineRule="auto"/>
        <w:ind w:left="240" w:right="-180" w:rightChars="-75" w:firstLine="480" w:firstLineChars="200"/>
        <w:textAlignment w:val="baseline"/>
        <w:rPr>
          <w:color w:val="auto"/>
          <w:szCs w:val="24"/>
          <w:highlight w:val="none"/>
          <w:shd w:val="clear" w:color="auto" w:fill="FFFFFF"/>
        </w:rPr>
      </w:pPr>
      <w:r>
        <w:rPr>
          <w:rFonts w:hint="eastAsia"/>
          <w:color w:val="auto"/>
          <w:szCs w:val="24"/>
          <w:highlight w:val="none"/>
          <w:shd w:val="clear" w:color="auto" w:fill="FFFFFF"/>
        </w:rPr>
        <w:t>底涂层：</w:t>
      </w:r>
    </w:p>
    <w:p>
      <w:pPr>
        <w:tabs>
          <w:tab w:val="left" w:pos="1200"/>
        </w:tabs>
        <w:adjustRightInd w:val="0"/>
        <w:spacing w:line="360" w:lineRule="auto"/>
        <w:ind w:left="240" w:right="-180" w:rightChars="-75" w:firstLine="480" w:firstLineChars="200"/>
        <w:textAlignment w:val="baseline"/>
        <w:rPr>
          <w:color w:val="auto"/>
          <w:szCs w:val="24"/>
          <w:highlight w:val="none"/>
          <w:shd w:val="clear" w:color="auto" w:fill="FFFFFF"/>
        </w:rPr>
      </w:pPr>
      <w:r>
        <w:rPr>
          <w:rFonts w:hint="eastAsia"/>
          <w:color w:val="auto"/>
          <w:szCs w:val="24"/>
          <w:highlight w:val="none"/>
          <w:shd w:val="clear" w:color="auto" w:fill="FFFFFF"/>
        </w:rPr>
        <w:t>a）施工前需保持干净如有杂物粘附需清除依照正确比例将主剂及硬化剂混合，充分搅拌；</w:t>
      </w:r>
    </w:p>
    <w:p>
      <w:pPr>
        <w:tabs>
          <w:tab w:val="left" w:pos="1200"/>
        </w:tabs>
        <w:adjustRightInd w:val="0"/>
        <w:spacing w:line="360" w:lineRule="auto"/>
        <w:ind w:left="240" w:right="-180" w:rightChars="-75" w:firstLine="480" w:firstLineChars="200"/>
        <w:textAlignment w:val="baseline"/>
        <w:rPr>
          <w:color w:val="auto"/>
          <w:szCs w:val="24"/>
          <w:highlight w:val="none"/>
          <w:shd w:val="clear" w:color="auto" w:fill="FFFFFF"/>
        </w:rPr>
      </w:pPr>
      <w:r>
        <w:rPr>
          <w:rFonts w:hint="eastAsia"/>
          <w:color w:val="auto"/>
          <w:szCs w:val="24"/>
          <w:highlight w:val="none"/>
          <w:shd w:val="clear" w:color="auto" w:fill="FFFFFF"/>
        </w:rPr>
        <w:t>b）需视地面情况调整适当粘度混合完成材料需4小时以内施工完成。</w:t>
      </w:r>
    </w:p>
    <w:p>
      <w:pPr>
        <w:tabs>
          <w:tab w:val="left" w:pos="1200"/>
        </w:tabs>
        <w:adjustRightInd w:val="0"/>
        <w:spacing w:line="360" w:lineRule="auto"/>
        <w:ind w:left="240" w:right="-180" w:rightChars="-75" w:firstLine="480" w:firstLineChars="200"/>
        <w:textAlignment w:val="baseline"/>
        <w:rPr>
          <w:color w:val="auto"/>
          <w:szCs w:val="24"/>
          <w:highlight w:val="none"/>
          <w:shd w:val="clear" w:color="auto" w:fill="FFFFFF"/>
        </w:rPr>
      </w:pPr>
      <w:r>
        <w:rPr>
          <w:rFonts w:hint="eastAsia"/>
          <w:color w:val="auto"/>
          <w:szCs w:val="24"/>
          <w:highlight w:val="none"/>
          <w:shd w:val="clear" w:color="auto" w:fill="FFFFFF"/>
        </w:rPr>
        <w:t>中涂层：</w:t>
      </w:r>
    </w:p>
    <w:p>
      <w:pPr>
        <w:tabs>
          <w:tab w:val="left" w:pos="1200"/>
        </w:tabs>
        <w:adjustRightInd w:val="0"/>
        <w:spacing w:line="360" w:lineRule="auto"/>
        <w:ind w:left="240" w:right="-180" w:rightChars="-75" w:firstLine="480" w:firstLineChars="200"/>
        <w:textAlignment w:val="baseline"/>
        <w:rPr>
          <w:color w:val="auto"/>
          <w:szCs w:val="24"/>
          <w:highlight w:val="none"/>
          <w:shd w:val="clear" w:color="auto" w:fill="FFFFFF"/>
        </w:rPr>
      </w:pPr>
      <w:r>
        <w:rPr>
          <w:rFonts w:hint="eastAsia"/>
          <w:color w:val="auto"/>
          <w:szCs w:val="24"/>
          <w:highlight w:val="none"/>
          <w:shd w:val="clear" w:color="auto" w:fill="FFFFFF"/>
        </w:rPr>
        <w:t>施工前需要保持干净如有杂物粘附需清除依照正确 比例将主剂及硬化剂混合，充分搅拌；</w:t>
      </w:r>
    </w:p>
    <w:p>
      <w:pPr>
        <w:tabs>
          <w:tab w:val="left" w:pos="1200"/>
        </w:tabs>
        <w:adjustRightInd w:val="0"/>
        <w:spacing w:line="360" w:lineRule="auto"/>
        <w:ind w:left="240" w:right="-180" w:rightChars="-75" w:firstLine="480" w:firstLineChars="200"/>
        <w:textAlignment w:val="baseline"/>
        <w:rPr>
          <w:color w:val="auto"/>
          <w:szCs w:val="24"/>
          <w:highlight w:val="none"/>
          <w:shd w:val="clear" w:color="auto" w:fill="FFFFFF"/>
        </w:rPr>
      </w:pPr>
      <w:r>
        <w:rPr>
          <w:rFonts w:hint="eastAsia"/>
          <w:color w:val="auto"/>
          <w:szCs w:val="24"/>
          <w:highlight w:val="none"/>
          <w:shd w:val="clear" w:color="auto" w:fill="FFFFFF"/>
        </w:rPr>
        <w:t>将混合完成的树脂适量加入石英砂；</w:t>
      </w:r>
    </w:p>
    <w:p>
      <w:pPr>
        <w:tabs>
          <w:tab w:val="left" w:pos="1200"/>
        </w:tabs>
        <w:adjustRightInd w:val="0"/>
        <w:spacing w:line="360" w:lineRule="auto"/>
        <w:ind w:left="240" w:right="-180" w:rightChars="-75" w:firstLine="480" w:firstLineChars="200"/>
        <w:textAlignment w:val="baseline"/>
        <w:rPr>
          <w:color w:val="auto"/>
          <w:szCs w:val="24"/>
          <w:highlight w:val="none"/>
          <w:shd w:val="clear" w:color="auto" w:fill="FFFFFF"/>
        </w:rPr>
      </w:pPr>
      <w:r>
        <w:rPr>
          <w:rFonts w:hint="eastAsia"/>
          <w:color w:val="auto"/>
          <w:szCs w:val="24"/>
          <w:highlight w:val="none"/>
          <w:shd w:val="clear" w:color="auto" w:fill="FFFFFF"/>
        </w:rPr>
        <w:t>使用镘刀将材料均匀涂布；</w:t>
      </w:r>
    </w:p>
    <w:p>
      <w:pPr>
        <w:tabs>
          <w:tab w:val="left" w:pos="1200"/>
        </w:tabs>
        <w:adjustRightInd w:val="0"/>
        <w:spacing w:line="360" w:lineRule="auto"/>
        <w:ind w:left="240" w:right="-180" w:rightChars="-75" w:firstLine="480" w:firstLineChars="200"/>
        <w:textAlignment w:val="baseline"/>
        <w:rPr>
          <w:color w:val="auto"/>
          <w:szCs w:val="24"/>
          <w:highlight w:val="none"/>
          <w:shd w:val="clear" w:color="auto" w:fill="FFFFFF"/>
        </w:rPr>
      </w:pPr>
      <w:r>
        <w:rPr>
          <w:rFonts w:hint="eastAsia"/>
          <w:color w:val="auto"/>
          <w:szCs w:val="24"/>
          <w:highlight w:val="none"/>
          <w:shd w:val="clear" w:color="auto" w:fill="FFFFFF"/>
        </w:rPr>
        <w:t>混合完成材料需30分钟以内施工完成；</w:t>
      </w:r>
    </w:p>
    <w:p>
      <w:pPr>
        <w:tabs>
          <w:tab w:val="left" w:pos="1200"/>
        </w:tabs>
        <w:adjustRightInd w:val="0"/>
        <w:spacing w:line="360" w:lineRule="auto"/>
        <w:ind w:left="240" w:right="-180" w:rightChars="-75" w:firstLine="480" w:firstLineChars="200"/>
        <w:textAlignment w:val="baseline"/>
        <w:rPr>
          <w:color w:val="auto"/>
          <w:szCs w:val="24"/>
          <w:highlight w:val="none"/>
          <w:shd w:val="clear" w:color="auto" w:fill="FFFFFF"/>
        </w:rPr>
      </w:pPr>
      <w:r>
        <w:rPr>
          <w:rFonts w:hint="eastAsia"/>
          <w:color w:val="auto"/>
          <w:szCs w:val="24"/>
          <w:highlight w:val="none"/>
          <w:shd w:val="clear" w:color="auto" w:fill="FFFFFF"/>
        </w:rPr>
        <w:t>施工交接处做好交接处理；</w:t>
      </w:r>
    </w:p>
    <w:p>
      <w:pPr>
        <w:tabs>
          <w:tab w:val="left" w:pos="1200"/>
        </w:tabs>
        <w:adjustRightInd w:val="0"/>
        <w:spacing w:line="360" w:lineRule="auto"/>
        <w:ind w:left="240" w:right="-180" w:rightChars="-75" w:firstLine="480" w:firstLineChars="200"/>
        <w:textAlignment w:val="baseline"/>
        <w:rPr>
          <w:color w:val="auto"/>
          <w:szCs w:val="24"/>
          <w:highlight w:val="none"/>
          <w:shd w:val="clear" w:color="auto" w:fill="FFFFFF"/>
        </w:rPr>
      </w:pPr>
      <w:r>
        <w:rPr>
          <w:rFonts w:hint="eastAsia"/>
          <w:color w:val="auto"/>
          <w:szCs w:val="24"/>
          <w:highlight w:val="none"/>
          <w:shd w:val="clear" w:color="auto" w:fill="FFFFFF"/>
        </w:rPr>
        <w:t>中涂层养生硬化时间约8小时以上。</w:t>
      </w:r>
    </w:p>
    <w:p>
      <w:pPr>
        <w:tabs>
          <w:tab w:val="left" w:pos="1200"/>
        </w:tabs>
        <w:adjustRightInd w:val="0"/>
        <w:spacing w:line="360" w:lineRule="auto"/>
        <w:ind w:left="240" w:right="-180" w:rightChars="-75" w:firstLine="480" w:firstLineChars="200"/>
        <w:textAlignment w:val="baseline"/>
        <w:rPr>
          <w:color w:val="auto"/>
          <w:szCs w:val="24"/>
          <w:highlight w:val="none"/>
          <w:shd w:val="clear" w:color="auto" w:fill="FFFFFF"/>
        </w:rPr>
      </w:pPr>
      <w:r>
        <w:rPr>
          <w:rFonts w:hint="eastAsia"/>
          <w:color w:val="auto"/>
          <w:szCs w:val="24"/>
          <w:highlight w:val="none"/>
          <w:shd w:val="clear" w:color="auto" w:fill="FFFFFF"/>
        </w:rPr>
        <w:t>面涂层：</w:t>
      </w:r>
    </w:p>
    <w:p>
      <w:pPr>
        <w:tabs>
          <w:tab w:val="left" w:pos="1200"/>
        </w:tabs>
        <w:adjustRightInd w:val="0"/>
        <w:spacing w:line="360" w:lineRule="auto"/>
        <w:ind w:left="240" w:right="-180" w:rightChars="-75" w:firstLine="480" w:firstLineChars="200"/>
        <w:textAlignment w:val="baseline"/>
        <w:rPr>
          <w:color w:val="auto"/>
          <w:szCs w:val="24"/>
          <w:highlight w:val="none"/>
          <w:shd w:val="clear" w:color="auto" w:fill="FFFFFF"/>
        </w:rPr>
      </w:pPr>
      <w:r>
        <w:rPr>
          <w:rFonts w:hint="eastAsia"/>
          <w:color w:val="auto"/>
          <w:szCs w:val="24"/>
          <w:highlight w:val="none"/>
          <w:shd w:val="clear" w:color="auto" w:fill="FFFFFF"/>
        </w:rPr>
        <w:t>施工前需保持干净如有杂物粘附需清除；</w:t>
      </w:r>
    </w:p>
    <w:p>
      <w:pPr>
        <w:tabs>
          <w:tab w:val="left" w:pos="1200"/>
        </w:tabs>
        <w:adjustRightInd w:val="0"/>
        <w:spacing w:line="360" w:lineRule="auto"/>
        <w:ind w:left="240" w:right="-180" w:rightChars="-75" w:firstLine="480" w:firstLineChars="200"/>
        <w:textAlignment w:val="baseline"/>
        <w:rPr>
          <w:color w:val="auto"/>
          <w:szCs w:val="24"/>
          <w:highlight w:val="none"/>
          <w:shd w:val="clear" w:color="auto" w:fill="FFFFFF"/>
        </w:rPr>
      </w:pPr>
      <w:r>
        <w:rPr>
          <w:rFonts w:hint="eastAsia"/>
          <w:color w:val="auto"/>
          <w:szCs w:val="24"/>
          <w:highlight w:val="none"/>
          <w:shd w:val="clear" w:color="auto" w:fill="FFFFFF"/>
        </w:rPr>
        <w:t>使用前主剂先搅拌均匀；</w:t>
      </w:r>
    </w:p>
    <w:p>
      <w:pPr>
        <w:tabs>
          <w:tab w:val="left" w:pos="1200"/>
        </w:tabs>
        <w:adjustRightInd w:val="0"/>
        <w:spacing w:line="360" w:lineRule="auto"/>
        <w:ind w:left="240" w:right="-180" w:rightChars="-75" w:firstLine="480" w:firstLineChars="200"/>
        <w:textAlignment w:val="baseline"/>
        <w:rPr>
          <w:color w:val="auto"/>
          <w:szCs w:val="24"/>
          <w:highlight w:val="none"/>
          <w:shd w:val="clear" w:color="auto" w:fill="FFFFFF"/>
        </w:rPr>
      </w:pPr>
      <w:r>
        <w:rPr>
          <w:rFonts w:hint="eastAsia"/>
          <w:color w:val="auto"/>
          <w:szCs w:val="24"/>
          <w:highlight w:val="none"/>
          <w:shd w:val="clear" w:color="auto" w:fill="FFFFFF"/>
        </w:rPr>
        <w:t>依照正确比例将主剂及硬化剂混合，充分搅拌；</w:t>
      </w:r>
    </w:p>
    <w:p>
      <w:pPr>
        <w:tabs>
          <w:tab w:val="left" w:pos="1200"/>
        </w:tabs>
        <w:adjustRightInd w:val="0"/>
        <w:spacing w:line="360" w:lineRule="auto"/>
        <w:ind w:left="240" w:right="-180" w:rightChars="-75" w:firstLine="480" w:firstLineChars="200"/>
        <w:textAlignment w:val="baseline"/>
        <w:rPr>
          <w:color w:val="auto"/>
          <w:szCs w:val="24"/>
          <w:highlight w:val="none"/>
          <w:shd w:val="clear" w:color="auto" w:fill="FFFFFF"/>
        </w:rPr>
      </w:pPr>
      <w:r>
        <w:rPr>
          <w:rFonts w:hint="eastAsia"/>
          <w:color w:val="auto"/>
          <w:szCs w:val="24"/>
          <w:highlight w:val="none"/>
          <w:shd w:val="clear" w:color="auto" w:fill="FFFFFF"/>
        </w:rPr>
        <w:t>使用滚筒或镘刀将材料均匀涂布混合完成材料需30分钟以内施工完成；</w:t>
      </w:r>
    </w:p>
    <w:p>
      <w:pPr>
        <w:tabs>
          <w:tab w:val="left" w:pos="1200"/>
        </w:tabs>
        <w:adjustRightInd w:val="0"/>
        <w:spacing w:line="360" w:lineRule="auto"/>
        <w:ind w:left="240" w:right="-180" w:rightChars="-75" w:firstLine="480" w:firstLineChars="200"/>
        <w:textAlignment w:val="baseline"/>
        <w:rPr>
          <w:color w:val="auto"/>
          <w:szCs w:val="24"/>
          <w:highlight w:val="none"/>
          <w:shd w:val="clear" w:color="auto" w:fill="FFFFFF"/>
        </w:rPr>
      </w:pPr>
      <w:r>
        <w:rPr>
          <w:rFonts w:hint="eastAsia"/>
          <w:color w:val="auto"/>
          <w:szCs w:val="24"/>
          <w:highlight w:val="none"/>
          <w:shd w:val="clear" w:color="auto" w:fill="FFFFFF"/>
        </w:rPr>
        <w:t>验收标准：</w:t>
      </w:r>
    </w:p>
    <w:p>
      <w:pPr>
        <w:widowControl w:val="0"/>
        <w:numPr>
          <w:ilvl w:val="0"/>
          <w:numId w:val="59"/>
        </w:numPr>
        <w:tabs>
          <w:tab w:val="left" w:pos="1200"/>
        </w:tabs>
        <w:adjustRightInd w:val="0"/>
        <w:spacing w:after="0" w:line="360" w:lineRule="auto"/>
        <w:ind w:left="240" w:right="-180" w:rightChars="-75" w:firstLine="480" w:firstLineChars="200"/>
        <w:jc w:val="both"/>
        <w:textAlignment w:val="baseline"/>
        <w:rPr>
          <w:color w:val="auto"/>
          <w:szCs w:val="24"/>
          <w:highlight w:val="none"/>
          <w:shd w:val="clear" w:color="auto" w:fill="FFFFFF"/>
        </w:rPr>
      </w:pPr>
      <w:r>
        <w:rPr>
          <w:rFonts w:hint="eastAsia"/>
          <w:color w:val="auto"/>
          <w:szCs w:val="24"/>
          <w:highlight w:val="none"/>
          <w:shd w:val="clear" w:color="auto" w:fill="FFFFFF"/>
        </w:rPr>
        <w:t>环境温度为25℃时，施工后2-3天应达到实干，即硬度达到完成固化的80%左右；</w:t>
      </w:r>
    </w:p>
    <w:p>
      <w:pPr>
        <w:widowControl w:val="0"/>
        <w:numPr>
          <w:ilvl w:val="0"/>
          <w:numId w:val="59"/>
        </w:numPr>
        <w:tabs>
          <w:tab w:val="left" w:pos="1200"/>
        </w:tabs>
        <w:adjustRightInd w:val="0"/>
        <w:spacing w:after="0" w:line="360" w:lineRule="auto"/>
        <w:ind w:left="240" w:right="-180" w:rightChars="-75" w:firstLine="480" w:firstLineChars="200"/>
        <w:jc w:val="both"/>
        <w:textAlignment w:val="baseline"/>
        <w:rPr>
          <w:color w:val="auto"/>
          <w:szCs w:val="24"/>
          <w:highlight w:val="none"/>
          <w:shd w:val="clear" w:color="auto" w:fill="FFFFFF"/>
        </w:rPr>
      </w:pPr>
      <w:r>
        <w:rPr>
          <w:rFonts w:hint="eastAsia"/>
          <w:color w:val="auto"/>
          <w:szCs w:val="24"/>
          <w:highlight w:val="none"/>
          <w:shd w:val="clear" w:color="auto" w:fill="FFFFFF"/>
        </w:rPr>
        <w:t>表面不能出现发粘现象；</w:t>
      </w:r>
    </w:p>
    <w:p>
      <w:pPr>
        <w:widowControl w:val="0"/>
        <w:numPr>
          <w:ilvl w:val="0"/>
          <w:numId w:val="59"/>
        </w:numPr>
        <w:tabs>
          <w:tab w:val="left" w:pos="1200"/>
        </w:tabs>
        <w:adjustRightInd w:val="0"/>
        <w:spacing w:after="0" w:line="360" w:lineRule="auto"/>
        <w:ind w:left="240" w:right="-180" w:rightChars="-75" w:firstLine="480" w:firstLineChars="200"/>
        <w:jc w:val="both"/>
        <w:textAlignment w:val="baseline"/>
        <w:rPr>
          <w:color w:val="auto"/>
          <w:szCs w:val="24"/>
          <w:highlight w:val="none"/>
          <w:shd w:val="clear" w:color="auto" w:fill="FFFFFF"/>
        </w:rPr>
      </w:pPr>
      <w:r>
        <w:rPr>
          <w:rFonts w:hint="eastAsia"/>
          <w:color w:val="auto"/>
          <w:szCs w:val="24"/>
          <w:highlight w:val="none"/>
          <w:shd w:val="clear" w:color="auto" w:fill="FFFFFF"/>
        </w:rPr>
        <w:t>气泡:平涂型、砂浆型无气泡，自流平允许1个小气泡/10平方米；</w:t>
      </w:r>
    </w:p>
    <w:p>
      <w:pPr>
        <w:widowControl w:val="0"/>
        <w:numPr>
          <w:ilvl w:val="0"/>
          <w:numId w:val="59"/>
        </w:numPr>
        <w:tabs>
          <w:tab w:val="left" w:pos="1200"/>
        </w:tabs>
        <w:adjustRightInd w:val="0"/>
        <w:spacing w:after="0" w:line="360" w:lineRule="auto"/>
        <w:ind w:left="240" w:right="-180" w:rightChars="-75" w:firstLine="480" w:firstLineChars="200"/>
        <w:jc w:val="both"/>
        <w:textAlignment w:val="baseline"/>
        <w:rPr>
          <w:color w:val="auto"/>
          <w:szCs w:val="24"/>
          <w:highlight w:val="none"/>
          <w:shd w:val="clear" w:color="auto" w:fill="FFFFFF"/>
        </w:rPr>
      </w:pPr>
      <w:r>
        <w:rPr>
          <w:rFonts w:hint="eastAsia"/>
          <w:color w:val="auto"/>
          <w:szCs w:val="24"/>
          <w:highlight w:val="none"/>
          <w:shd w:val="clear" w:color="auto" w:fill="FFFFFF"/>
        </w:rPr>
        <w:t>流平性好，无镘刀痕，大面积接口处基本平整；</w:t>
      </w:r>
    </w:p>
    <w:p>
      <w:pPr>
        <w:widowControl w:val="0"/>
        <w:numPr>
          <w:ilvl w:val="0"/>
          <w:numId w:val="59"/>
        </w:numPr>
        <w:tabs>
          <w:tab w:val="left" w:pos="1200"/>
        </w:tabs>
        <w:adjustRightInd w:val="0"/>
        <w:spacing w:after="0" w:line="360" w:lineRule="auto"/>
        <w:ind w:left="240" w:right="-180" w:rightChars="-75" w:firstLine="480" w:firstLineChars="200"/>
        <w:jc w:val="both"/>
        <w:textAlignment w:val="baseline"/>
        <w:rPr>
          <w:color w:val="auto"/>
          <w:szCs w:val="24"/>
          <w:highlight w:val="none"/>
          <w:shd w:val="clear" w:color="auto" w:fill="FFFFFF"/>
        </w:rPr>
      </w:pPr>
      <w:r>
        <w:rPr>
          <w:rFonts w:hint="eastAsia"/>
          <w:color w:val="auto"/>
          <w:szCs w:val="24"/>
          <w:highlight w:val="none"/>
          <w:shd w:val="clear" w:color="auto" w:fill="FFFFFF"/>
        </w:rPr>
        <w:t>无浮色发花，颜色均匀一致，大面积接口处允许有极不明显的色差；</w:t>
      </w:r>
    </w:p>
    <w:p>
      <w:pPr>
        <w:widowControl w:val="0"/>
        <w:numPr>
          <w:ilvl w:val="0"/>
          <w:numId w:val="59"/>
        </w:numPr>
        <w:tabs>
          <w:tab w:val="left" w:pos="1200"/>
        </w:tabs>
        <w:adjustRightInd w:val="0"/>
        <w:spacing w:after="0" w:line="360" w:lineRule="auto"/>
        <w:ind w:left="240" w:right="-180" w:rightChars="-75" w:firstLine="480" w:firstLineChars="200"/>
        <w:jc w:val="both"/>
        <w:textAlignment w:val="baseline"/>
        <w:rPr>
          <w:color w:val="auto"/>
          <w:szCs w:val="24"/>
          <w:highlight w:val="none"/>
          <w:shd w:val="clear" w:color="auto" w:fill="FFFFFF"/>
        </w:rPr>
      </w:pPr>
      <w:r>
        <w:rPr>
          <w:rFonts w:hint="eastAsia"/>
          <w:color w:val="auto"/>
          <w:szCs w:val="24"/>
          <w:highlight w:val="none"/>
          <w:shd w:val="clear" w:color="auto" w:fill="FFFFFF"/>
        </w:rPr>
        <w:t>无粗杂质，但允许有空气中的浮尘掉落在造成的极小缺陷；</w:t>
      </w:r>
    </w:p>
    <w:p>
      <w:pPr>
        <w:widowControl w:val="0"/>
        <w:numPr>
          <w:ilvl w:val="0"/>
          <w:numId w:val="59"/>
        </w:numPr>
        <w:tabs>
          <w:tab w:val="left" w:pos="1200"/>
        </w:tabs>
        <w:adjustRightInd w:val="0"/>
        <w:spacing w:after="0" w:line="360" w:lineRule="auto"/>
        <w:ind w:left="240" w:right="-180" w:rightChars="-75" w:firstLine="480" w:firstLineChars="200"/>
        <w:jc w:val="both"/>
        <w:textAlignment w:val="baseline"/>
        <w:rPr>
          <w:color w:val="auto"/>
          <w:szCs w:val="24"/>
          <w:highlight w:val="none"/>
          <w:shd w:val="clear" w:color="auto" w:fill="FFFFFF"/>
        </w:rPr>
      </w:pPr>
      <w:r>
        <w:rPr>
          <w:rFonts w:hint="eastAsia"/>
          <w:color w:val="auto"/>
          <w:szCs w:val="24"/>
          <w:highlight w:val="none"/>
          <w:shd w:val="clear" w:color="auto" w:fill="FFFFFF"/>
        </w:rPr>
        <w:t>地坪表面应平整平滑，光泽度应达到设计要求50~70。</w:t>
      </w:r>
    </w:p>
    <w:p>
      <w:pPr>
        <w:pStyle w:val="8"/>
        <w:ind w:left="1134" w:right="-180" w:rightChars="-75" w:hanging="708"/>
        <w:rPr>
          <w:highlight w:val="none"/>
        </w:rPr>
      </w:pPr>
      <w:r>
        <w:rPr>
          <w:rFonts w:hint="eastAsia"/>
          <w:highlight w:val="none"/>
        </w:rPr>
        <w:t>5）</w:t>
      </w:r>
      <w:r>
        <w:rPr>
          <w:highlight w:val="none"/>
        </w:rPr>
        <w:t>.</w:t>
      </w:r>
      <w:r>
        <w:rPr>
          <w:rFonts w:hint="eastAsia"/>
          <w:highlight w:val="none"/>
        </w:rPr>
        <w:t>橡塑保温棉</w:t>
      </w:r>
    </w:p>
    <w:p>
      <w:pPr>
        <w:adjustRightInd w:val="0"/>
        <w:spacing w:line="360" w:lineRule="auto"/>
        <w:ind w:left="240" w:right="-180" w:rightChars="-75" w:firstLine="480" w:firstLineChars="200"/>
        <w:textAlignment w:val="baseline"/>
        <w:rPr>
          <w:color w:val="auto"/>
          <w:szCs w:val="24"/>
          <w:highlight w:val="none"/>
          <w:shd w:val="clear" w:color="auto" w:fill="FFFFFF"/>
        </w:rPr>
      </w:pPr>
      <w:r>
        <w:rPr>
          <w:rFonts w:hint="eastAsia"/>
          <w:color w:val="auto"/>
          <w:szCs w:val="24"/>
          <w:highlight w:val="none"/>
          <w:shd w:val="clear" w:color="auto" w:fill="FFFFFF"/>
        </w:rPr>
        <w:t>采用B1级橡塑保温棉，保温材料需要厚度超过20mm。不含氯氟化物有害物，符合ISO14000国际环保认证要求，安装及应用中不产生任何对人体有害的污染物。导热系数≤0.038W/m.k，保温棉拼接处需用胶布密封严实，不能存在有漏封或胶布粘贴不牢固等不良情况。投标单位需提供产品质量合格证书，如产品出现质量问题或施工出现粘贴不牢固与拼缝密封不到位等情况，需由投标单位自行整改，产生的所有费用由投标单位承担。</w:t>
      </w:r>
    </w:p>
    <w:p>
      <w:pPr>
        <w:pStyle w:val="8"/>
        <w:ind w:left="1134" w:right="-180" w:rightChars="-75" w:hanging="708"/>
        <w:rPr>
          <w:highlight w:val="none"/>
        </w:rPr>
      </w:pPr>
      <w:r>
        <w:rPr>
          <w:rFonts w:hint="eastAsia"/>
          <w:highlight w:val="none"/>
        </w:rPr>
        <w:t>6）</w:t>
      </w:r>
      <w:r>
        <w:rPr>
          <w:highlight w:val="none"/>
        </w:rPr>
        <w:t>.</w:t>
      </w:r>
      <w:r>
        <w:rPr>
          <w:rFonts w:hint="eastAsia"/>
          <w:highlight w:val="none"/>
        </w:rPr>
        <w:t>底座</w:t>
      </w:r>
    </w:p>
    <w:p>
      <w:pPr>
        <w:adjustRightInd w:val="0"/>
        <w:spacing w:line="360" w:lineRule="auto"/>
        <w:ind w:left="240" w:right="-180" w:rightChars="-75" w:firstLine="480" w:firstLineChars="200"/>
        <w:textAlignment w:val="baseline"/>
        <w:rPr>
          <w:color w:val="auto"/>
          <w:szCs w:val="24"/>
          <w:highlight w:val="none"/>
          <w:shd w:val="clear" w:color="auto" w:fill="FFFFFF"/>
        </w:rPr>
      </w:pPr>
      <w:r>
        <w:rPr>
          <w:rFonts w:hint="eastAsia"/>
          <w:color w:val="auto"/>
          <w:szCs w:val="24"/>
          <w:highlight w:val="none"/>
          <w:shd w:val="clear" w:color="auto" w:fill="FFFFFF"/>
        </w:rPr>
        <w:t>机柜底座采用镀锌角钢50*50*5mm、配电柜、电池架底采用角钢100*80*5mm焊接加工而成，选用M12膨胀螺栓与地面固定，机柜底座尺寸为600x1200x300mm，列头柜底座尺寸为600x1200x300mm，每根角钢交叉节点处都焊接支撑角钢，且每个与地面接触的角钢交叉处都用膨胀螺栓M12与地面固定，支撑架高度为300mm，完成面平度度≤5mm，为了达到抗震的要求，每间隔一列做角钢斜撑，详细做法参照设计图纸，机柜底座、配电柜承重能力要求达到10KN/m2以上，电池架底座承重能力要求达到16KN/m2以上，抗震烈度要求达到8度，点焊处需打磨平整光滑无起泡，刷防锈漆两遍。</w:t>
      </w:r>
    </w:p>
    <w:p>
      <w:pPr>
        <w:pStyle w:val="8"/>
        <w:ind w:left="1134" w:right="-180" w:rightChars="-75" w:hanging="708"/>
        <w:rPr>
          <w:highlight w:val="none"/>
        </w:rPr>
      </w:pPr>
      <w:r>
        <w:rPr>
          <w:rFonts w:hint="eastAsia"/>
          <w:highlight w:val="none"/>
        </w:rPr>
        <w:t>7）</w:t>
      </w:r>
      <w:r>
        <w:rPr>
          <w:highlight w:val="none"/>
        </w:rPr>
        <w:t>.</w:t>
      </w:r>
      <w:r>
        <w:rPr>
          <w:rFonts w:hint="eastAsia"/>
          <w:highlight w:val="none"/>
        </w:rPr>
        <w:t>踢脚线</w:t>
      </w:r>
    </w:p>
    <w:p>
      <w:pPr>
        <w:adjustRightInd w:val="0"/>
        <w:spacing w:line="360" w:lineRule="auto"/>
        <w:ind w:left="240" w:right="-180" w:rightChars="-75" w:firstLine="480" w:firstLineChars="200"/>
        <w:textAlignment w:val="baseline"/>
        <w:rPr>
          <w:color w:val="auto"/>
          <w:szCs w:val="24"/>
          <w:highlight w:val="none"/>
        </w:rPr>
      </w:pPr>
      <w:r>
        <w:rPr>
          <w:rFonts w:hint="eastAsia"/>
          <w:color w:val="auto"/>
          <w:szCs w:val="24"/>
          <w:highlight w:val="none"/>
        </w:rPr>
        <w:t>不锈钢踢脚线选用镜面不锈钢100x1.0mm（高x厚），不锈钢踢脚线基层板采用9mm夹板与墙角钉牢，表面平直，安装牢固，不应发生翘曲或呈波浪形等情况。 采用气动打钉枪固定不锈钢脚板基层板，基板选用9mm厚夹板，若采用明钉固定时钉帽必须打扁并打入板中2-3mm，钉时不得在板面留下伤痕。板上口应平整。拉通线检查时，偏差不得大于3mm，接搓平整，误差不得大于1mm。 不锈钢脚板基层板接缝处做斜边压搓胶粘法，墙面明、阳角处宜做45°斜边平整粘接接缝，不能搭接。不锈钢脚基层板与地坪必须垂直一致。不锈钢脚基层板含水率应按不同地区的自然含水率加以控制，一般不应大于18%，相互胶粘接缝的木材含水率相差不应大于1.5%。 不锈钢饰面板板缝、接口处高差不大于0.5mm，平整不大于0.5mm、接缝宽度不大于1mm。</w:t>
      </w:r>
    </w:p>
    <w:p>
      <w:pPr>
        <w:pStyle w:val="8"/>
        <w:ind w:left="1134" w:right="-180" w:rightChars="-75" w:hanging="708"/>
        <w:rPr>
          <w:highlight w:val="none"/>
        </w:rPr>
      </w:pPr>
      <w:r>
        <w:rPr>
          <w:highlight w:val="none"/>
        </w:rPr>
        <w:t>8</w:t>
      </w:r>
      <w:r>
        <w:rPr>
          <w:rFonts w:hint="eastAsia"/>
          <w:highlight w:val="none"/>
        </w:rPr>
        <w:t>）</w:t>
      </w:r>
      <w:r>
        <w:rPr>
          <w:highlight w:val="none"/>
        </w:rPr>
        <w:t>.</w:t>
      </w:r>
      <w:r>
        <w:rPr>
          <w:rFonts w:hint="eastAsia"/>
          <w:highlight w:val="none"/>
        </w:rPr>
        <w:t>墙面白色乳胶漆</w:t>
      </w:r>
    </w:p>
    <w:p>
      <w:pPr>
        <w:adjustRightInd w:val="0"/>
        <w:spacing w:line="360" w:lineRule="auto"/>
        <w:ind w:left="240" w:right="-180" w:rightChars="-75" w:firstLine="480" w:firstLineChars="200"/>
        <w:textAlignment w:val="baseline"/>
        <w:rPr>
          <w:color w:val="auto"/>
          <w:szCs w:val="24"/>
          <w:highlight w:val="none"/>
          <w:shd w:val="clear" w:color="auto" w:fill="FFFFFF"/>
        </w:rPr>
      </w:pPr>
      <w:r>
        <w:rPr>
          <w:rFonts w:hint="eastAsia"/>
          <w:color w:val="auto"/>
          <w:szCs w:val="24"/>
          <w:highlight w:val="none"/>
          <w:shd w:val="clear" w:color="auto" w:fill="FFFFFF"/>
        </w:rPr>
        <w:t>选用无毒、无味、安全环保型白色乳胶漆，施工前将表面灰尘清扫干净，满刮腻子两遍，第一遍应用胶皮刮板满刮，要求横向刮抹平整、均匀、光滑，密实平整，干透后用粗砂纸打磨平整。第二遍满刮腻子方法同第一遍，但刮抹方向与前腻子相垂直。然后用粗砂纸打磨平整。底层涂料施工应在干燥、清洁、牢固的层表面上进行，喷涂一遍，涂层需均匀，不得漏涂。中层涂料涂刷时如发现有不平整之处，用腻子补平磨光，最后喷涂乳胶漆面层，要求表面光滑、平整、不起尘。</w:t>
      </w:r>
    </w:p>
    <w:p>
      <w:pPr>
        <w:pStyle w:val="8"/>
        <w:ind w:left="1134" w:right="-180" w:rightChars="-75" w:hanging="708"/>
        <w:rPr>
          <w:highlight w:val="none"/>
        </w:rPr>
      </w:pPr>
      <w:r>
        <w:rPr>
          <w:rFonts w:hint="eastAsia"/>
          <w:highlight w:val="none"/>
        </w:rPr>
        <w:t>9）</w:t>
      </w:r>
      <w:r>
        <w:rPr>
          <w:highlight w:val="none"/>
        </w:rPr>
        <w:t>.</w:t>
      </w:r>
      <w:r>
        <w:rPr>
          <w:rFonts w:hint="eastAsia"/>
          <w:highlight w:val="none"/>
        </w:rPr>
        <w:t>天花乳胶漆</w:t>
      </w:r>
    </w:p>
    <w:p>
      <w:pPr>
        <w:adjustRightInd w:val="0"/>
        <w:spacing w:line="360" w:lineRule="auto"/>
        <w:ind w:left="240" w:right="-180" w:rightChars="-75" w:firstLine="480" w:firstLineChars="200"/>
        <w:textAlignment w:val="baseline"/>
        <w:rPr>
          <w:color w:val="auto"/>
          <w:szCs w:val="24"/>
          <w:highlight w:val="none"/>
          <w:shd w:val="clear" w:color="auto" w:fill="FFFFFF"/>
        </w:rPr>
      </w:pPr>
      <w:r>
        <w:rPr>
          <w:rFonts w:hint="eastAsia"/>
          <w:color w:val="auto"/>
          <w:szCs w:val="24"/>
          <w:highlight w:val="none"/>
          <w:shd w:val="clear" w:color="auto" w:fill="FFFFFF"/>
        </w:rPr>
        <w:t>选用无毒、无味、安全环保型乳胶漆，施工前将表面灰尘清扫干净，要求至少刷封闭底漆一遍，面漆一遍以上，表面色泽均匀、不起尘，不起泡、不掉落。</w:t>
      </w:r>
    </w:p>
    <w:p>
      <w:pPr>
        <w:pStyle w:val="8"/>
        <w:ind w:left="1134" w:right="-180" w:rightChars="-75" w:hanging="708"/>
        <w:rPr>
          <w:highlight w:val="none"/>
        </w:rPr>
      </w:pPr>
      <w:r>
        <w:rPr>
          <w:rFonts w:hint="eastAsia"/>
          <w:highlight w:val="none"/>
        </w:rPr>
        <w:t>1</w:t>
      </w:r>
      <w:r>
        <w:rPr>
          <w:highlight w:val="none"/>
        </w:rPr>
        <w:t>0</w:t>
      </w:r>
      <w:r>
        <w:rPr>
          <w:rFonts w:hint="eastAsia"/>
          <w:highlight w:val="none"/>
        </w:rPr>
        <w:t>）</w:t>
      </w:r>
      <w:r>
        <w:rPr>
          <w:highlight w:val="none"/>
        </w:rPr>
        <w:t>.</w:t>
      </w:r>
      <w:r>
        <w:rPr>
          <w:rFonts w:hint="eastAsia"/>
          <w:highlight w:val="none"/>
        </w:rPr>
        <w:t>电气工程（照明系统及应急照明系统）</w:t>
      </w:r>
    </w:p>
    <w:p>
      <w:pPr>
        <w:shd w:val="clear" w:color="auto" w:fill="FFFFFF"/>
        <w:spacing w:line="360" w:lineRule="auto"/>
        <w:ind w:left="1134" w:right="-180" w:rightChars="-75" w:hanging="708"/>
        <w:textAlignment w:val="baseline"/>
        <w:rPr>
          <w:color w:val="auto"/>
          <w:szCs w:val="24"/>
          <w:highlight w:val="none"/>
        </w:rPr>
      </w:pPr>
      <w:bookmarkStart w:id="143" w:name="_Toc258488715"/>
      <w:bookmarkStart w:id="144" w:name="_Toc258801671"/>
      <w:r>
        <w:rPr>
          <w:rFonts w:hint="eastAsia"/>
          <w:color w:val="auto"/>
          <w:szCs w:val="24"/>
          <w:highlight w:val="none"/>
        </w:rPr>
        <w:t>（a）设计依据</w:t>
      </w:r>
      <w:bookmarkEnd w:id="143"/>
      <w:bookmarkEnd w:id="144"/>
    </w:p>
    <w:p>
      <w:pPr>
        <w:shd w:val="clear" w:color="auto" w:fill="FFFFFF"/>
        <w:spacing w:line="360" w:lineRule="auto"/>
        <w:ind w:left="480" w:right="-180" w:rightChars="-75" w:firstLine="66"/>
        <w:textAlignment w:val="baseline"/>
        <w:rPr>
          <w:color w:val="auto"/>
          <w:szCs w:val="24"/>
          <w:highlight w:val="none"/>
        </w:rPr>
      </w:pPr>
      <w:r>
        <w:rPr>
          <w:rFonts w:hint="eastAsia"/>
          <w:color w:val="auto"/>
          <w:szCs w:val="24"/>
          <w:highlight w:val="none"/>
        </w:rPr>
        <w:t>GB/T2887——2011《计算机场地通用规范》；</w:t>
      </w:r>
    </w:p>
    <w:p>
      <w:pPr>
        <w:shd w:val="clear" w:color="auto" w:fill="FFFFFF"/>
        <w:spacing w:line="360" w:lineRule="auto"/>
        <w:ind w:left="480" w:right="-180" w:rightChars="-75" w:firstLine="66"/>
        <w:textAlignment w:val="baseline"/>
        <w:rPr>
          <w:color w:val="auto"/>
          <w:szCs w:val="24"/>
          <w:highlight w:val="none"/>
        </w:rPr>
      </w:pPr>
      <w:r>
        <w:rPr>
          <w:rFonts w:hint="eastAsia"/>
          <w:color w:val="auto"/>
          <w:szCs w:val="24"/>
          <w:highlight w:val="none"/>
        </w:rPr>
        <w:t>GB50174——2017《数据中心设计规范》；</w:t>
      </w:r>
    </w:p>
    <w:p>
      <w:pPr>
        <w:shd w:val="clear" w:color="auto" w:fill="FFFFFF"/>
        <w:spacing w:line="360" w:lineRule="auto"/>
        <w:ind w:left="480" w:right="-180" w:rightChars="-75" w:firstLine="66"/>
        <w:textAlignment w:val="baseline"/>
        <w:rPr>
          <w:color w:val="auto"/>
          <w:szCs w:val="24"/>
          <w:highlight w:val="none"/>
        </w:rPr>
      </w:pPr>
      <w:r>
        <w:rPr>
          <w:rFonts w:hint="eastAsia"/>
          <w:color w:val="auto"/>
          <w:szCs w:val="24"/>
          <w:highlight w:val="none"/>
        </w:rPr>
        <w:t>GB/T 9361——2011《计算机场地安全要求》；</w:t>
      </w:r>
    </w:p>
    <w:p>
      <w:pPr>
        <w:shd w:val="clear" w:color="auto" w:fill="FFFFFF"/>
        <w:spacing w:line="360" w:lineRule="auto"/>
        <w:ind w:left="480" w:right="-180" w:rightChars="-75" w:firstLine="66"/>
        <w:textAlignment w:val="baseline"/>
        <w:rPr>
          <w:color w:val="auto"/>
          <w:szCs w:val="24"/>
          <w:highlight w:val="none"/>
        </w:rPr>
      </w:pPr>
      <w:r>
        <w:rPr>
          <w:rFonts w:hint="eastAsia"/>
          <w:color w:val="auto"/>
          <w:szCs w:val="24"/>
          <w:highlight w:val="none"/>
        </w:rPr>
        <w:t>GB 50034-2013《建筑照明设计标准》；</w:t>
      </w:r>
    </w:p>
    <w:p>
      <w:pPr>
        <w:shd w:val="clear" w:color="auto" w:fill="FFFFFF"/>
        <w:spacing w:line="360" w:lineRule="auto"/>
        <w:ind w:left="1134" w:right="-180" w:rightChars="-75" w:hanging="708"/>
        <w:textAlignment w:val="baseline"/>
        <w:rPr>
          <w:color w:val="auto"/>
          <w:szCs w:val="24"/>
          <w:highlight w:val="none"/>
        </w:rPr>
      </w:pPr>
      <w:bookmarkStart w:id="145" w:name="_Toc258801672"/>
      <w:bookmarkStart w:id="146" w:name="_Toc258488716"/>
      <w:r>
        <w:rPr>
          <w:rFonts w:hint="eastAsia"/>
          <w:color w:val="auto"/>
          <w:szCs w:val="24"/>
          <w:highlight w:val="none"/>
        </w:rPr>
        <w:t>（b）机房照度设计</w:t>
      </w:r>
      <w:bookmarkEnd w:id="145"/>
      <w:bookmarkEnd w:id="146"/>
    </w:p>
    <w:p>
      <w:pPr>
        <w:adjustRightInd w:val="0"/>
        <w:spacing w:line="360" w:lineRule="auto"/>
        <w:ind w:left="240" w:right="-180" w:rightChars="-75" w:firstLine="480" w:firstLineChars="200"/>
        <w:textAlignment w:val="baseline"/>
        <w:rPr>
          <w:color w:val="auto"/>
          <w:szCs w:val="24"/>
          <w:highlight w:val="none"/>
          <w:shd w:val="clear" w:color="auto" w:fill="FFFFFF"/>
        </w:rPr>
      </w:pPr>
      <w:r>
        <w:rPr>
          <w:rFonts w:hint="eastAsia"/>
          <w:color w:val="auto"/>
          <w:szCs w:val="24"/>
          <w:highlight w:val="none"/>
          <w:shd w:val="clear" w:color="auto" w:fill="FFFFFF"/>
        </w:rPr>
        <w:t>依据上述标准要求，主机房,电力室照度按500LX设计，电池室照度按300LX设计，照明均匀度≥0.7；疏散及安全出口指示灯照度按≥１LX设计。机房应急照明照度按≥50LX设计；在市电停电后，由应急照明自动检测装置自动检测投入应急照明。</w:t>
      </w:r>
    </w:p>
    <w:p>
      <w:pPr>
        <w:shd w:val="clear" w:color="auto" w:fill="FFFFFF"/>
        <w:spacing w:line="360" w:lineRule="auto"/>
        <w:ind w:left="1134" w:right="-180" w:rightChars="-75" w:hanging="708"/>
        <w:textAlignment w:val="baseline"/>
        <w:rPr>
          <w:color w:val="auto"/>
          <w:szCs w:val="24"/>
          <w:highlight w:val="none"/>
        </w:rPr>
      </w:pPr>
      <w:r>
        <w:rPr>
          <w:rFonts w:hint="eastAsia"/>
          <w:color w:val="auto"/>
          <w:szCs w:val="24"/>
          <w:highlight w:val="none"/>
        </w:rPr>
        <w:t xml:space="preserve">（C）照明系统设计 </w:t>
      </w:r>
    </w:p>
    <w:p>
      <w:pPr>
        <w:adjustRightInd w:val="0"/>
        <w:spacing w:line="360" w:lineRule="auto"/>
        <w:ind w:left="240" w:right="-180" w:rightChars="-75" w:firstLine="480" w:firstLineChars="200"/>
        <w:textAlignment w:val="baseline"/>
        <w:rPr>
          <w:color w:val="auto"/>
          <w:szCs w:val="24"/>
          <w:highlight w:val="none"/>
          <w:shd w:val="clear" w:color="auto" w:fill="FFFFFF"/>
        </w:rPr>
      </w:pPr>
      <w:r>
        <w:rPr>
          <w:rFonts w:hint="eastAsia"/>
          <w:color w:val="auto"/>
          <w:szCs w:val="24"/>
          <w:highlight w:val="none"/>
          <w:shd w:val="clear" w:color="auto" w:fill="FFFFFF"/>
        </w:rPr>
        <w:t xml:space="preserve">灯具的选用：机房区选用T8LED管盘，配电室选用T8LED管盘。 </w:t>
      </w:r>
    </w:p>
    <w:p>
      <w:pPr>
        <w:adjustRightInd w:val="0"/>
        <w:spacing w:line="360" w:lineRule="auto"/>
        <w:ind w:left="240" w:right="-180" w:rightChars="-75" w:firstLine="480" w:firstLineChars="200"/>
        <w:textAlignment w:val="baseline"/>
        <w:rPr>
          <w:color w:val="auto"/>
          <w:szCs w:val="24"/>
          <w:highlight w:val="none"/>
          <w:shd w:val="clear" w:color="auto" w:fill="FFFFFF"/>
        </w:rPr>
      </w:pPr>
      <w:r>
        <w:rPr>
          <w:rFonts w:hint="eastAsia"/>
          <w:color w:val="auto"/>
          <w:szCs w:val="24"/>
          <w:highlight w:val="none"/>
          <w:shd w:val="clear" w:color="auto" w:fill="FFFFFF"/>
        </w:rPr>
        <w:t xml:space="preserve">灯具的安装：将灯具吊挂在楼顶板下，每个灯具配照明转接用端子接线盒，照明电源线敷设采用PC25镀锌钢管吸顶敷设。 </w:t>
      </w:r>
    </w:p>
    <w:p>
      <w:pPr>
        <w:adjustRightInd w:val="0"/>
        <w:spacing w:line="360" w:lineRule="auto"/>
        <w:ind w:left="240" w:right="-180" w:rightChars="-75" w:firstLine="480" w:firstLineChars="200"/>
        <w:textAlignment w:val="baseline"/>
        <w:rPr>
          <w:color w:val="auto"/>
          <w:szCs w:val="24"/>
          <w:highlight w:val="none"/>
          <w:shd w:val="clear" w:color="auto" w:fill="FFFFFF"/>
        </w:rPr>
      </w:pPr>
      <w:r>
        <w:rPr>
          <w:rFonts w:hint="eastAsia"/>
          <w:color w:val="auto"/>
          <w:szCs w:val="24"/>
          <w:highlight w:val="none"/>
          <w:shd w:val="clear" w:color="auto" w:fill="FFFFFF"/>
        </w:rPr>
        <w:t>疏散照明选型及材料特点</w:t>
      </w:r>
    </w:p>
    <w:p>
      <w:pPr>
        <w:adjustRightInd w:val="0"/>
        <w:spacing w:line="360" w:lineRule="auto"/>
        <w:ind w:left="240" w:right="-180" w:rightChars="-75" w:firstLine="480" w:firstLineChars="200"/>
        <w:textAlignment w:val="baseline"/>
        <w:rPr>
          <w:color w:val="auto"/>
          <w:szCs w:val="24"/>
          <w:highlight w:val="none"/>
          <w:shd w:val="clear" w:color="auto" w:fill="FFFFFF"/>
        </w:rPr>
      </w:pPr>
      <w:r>
        <w:rPr>
          <w:rFonts w:hint="eastAsia"/>
          <w:color w:val="auto"/>
          <w:szCs w:val="24"/>
          <w:highlight w:val="none"/>
          <w:shd w:val="clear" w:color="auto" w:fill="FFFFFF"/>
        </w:rPr>
        <w:t>疏散指示灯、出口指示灯采用通过ISO9001：2000认证产品。</w:t>
      </w:r>
    </w:p>
    <w:p>
      <w:pPr>
        <w:pStyle w:val="8"/>
        <w:ind w:left="1134" w:right="-180" w:rightChars="-75" w:hanging="708"/>
        <w:rPr>
          <w:highlight w:val="none"/>
        </w:rPr>
      </w:pPr>
      <w:r>
        <w:rPr>
          <w:rFonts w:hint="eastAsia"/>
          <w:highlight w:val="none"/>
        </w:rPr>
        <w:t>1</w:t>
      </w:r>
      <w:r>
        <w:rPr>
          <w:highlight w:val="none"/>
        </w:rPr>
        <w:t>1</w:t>
      </w:r>
      <w:r>
        <w:rPr>
          <w:rFonts w:hint="eastAsia"/>
          <w:highlight w:val="none"/>
        </w:rPr>
        <w:t>）</w:t>
      </w:r>
      <w:r>
        <w:rPr>
          <w:highlight w:val="none"/>
        </w:rPr>
        <w:t>.</w:t>
      </w:r>
      <w:r>
        <w:rPr>
          <w:rFonts w:hint="eastAsia"/>
          <w:highlight w:val="none"/>
        </w:rPr>
        <w:t>防雷接地系统</w:t>
      </w:r>
    </w:p>
    <w:p>
      <w:pPr>
        <w:tabs>
          <w:tab w:val="left" w:pos="240"/>
        </w:tabs>
        <w:spacing w:line="360" w:lineRule="auto"/>
        <w:ind w:left="240" w:leftChars="100" w:right="-180" w:rightChars="-75" w:firstLine="480" w:firstLineChars="200"/>
        <w:rPr>
          <w:color w:val="auto"/>
          <w:szCs w:val="24"/>
          <w:highlight w:val="none"/>
        </w:rPr>
      </w:pPr>
      <w:r>
        <w:rPr>
          <w:rFonts w:hint="eastAsia"/>
          <w:color w:val="auto"/>
          <w:szCs w:val="24"/>
          <w:highlight w:val="none"/>
        </w:rPr>
        <w:t xml:space="preserve">按照国家有关规范和要求设置安全、可靠的防雷与接地系统，需考虑： </w:t>
      </w:r>
    </w:p>
    <w:p>
      <w:pPr>
        <w:tabs>
          <w:tab w:val="left" w:pos="240"/>
        </w:tabs>
        <w:adjustRightInd w:val="0"/>
        <w:spacing w:line="360" w:lineRule="auto"/>
        <w:ind w:left="240" w:leftChars="100" w:right="-180" w:rightChars="-75" w:firstLine="480" w:firstLineChars="200"/>
        <w:textAlignment w:val="baseline"/>
        <w:rPr>
          <w:color w:val="auto"/>
          <w:szCs w:val="24"/>
          <w:highlight w:val="none"/>
        </w:rPr>
      </w:pPr>
      <w:r>
        <w:rPr>
          <w:rFonts w:hint="eastAsia"/>
          <w:color w:val="auto"/>
          <w:szCs w:val="24"/>
          <w:highlight w:val="none"/>
        </w:rPr>
        <w:t xml:space="preserve">（a）防止直击雷、感应雷、雷电侵入波的措施； </w:t>
      </w:r>
    </w:p>
    <w:p>
      <w:pPr>
        <w:tabs>
          <w:tab w:val="left" w:pos="240"/>
        </w:tabs>
        <w:adjustRightInd w:val="0"/>
        <w:spacing w:line="360" w:lineRule="auto"/>
        <w:ind w:left="240" w:leftChars="100" w:right="-180" w:rightChars="-75" w:firstLine="480" w:firstLineChars="200"/>
        <w:textAlignment w:val="baseline"/>
        <w:rPr>
          <w:color w:val="auto"/>
          <w:szCs w:val="24"/>
          <w:highlight w:val="none"/>
        </w:rPr>
      </w:pPr>
      <w:r>
        <w:rPr>
          <w:rFonts w:hint="eastAsia"/>
          <w:color w:val="auto"/>
          <w:szCs w:val="24"/>
          <w:highlight w:val="none"/>
        </w:rPr>
        <w:t xml:space="preserve">（b）计算机机房设备的接地与防雷； </w:t>
      </w:r>
    </w:p>
    <w:p>
      <w:pPr>
        <w:tabs>
          <w:tab w:val="left" w:pos="240"/>
        </w:tabs>
        <w:adjustRightInd w:val="0"/>
        <w:spacing w:line="360" w:lineRule="auto"/>
        <w:ind w:left="240" w:leftChars="100" w:right="-180" w:rightChars="-75" w:firstLine="480" w:firstLineChars="200"/>
        <w:textAlignment w:val="baseline"/>
        <w:rPr>
          <w:color w:val="auto"/>
          <w:szCs w:val="24"/>
          <w:highlight w:val="none"/>
        </w:rPr>
      </w:pPr>
      <w:r>
        <w:rPr>
          <w:rFonts w:hint="eastAsia"/>
          <w:color w:val="auto"/>
          <w:szCs w:val="24"/>
          <w:highlight w:val="none"/>
        </w:rPr>
        <w:t xml:space="preserve">（c)传输设备和缆线接地与防雷； </w:t>
      </w:r>
    </w:p>
    <w:p>
      <w:pPr>
        <w:tabs>
          <w:tab w:val="left" w:pos="240"/>
        </w:tabs>
        <w:adjustRightInd w:val="0"/>
        <w:spacing w:line="360" w:lineRule="auto"/>
        <w:ind w:left="240" w:leftChars="100" w:right="-180" w:rightChars="-75" w:firstLine="480" w:firstLineChars="200"/>
        <w:textAlignment w:val="baseline"/>
        <w:rPr>
          <w:color w:val="auto"/>
          <w:szCs w:val="24"/>
          <w:highlight w:val="none"/>
        </w:rPr>
      </w:pPr>
      <w:r>
        <w:rPr>
          <w:rFonts w:hint="eastAsia"/>
          <w:color w:val="auto"/>
          <w:szCs w:val="24"/>
          <w:highlight w:val="none"/>
        </w:rPr>
        <w:t xml:space="preserve">（d）交流电源系统接地与防雷； </w:t>
      </w:r>
    </w:p>
    <w:p>
      <w:pPr>
        <w:tabs>
          <w:tab w:val="left" w:pos="240"/>
        </w:tabs>
        <w:adjustRightInd w:val="0"/>
        <w:spacing w:line="360" w:lineRule="auto"/>
        <w:ind w:left="240" w:leftChars="100" w:right="-180" w:rightChars="-75" w:firstLine="480" w:firstLineChars="200"/>
        <w:textAlignment w:val="baseline"/>
        <w:rPr>
          <w:color w:val="auto"/>
          <w:szCs w:val="24"/>
          <w:highlight w:val="none"/>
        </w:rPr>
      </w:pPr>
      <w:r>
        <w:rPr>
          <w:rFonts w:hint="eastAsia"/>
          <w:color w:val="auto"/>
          <w:szCs w:val="24"/>
          <w:highlight w:val="none"/>
        </w:rPr>
        <w:t xml:space="preserve">（e）直流电源系统接地；  </w:t>
      </w:r>
    </w:p>
    <w:p>
      <w:pPr>
        <w:tabs>
          <w:tab w:val="left" w:pos="240"/>
        </w:tabs>
        <w:spacing w:line="360" w:lineRule="auto"/>
        <w:ind w:left="240" w:leftChars="100" w:right="-180" w:rightChars="-75" w:firstLine="480" w:firstLineChars="200"/>
        <w:rPr>
          <w:color w:val="auto"/>
          <w:szCs w:val="24"/>
          <w:highlight w:val="none"/>
        </w:rPr>
      </w:pPr>
      <w:r>
        <w:rPr>
          <w:rFonts w:hint="eastAsia"/>
          <w:color w:val="auto"/>
          <w:szCs w:val="24"/>
          <w:highlight w:val="none"/>
        </w:rPr>
        <w:t xml:space="preserve">根据《数据中心设计规范》GB50174-2017标准要求，计算机机房接地装置应满足下列接地要求： </w:t>
      </w:r>
    </w:p>
    <w:p>
      <w:pPr>
        <w:tabs>
          <w:tab w:val="left" w:pos="240"/>
        </w:tabs>
        <w:adjustRightInd w:val="0"/>
        <w:spacing w:line="360" w:lineRule="auto"/>
        <w:ind w:left="240" w:leftChars="100" w:right="-180" w:rightChars="-75" w:firstLine="480" w:firstLineChars="200"/>
        <w:textAlignment w:val="baseline"/>
        <w:rPr>
          <w:color w:val="auto"/>
          <w:szCs w:val="24"/>
          <w:highlight w:val="none"/>
        </w:rPr>
      </w:pPr>
      <w:r>
        <w:rPr>
          <w:rFonts w:hint="eastAsia"/>
          <w:color w:val="auto"/>
          <w:szCs w:val="24"/>
          <w:highlight w:val="none"/>
        </w:rPr>
        <w:t xml:space="preserve">（a）交流工作接地，接地电阻不大于4Ω； </w:t>
      </w:r>
    </w:p>
    <w:p>
      <w:pPr>
        <w:tabs>
          <w:tab w:val="left" w:pos="240"/>
        </w:tabs>
        <w:adjustRightInd w:val="0"/>
        <w:spacing w:line="360" w:lineRule="auto"/>
        <w:ind w:left="240" w:leftChars="100" w:right="-180" w:rightChars="-75" w:firstLine="480" w:firstLineChars="200"/>
        <w:textAlignment w:val="baseline"/>
        <w:rPr>
          <w:color w:val="auto"/>
          <w:szCs w:val="24"/>
          <w:highlight w:val="none"/>
        </w:rPr>
      </w:pPr>
      <w:r>
        <w:rPr>
          <w:rFonts w:hint="eastAsia"/>
          <w:color w:val="auto"/>
          <w:szCs w:val="24"/>
          <w:highlight w:val="none"/>
        </w:rPr>
        <w:t xml:space="preserve">（b）安全保护接地，接地电阻不大于 4Ω； </w:t>
      </w:r>
    </w:p>
    <w:p>
      <w:pPr>
        <w:tabs>
          <w:tab w:val="left" w:pos="240"/>
        </w:tabs>
        <w:adjustRightInd w:val="0"/>
        <w:spacing w:line="360" w:lineRule="auto"/>
        <w:ind w:left="240" w:leftChars="100" w:right="-180" w:rightChars="-75" w:firstLine="480" w:firstLineChars="200"/>
        <w:textAlignment w:val="baseline"/>
        <w:rPr>
          <w:color w:val="auto"/>
          <w:szCs w:val="24"/>
          <w:highlight w:val="none"/>
        </w:rPr>
      </w:pPr>
      <w:r>
        <w:rPr>
          <w:rFonts w:hint="eastAsia"/>
          <w:color w:val="auto"/>
          <w:szCs w:val="24"/>
          <w:highlight w:val="none"/>
        </w:rPr>
        <w:t xml:space="preserve">（c）直流工作接地，接地电阻应按计算机系统具体要求确定； </w:t>
      </w:r>
    </w:p>
    <w:p>
      <w:pPr>
        <w:tabs>
          <w:tab w:val="left" w:pos="240"/>
        </w:tabs>
        <w:adjustRightInd w:val="0"/>
        <w:spacing w:line="360" w:lineRule="auto"/>
        <w:ind w:left="240" w:leftChars="100" w:right="-180" w:rightChars="-75" w:firstLine="480" w:firstLineChars="200"/>
        <w:textAlignment w:val="baseline"/>
        <w:rPr>
          <w:color w:val="auto"/>
          <w:szCs w:val="24"/>
          <w:highlight w:val="none"/>
        </w:rPr>
      </w:pPr>
      <w:r>
        <w:rPr>
          <w:rFonts w:hint="eastAsia"/>
          <w:color w:val="auto"/>
          <w:szCs w:val="24"/>
          <w:highlight w:val="none"/>
        </w:rPr>
        <w:t xml:space="preserve">（d） </w:t>
      </w:r>
      <w:r>
        <w:rPr>
          <w:rFonts w:hint="eastAsia"/>
          <w:color w:val="auto"/>
          <w:szCs w:val="24"/>
          <w:highlight w:val="none"/>
          <w:shd w:val="clear" w:color="auto" w:fill="FFFFFF"/>
        </w:rPr>
        <w:t>防雷接地应按现行国标 GB50057-2017《建筑物防雷设计规范》和《建筑物电子信息系统防雷技术规范》GB50343-2012的有关规定执行。</w:t>
      </w:r>
    </w:p>
    <w:p>
      <w:pPr>
        <w:tabs>
          <w:tab w:val="left" w:pos="240"/>
        </w:tabs>
        <w:spacing w:line="360" w:lineRule="auto"/>
        <w:ind w:left="240" w:leftChars="100" w:right="-180" w:rightChars="-75" w:firstLine="480" w:firstLineChars="200"/>
        <w:rPr>
          <w:color w:val="auto"/>
          <w:szCs w:val="24"/>
          <w:highlight w:val="none"/>
        </w:rPr>
      </w:pPr>
      <w:r>
        <w:rPr>
          <w:rFonts w:hint="eastAsia"/>
          <w:color w:val="auto"/>
          <w:szCs w:val="24"/>
          <w:highlight w:val="none"/>
        </w:rPr>
        <w:t>根据规范要求：交流工作接地、安全保护接地、直流工作接地、防雷接地等四种接地宜共用一组接地装置，其接地电阻按其中最小值确定；接地电阻不大于 1Ω。凡正常不带电的电气设备金属外壳及金属构架均应可靠接地,并要与接地装置可靠焊接形成良好的电气通路。</w:t>
      </w:r>
    </w:p>
    <w:p>
      <w:pPr>
        <w:pStyle w:val="48"/>
        <w:tabs>
          <w:tab w:val="left" w:pos="240"/>
        </w:tabs>
        <w:spacing w:line="360" w:lineRule="auto"/>
        <w:ind w:left="240" w:leftChars="100" w:right="-180" w:rightChars="-75" w:firstLine="480"/>
        <w:rPr>
          <w:rFonts w:ascii="宋体" w:hAnsi="宋体" w:eastAsia="宋体" w:cs="宋体"/>
          <w:sz w:val="24"/>
          <w:szCs w:val="24"/>
          <w:highlight w:val="none"/>
        </w:rPr>
      </w:pPr>
      <w:r>
        <w:rPr>
          <w:rFonts w:hint="eastAsia" w:ascii="宋体" w:hAnsi="宋体" w:eastAsia="宋体" w:cs="宋体"/>
          <w:sz w:val="24"/>
          <w:szCs w:val="24"/>
          <w:highlight w:val="none"/>
        </w:rPr>
        <w:t>具体做法如下：</w:t>
      </w:r>
    </w:p>
    <w:p>
      <w:pPr>
        <w:pStyle w:val="48"/>
        <w:tabs>
          <w:tab w:val="left" w:pos="240"/>
        </w:tabs>
        <w:spacing w:line="360" w:lineRule="auto"/>
        <w:ind w:left="240" w:leftChars="100" w:right="-180" w:rightChars="-75" w:firstLine="480"/>
        <w:rPr>
          <w:rFonts w:ascii="宋体" w:hAnsi="宋体" w:eastAsia="宋体" w:cs="宋体"/>
          <w:sz w:val="24"/>
          <w:szCs w:val="24"/>
          <w:highlight w:val="none"/>
        </w:rPr>
      </w:pPr>
      <w:r>
        <w:rPr>
          <w:rFonts w:hint="eastAsia" w:ascii="宋体" w:hAnsi="宋体" w:eastAsia="宋体" w:cs="宋体"/>
          <w:sz w:val="24"/>
          <w:szCs w:val="24"/>
          <w:highlight w:val="none"/>
        </w:rPr>
        <w:t>机房，电力，电池室接地干线用50*5mm镀锌扁钢沿墙敷设并与预留接地端子可靠焊接且每间房不少于2处。敷设高度距地+0.3m，过门或走道时地面内暗敷设。</w:t>
      </w:r>
    </w:p>
    <w:p>
      <w:pPr>
        <w:pStyle w:val="48"/>
        <w:tabs>
          <w:tab w:val="left" w:pos="240"/>
        </w:tabs>
        <w:spacing w:line="360" w:lineRule="auto"/>
        <w:ind w:left="240" w:leftChars="100" w:right="-180" w:rightChars="-75" w:firstLine="480"/>
        <w:rPr>
          <w:rFonts w:ascii="宋体" w:hAnsi="宋体" w:eastAsia="宋体" w:cs="宋体"/>
          <w:sz w:val="24"/>
          <w:szCs w:val="24"/>
          <w:highlight w:val="none"/>
        </w:rPr>
      </w:pPr>
      <w:r>
        <w:rPr>
          <w:rFonts w:hint="eastAsia" w:ascii="宋体" w:hAnsi="宋体" w:eastAsia="宋体" w:cs="宋体"/>
          <w:sz w:val="24"/>
          <w:szCs w:val="24"/>
          <w:highlight w:val="none"/>
        </w:rPr>
        <w:t>设备底座接地干线利用设备角钢底座，用40*4mm热镀锌扁钢将角钢底座连接形成电气通路并与预留接地端子可靠焊接。</w:t>
      </w:r>
    </w:p>
    <w:p>
      <w:pPr>
        <w:pStyle w:val="48"/>
        <w:tabs>
          <w:tab w:val="left" w:pos="240"/>
        </w:tabs>
        <w:spacing w:line="360" w:lineRule="auto"/>
        <w:ind w:left="240" w:leftChars="100" w:right="-180" w:rightChars="-75" w:firstLine="480"/>
        <w:rPr>
          <w:rFonts w:ascii="宋体" w:hAnsi="宋体" w:eastAsia="宋体" w:cs="宋体"/>
          <w:sz w:val="24"/>
          <w:szCs w:val="24"/>
          <w:highlight w:val="none"/>
        </w:rPr>
      </w:pPr>
      <w:r>
        <w:rPr>
          <w:rFonts w:hint="eastAsia" w:ascii="宋体" w:hAnsi="宋体" w:eastAsia="宋体" w:cs="宋体"/>
          <w:sz w:val="24"/>
          <w:szCs w:val="24"/>
          <w:highlight w:val="none"/>
        </w:rPr>
        <w:t>延走线架通长敷设TMY50x5接地铜条，并与预留等电位端子箱LEB（多处）可靠连接。</w:t>
      </w:r>
    </w:p>
    <w:p>
      <w:pPr>
        <w:pStyle w:val="8"/>
        <w:ind w:left="1134" w:right="-180" w:rightChars="-75" w:hanging="708"/>
        <w:rPr>
          <w:highlight w:val="none"/>
        </w:rPr>
      </w:pPr>
      <w:r>
        <w:rPr>
          <w:rFonts w:hint="eastAsia"/>
          <w:highlight w:val="none"/>
        </w:rPr>
        <w:t>1</w:t>
      </w:r>
      <w:r>
        <w:rPr>
          <w:highlight w:val="none"/>
        </w:rPr>
        <w:t>2</w:t>
      </w:r>
      <w:r>
        <w:rPr>
          <w:rFonts w:hint="eastAsia"/>
          <w:highlight w:val="none"/>
        </w:rPr>
        <w:t>）</w:t>
      </w:r>
      <w:r>
        <w:rPr>
          <w:highlight w:val="none"/>
        </w:rPr>
        <w:t>.</w:t>
      </w:r>
      <w:r>
        <w:rPr>
          <w:rFonts w:hint="eastAsia"/>
          <w:highlight w:val="none"/>
        </w:rPr>
        <w:t>电缆进线孔防火封堵</w:t>
      </w:r>
    </w:p>
    <w:p>
      <w:pPr>
        <w:spacing w:line="360" w:lineRule="auto"/>
        <w:ind w:left="413" w:right="-180" w:rightChars="-75" w:hanging="412" w:hangingChars="172"/>
        <w:rPr>
          <w:color w:val="auto"/>
          <w:szCs w:val="24"/>
          <w:highlight w:val="none"/>
        </w:rPr>
      </w:pPr>
      <w:r>
        <w:rPr>
          <w:rFonts w:hint="eastAsia"/>
          <w:color w:val="auto"/>
          <w:szCs w:val="24"/>
          <w:highlight w:val="none"/>
        </w:rPr>
        <w:t>（</w:t>
      </w:r>
      <w:r>
        <w:rPr>
          <w:color w:val="auto"/>
          <w:szCs w:val="24"/>
          <w:highlight w:val="none"/>
        </w:rPr>
        <w:t>a</w:t>
      </w:r>
      <w:r>
        <w:rPr>
          <w:rFonts w:hint="eastAsia"/>
          <w:color w:val="auto"/>
          <w:szCs w:val="24"/>
          <w:highlight w:val="none"/>
        </w:rPr>
        <w:t>）、防火材料要求：</w:t>
      </w:r>
    </w:p>
    <w:p>
      <w:pPr>
        <w:pStyle w:val="53"/>
        <w:numPr>
          <w:ilvl w:val="0"/>
          <w:numId w:val="60"/>
        </w:numPr>
        <w:ind w:left="734" w:right="-180" w:rightChars="-75" w:hanging="308"/>
        <w:rPr>
          <w:rFonts w:ascii="宋体" w:hAnsi="宋体" w:eastAsia="宋体" w:cs="宋体"/>
          <w:color w:val="auto"/>
          <w:sz w:val="24"/>
          <w:szCs w:val="24"/>
          <w:highlight w:val="none"/>
          <w:shd w:val="clear" w:color="auto" w:fill="FFFFFF"/>
        </w:rPr>
      </w:pPr>
      <w:r>
        <w:rPr>
          <w:rFonts w:hint="eastAsia" w:ascii="宋体" w:hAnsi="宋体" w:eastAsia="宋体" w:cs="宋体"/>
          <w:color w:val="auto"/>
          <w:sz w:val="24"/>
          <w:szCs w:val="24"/>
          <w:highlight w:val="none"/>
          <w:shd w:val="clear" w:color="auto" w:fill="FFFFFF"/>
        </w:rPr>
        <w:t>耐火性能要求：满足国家GB23864-2009《防火封堵材料》的要求，不低于被贯穿物的耐火时效。</w:t>
      </w:r>
    </w:p>
    <w:p>
      <w:pPr>
        <w:pStyle w:val="53"/>
        <w:numPr>
          <w:ilvl w:val="0"/>
          <w:numId w:val="60"/>
        </w:numPr>
        <w:ind w:left="734" w:right="-180" w:rightChars="-75" w:hanging="308"/>
        <w:rPr>
          <w:rFonts w:ascii="宋体" w:hAnsi="宋体" w:eastAsia="宋体" w:cs="宋体"/>
          <w:color w:val="auto"/>
          <w:sz w:val="24"/>
          <w:szCs w:val="24"/>
          <w:highlight w:val="none"/>
          <w:shd w:val="clear" w:color="auto" w:fill="FFFFFF"/>
        </w:rPr>
      </w:pPr>
      <w:r>
        <w:rPr>
          <w:rFonts w:hint="eastAsia" w:ascii="宋体" w:hAnsi="宋体" w:eastAsia="宋体" w:cs="宋体"/>
          <w:color w:val="auto"/>
          <w:sz w:val="24"/>
          <w:szCs w:val="24"/>
          <w:highlight w:val="none"/>
          <w:shd w:val="clear" w:color="auto" w:fill="FFFFFF"/>
        </w:rPr>
        <w:t xml:space="preserve">电缆（沟）穿墙孔洞、柜盘底部孔洞、电缆穿楼板孔洞、电缆通柜盘孔洞、电缆竖井孔洞、电缆穿管管口、桥架走线孔洞、塑胶管道穿墙孔洞，所使用的防火封堵材料应具有防火时效不低于2小时。 </w:t>
      </w:r>
    </w:p>
    <w:p>
      <w:pPr>
        <w:pStyle w:val="53"/>
        <w:numPr>
          <w:ilvl w:val="0"/>
          <w:numId w:val="60"/>
        </w:numPr>
        <w:ind w:left="734" w:right="-180" w:rightChars="-75" w:hanging="308"/>
        <w:rPr>
          <w:rFonts w:ascii="宋体" w:hAnsi="宋体" w:eastAsia="宋体" w:cs="宋体"/>
          <w:color w:val="auto"/>
          <w:sz w:val="24"/>
          <w:szCs w:val="24"/>
          <w:highlight w:val="none"/>
          <w:shd w:val="clear" w:color="auto" w:fill="FFFFFF"/>
        </w:rPr>
      </w:pPr>
      <w:r>
        <w:rPr>
          <w:rFonts w:hint="eastAsia" w:ascii="宋体" w:hAnsi="宋体" w:eastAsia="宋体" w:cs="宋体"/>
          <w:color w:val="auto"/>
          <w:sz w:val="24"/>
          <w:szCs w:val="24"/>
          <w:highlight w:val="none"/>
          <w:shd w:val="clear" w:color="auto" w:fill="FFFFFF"/>
        </w:rPr>
        <w:t>贯穿防火封堵材料的选择应综合考虑贯穿物类型和尺寸、贯穿孔口及其环形间隙大小、被贯穿物类型和特性，以及环境温度、湿度条件等因素，采用成品、成套防火系统，便于施工。</w:t>
      </w:r>
    </w:p>
    <w:p>
      <w:pPr>
        <w:pStyle w:val="53"/>
        <w:numPr>
          <w:ilvl w:val="0"/>
          <w:numId w:val="60"/>
        </w:numPr>
        <w:ind w:left="734" w:right="-180" w:rightChars="-75" w:hanging="308"/>
        <w:rPr>
          <w:rFonts w:ascii="宋体" w:hAnsi="宋体" w:eastAsia="宋体" w:cs="宋体"/>
          <w:color w:val="auto"/>
          <w:sz w:val="24"/>
          <w:szCs w:val="24"/>
          <w:highlight w:val="none"/>
          <w:shd w:val="clear" w:color="auto" w:fill="FFFFFF"/>
        </w:rPr>
      </w:pPr>
      <w:r>
        <w:rPr>
          <w:rFonts w:hint="eastAsia" w:ascii="宋体" w:hAnsi="宋体" w:eastAsia="宋体" w:cs="宋体"/>
          <w:color w:val="auto"/>
          <w:sz w:val="24"/>
          <w:szCs w:val="24"/>
          <w:highlight w:val="none"/>
          <w:shd w:val="clear" w:color="auto" w:fill="FFFFFF"/>
        </w:rPr>
        <w:t>设计的贯穿防火封堵系统在正常使用或发生火灾时，应保持本身结构的稳定性，不出现脱落、移位和开裂等现象。</w:t>
      </w:r>
    </w:p>
    <w:p>
      <w:pPr>
        <w:pStyle w:val="51"/>
        <w:numPr>
          <w:ilvl w:val="0"/>
          <w:numId w:val="61"/>
        </w:numPr>
        <w:ind w:left="734" w:right="-180" w:rightChars="-75" w:hanging="308"/>
        <w:rPr>
          <w:rFonts w:ascii="宋体" w:hAnsi="宋体" w:eastAsia="宋体" w:cs="宋体"/>
          <w:sz w:val="24"/>
          <w:szCs w:val="24"/>
          <w:highlight w:val="none"/>
          <w:shd w:val="clear" w:color="auto" w:fill="FFFFFF"/>
        </w:rPr>
      </w:pPr>
      <w:r>
        <w:rPr>
          <w:rFonts w:hint="eastAsia" w:ascii="宋体" w:hAnsi="宋体" w:eastAsia="宋体" w:cs="宋体"/>
          <w:sz w:val="24"/>
          <w:szCs w:val="24"/>
          <w:highlight w:val="none"/>
          <w:shd w:val="clear" w:color="auto" w:fill="FFFFFF"/>
        </w:rPr>
        <w:t>当防火封堵系统本身的力学稳定性不足时，应采用合适的支撑构件进行加强。支撑构件及其紧固件应具有被贯穿物相应的耐火性能及力学稳定性能。</w:t>
      </w:r>
    </w:p>
    <w:p>
      <w:pPr>
        <w:pStyle w:val="53"/>
        <w:numPr>
          <w:ilvl w:val="0"/>
          <w:numId w:val="62"/>
        </w:numPr>
        <w:ind w:left="734" w:right="-180" w:rightChars="-75" w:hanging="308"/>
        <w:rPr>
          <w:rFonts w:ascii="宋体" w:hAnsi="宋体" w:eastAsia="宋体" w:cs="宋体"/>
          <w:color w:val="auto"/>
          <w:sz w:val="24"/>
          <w:szCs w:val="24"/>
          <w:highlight w:val="none"/>
          <w:shd w:val="clear" w:color="auto" w:fill="FFFFFF"/>
        </w:rPr>
      </w:pPr>
      <w:r>
        <w:rPr>
          <w:rFonts w:hint="eastAsia" w:ascii="宋体" w:hAnsi="宋体" w:eastAsia="宋体" w:cs="宋体"/>
          <w:color w:val="auto"/>
          <w:sz w:val="24"/>
          <w:szCs w:val="24"/>
          <w:highlight w:val="none"/>
          <w:shd w:val="clear" w:color="auto" w:fill="FFFFFF"/>
        </w:rPr>
        <w:t>所有防火封堵系统所用材料必须符合环保要求，不含石棉、矿棉和卤素等对人体及电缆有害的成分，并提供LEED绿色建筑环保认证证书。</w:t>
      </w:r>
    </w:p>
    <w:p>
      <w:pPr>
        <w:pStyle w:val="53"/>
        <w:ind w:left="1134" w:right="-180" w:rightChars="-75" w:hanging="708"/>
        <w:rPr>
          <w:rFonts w:ascii="宋体" w:hAnsi="宋体" w:eastAsia="宋体" w:cs="宋体"/>
          <w:color w:val="auto"/>
          <w:sz w:val="24"/>
          <w:szCs w:val="24"/>
          <w:highlight w:val="none"/>
          <w:shd w:val="clear" w:color="auto" w:fill="FFFFFF"/>
        </w:rPr>
      </w:pPr>
      <w:r>
        <w:rPr>
          <w:rFonts w:hint="eastAsia" w:ascii="宋体" w:hAnsi="宋体" w:eastAsia="宋体" w:cs="宋体"/>
          <w:color w:val="auto"/>
          <w:sz w:val="24"/>
          <w:szCs w:val="24"/>
          <w:highlight w:val="none"/>
          <w:shd w:val="clear" w:color="auto" w:fill="FFFFFF"/>
        </w:rPr>
        <w:t>（b）、各种孔洞封堵：</w:t>
      </w:r>
    </w:p>
    <w:p>
      <w:pPr>
        <w:pStyle w:val="53"/>
        <w:numPr>
          <w:ilvl w:val="0"/>
          <w:numId w:val="62"/>
        </w:numPr>
        <w:ind w:left="1134" w:right="-180" w:rightChars="-75" w:hanging="708"/>
        <w:rPr>
          <w:rFonts w:ascii="宋体" w:hAnsi="宋体" w:eastAsia="宋体" w:cs="宋体"/>
          <w:color w:val="auto"/>
          <w:sz w:val="24"/>
          <w:szCs w:val="24"/>
          <w:highlight w:val="none"/>
          <w:shd w:val="clear" w:color="auto" w:fill="FFFFFF"/>
        </w:rPr>
      </w:pPr>
      <w:r>
        <w:rPr>
          <w:rFonts w:hint="eastAsia" w:ascii="宋体" w:hAnsi="宋体" w:eastAsia="宋体" w:cs="宋体"/>
          <w:color w:val="auto"/>
          <w:sz w:val="24"/>
          <w:szCs w:val="24"/>
          <w:highlight w:val="none"/>
          <w:shd w:val="clear" w:color="auto" w:fill="FFFFFF"/>
        </w:rPr>
        <w:t>桥架走线孔洞</w:t>
      </w:r>
    </w:p>
    <w:p>
      <w:pPr>
        <w:pStyle w:val="51"/>
        <w:ind w:left="720" w:right="-180" w:rightChars="-75" w:firstLine="0"/>
        <w:rPr>
          <w:rFonts w:ascii="宋体" w:hAnsi="宋体" w:eastAsia="宋体" w:cs="宋体"/>
          <w:sz w:val="24"/>
          <w:szCs w:val="24"/>
          <w:highlight w:val="none"/>
          <w:shd w:val="clear" w:color="auto" w:fill="FFFFFF"/>
        </w:rPr>
      </w:pPr>
      <w:r>
        <w:rPr>
          <w:rFonts w:hint="eastAsia" w:ascii="宋体" w:hAnsi="宋体" w:eastAsia="宋体" w:cs="宋体"/>
          <w:sz w:val="24"/>
          <w:szCs w:val="24"/>
          <w:highlight w:val="none"/>
          <w:shd w:val="clear" w:color="auto" w:fill="FFFFFF"/>
        </w:rPr>
        <w:t>电缆竖井及较大孔洞应使用防火复合板与防火泥配合进行封堵，墙体实施双面封堵，楼板进行单面封堵，防火隔板厚度应低于5mm，防火板周边及与贯穿物之间的环形间隙应采用防火泥或防火密封胶密闭严实，封堵材料应不含有卤素和有机溶剂，防火时效不小于三小时。</w:t>
      </w:r>
    </w:p>
    <w:p>
      <w:pPr>
        <w:pStyle w:val="53"/>
        <w:numPr>
          <w:ilvl w:val="0"/>
          <w:numId w:val="62"/>
        </w:numPr>
        <w:ind w:left="1134" w:right="-180" w:rightChars="-75" w:hanging="708"/>
        <w:rPr>
          <w:rFonts w:ascii="宋体" w:hAnsi="宋体" w:eastAsia="宋体" w:cs="宋体"/>
          <w:color w:val="auto"/>
          <w:sz w:val="24"/>
          <w:szCs w:val="24"/>
          <w:highlight w:val="none"/>
          <w:shd w:val="clear" w:color="auto" w:fill="FFFFFF"/>
        </w:rPr>
      </w:pPr>
      <w:r>
        <w:rPr>
          <w:rFonts w:hint="eastAsia" w:ascii="宋体" w:hAnsi="宋体" w:eastAsia="宋体" w:cs="宋体"/>
          <w:color w:val="auto"/>
          <w:sz w:val="24"/>
          <w:szCs w:val="24"/>
          <w:highlight w:val="none"/>
          <w:shd w:val="clear" w:color="auto" w:fill="FFFFFF"/>
        </w:rPr>
        <w:t>固定及较小孔洞封堵</w:t>
      </w:r>
    </w:p>
    <w:p>
      <w:pPr>
        <w:pStyle w:val="51"/>
        <w:ind w:left="734" w:right="-180" w:rightChars="-75" w:hanging="14"/>
        <w:rPr>
          <w:rFonts w:ascii="宋体" w:hAnsi="宋体" w:eastAsia="宋体" w:cs="宋体"/>
          <w:sz w:val="24"/>
          <w:szCs w:val="24"/>
          <w:highlight w:val="none"/>
          <w:shd w:val="clear" w:color="auto" w:fill="FFFFFF"/>
        </w:rPr>
      </w:pPr>
      <w:r>
        <w:rPr>
          <w:rFonts w:hint="eastAsia" w:ascii="宋体" w:hAnsi="宋体" w:eastAsia="宋体" w:cs="宋体"/>
          <w:sz w:val="24"/>
          <w:szCs w:val="24"/>
          <w:highlight w:val="none"/>
          <w:shd w:val="clear" w:color="auto" w:fill="FFFFFF"/>
        </w:rPr>
        <w:t>固定走线孔洞及较小孔洞封堵可选用防火隔板与防火泥搭配进行封堵，防火泥做为填充物使用，封堵材料应不含有卤素及有机溶剂，防火时效应不小于三小时。</w:t>
      </w:r>
    </w:p>
    <w:p>
      <w:pPr>
        <w:pStyle w:val="53"/>
        <w:numPr>
          <w:ilvl w:val="0"/>
          <w:numId w:val="62"/>
        </w:numPr>
        <w:ind w:left="1134" w:right="-180" w:rightChars="-75" w:hanging="708"/>
        <w:rPr>
          <w:rFonts w:ascii="宋体" w:hAnsi="宋体" w:eastAsia="宋体" w:cs="宋体"/>
          <w:color w:val="auto"/>
          <w:sz w:val="24"/>
          <w:szCs w:val="24"/>
          <w:highlight w:val="none"/>
          <w:shd w:val="clear" w:color="auto" w:fill="FFFFFF"/>
        </w:rPr>
      </w:pPr>
      <w:r>
        <w:rPr>
          <w:rFonts w:hint="eastAsia" w:ascii="宋体" w:hAnsi="宋体" w:eastAsia="宋体" w:cs="宋体"/>
          <w:color w:val="auto"/>
          <w:sz w:val="24"/>
          <w:szCs w:val="24"/>
          <w:highlight w:val="none"/>
          <w:shd w:val="clear" w:color="auto" w:fill="FFFFFF"/>
        </w:rPr>
        <w:t>有位移产生孔洞封堵（空调风管）</w:t>
      </w:r>
    </w:p>
    <w:p>
      <w:pPr>
        <w:pStyle w:val="51"/>
        <w:ind w:left="734" w:right="-180" w:rightChars="-75" w:hanging="14"/>
        <w:rPr>
          <w:rFonts w:ascii="宋体" w:hAnsi="宋体" w:eastAsia="宋体" w:cs="宋体"/>
          <w:sz w:val="24"/>
          <w:szCs w:val="24"/>
          <w:highlight w:val="none"/>
          <w:shd w:val="clear" w:color="auto" w:fill="FFFFFF"/>
        </w:rPr>
      </w:pPr>
      <w:r>
        <w:rPr>
          <w:rFonts w:hint="eastAsia" w:ascii="宋体" w:hAnsi="宋体" w:eastAsia="宋体" w:cs="宋体"/>
          <w:sz w:val="24"/>
          <w:szCs w:val="24"/>
          <w:highlight w:val="none"/>
          <w:shd w:val="clear" w:color="auto" w:fill="FFFFFF"/>
        </w:rPr>
        <w:t>空调风管及有位移产生的孔洞应用弹性封堵材料进行封堵，且位移值应不小于25%，封堵材料应不含有卤素和有机溶剂，防火时效不小于三小时。</w:t>
      </w:r>
    </w:p>
    <w:p>
      <w:pPr>
        <w:pStyle w:val="8"/>
        <w:ind w:left="1134" w:right="-180" w:rightChars="-75" w:hanging="708"/>
        <w:rPr>
          <w:color w:val="auto"/>
          <w:highlight w:val="none"/>
        </w:rPr>
      </w:pPr>
      <w:r>
        <w:rPr>
          <w:rFonts w:hint="eastAsia"/>
          <w:color w:val="auto"/>
          <w:highlight w:val="none"/>
        </w:rPr>
        <w:t>1</w:t>
      </w:r>
      <w:r>
        <w:rPr>
          <w:color w:val="auto"/>
          <w:highlight w:val="none"/>
        </w:rPr>
        <w:t>3</w:t>
      </w:r>
      <w:r>
        <w:rPr>
          <w:rFonts w:hint="eastAsia"/>
          <w:color w:val="auto"/>
          <w:highlight w:val="none"/>
        </w:rPr>
        <w:t>）</w:t>
      </w:r>
      <w:r>
        <w:rPr>
          <w:color w:val="auto"/>
          <w:highlight w:val="none"/>
        </w:rPr>
        <w:t>.</w:t>
      </w:r>
      <w:r>
        <w:rPr>
          <w:rFonts w:hint="eastAsia"/>
          <w:color w:val="auto"/>
          <w:highlight w:val="none"/>
        </w:rPr>
        <w:t>防火玻璃隔断</w:t>
      </w:r>
    </w:p>
    <w:p>
      <w:pPr>
        <w:pStyle w:val="51"/>
        <w:numPr>
          <w:ilvl w:val="0"/>
          <w:numId w:val="63"/>
        </w:numPr>
        <w:ind w:left="734" w:right="-180" w:rightChars="-75" w:hanging="308"/>
        <w:rPr>
          <w:rFonts w:hint="eastAsia" w:ascii="宋体" w:hAnsi="宋体" w:eastAsia="宋体" w:cs="宋体"/>
          <w:sz w:val="24"/>
          <w:szCs w:val="24"/>
          <w:highlight w:val="none"/>
        </w:rPr>
      </w:pPr>
      <w:r>
        <w:rPr>
          <w:rFonts w:hint="eastAsia" w:ascii="宋体" w:hAnsi="宋体" w:eastAsia="宋体" w:cs="宋体"/>
          <w:sz w:val="24"/>
          <w:szCs w:val="24"/>
          <w:highlight w:val="none"/>
        </w:rPr>
        <w:t>铯钾防火电控玻璃:12mm+1.52mm+6mm。耐火不低于2小时，提供监测报告。</w:t>
      </w:r>
    </w:p>
    <w:p>
      <w:pPr>
        <w:pStyle w:val="51"/>
        <w:numPr>
          <w:ilvl w:val="0"/>
          <w:numId w:val="63"/>
        </w:numPr>
        <w:ind w:left="734" w:right="-180" w:rightChars="-75" w:hanging="308"/>
        <w:rPr>
          <w:rFonts w:hint="eastAsia" w:ascii="宋体" w:hAnsi="宋体" w:eastAsia="宋体" w:cs="宋体"/>
          <w:sz w:val="24"/>
          <w:szCs w:val="24"/>
          <w:highlight w:val="none"/>
        </w:rPr>
      </w:pPr>
      <w:r>
        <w:rPr>
          <w:rFonts w:hint="eastAsia" w:ascii="宋体" w:hAnsi="宋体" w:eastAsia="宋体" w:cs="宋体"/>
          <w:sz w:val="24"/>
          <w:szCs w:val="24"/>
          <w:highlight w:val="none"/>
        </w:rPr>
        <w:t>抗冲击性能高于普通玻璃和钢化玻璃，具有突出的耐温性和抗热炸裂性。</w:t>
      </w:r>
    </w:p>
    <w:p>
      <w:pPr>
        <w:pStyle w:val="51"/>
        <w:numPr>
          <w:ilvl w:val="0"/>
          <w:numId w:val="63"/>
        </w:numPr>
        <w:ind w:left="734" w:right="-180" w:rightChars="-75" w:hanging="308"/>
        <w:rPr>
          <w:rFonts w:hint="eastAsia" w:ascii="宋体" w:hAnsi="宋体" w:eastAsia="宋体" w:cs="宋体"/>
          <w:sz w:val="24"/>
          <w:szCs w:val="24"/>
          <w:highlight w:val="none"/>
        </w:rPr>
      </w:pPr>
      <w:r>
        <w:rPr>
          <w:rFonts w:hint="eastAsia" w:ascii="宋体" w:hAnsi="宋体" w:eastAsia="宋体" w:cs="宋体"/>
          <w:sz w:val="24"/>
          <w:szCs w:val="24"/>
          <w:highlight w:val="none"/>
        </w:rPr>
        <w:t>铯钾防火玻璃在紫外线以及火焰的作用下依然会保持着通透的功能，没有任何的变化。</w:t>
      </w:r>
    </w:p>
    <w:p>
      <w:pPr>
        <w:pStyle w:val="51"/>
        <w:numPr>
          <w:ilvl w:val="0"/>
          <w:numId w:val="63"/>
        </w:numPr>
        <w:ind w:left="734" w:right="-180" w:rightChars="-75" w:hanging="308"/>
        <w:rPr>
          <w:rFonts w:hint="eastAsia" w:ascii="宋体" w:hAnsi="宋体" w:eastAsia="宋体" w:cs="宋体"/>
          <w:sz w:val="24"/>
          <w:szCs w:val="24"/>
          <w:highlight w:val="none"/>
        </w:rPr>
      </w:pPr>
      <w:r>
        <w:rPr>
          <w:rFonts w:hint="eastAsia" w:ascii="宋体" w:hAnsi="宋体" w:eastAsia="宋体" w:cs="宋体"/>
          <w:sz w:val="24"/>
          <w:szCs w:val="24"/>
          <w:highlight w:val="none"/>
        </w:rPr>
        <w:t>同样厚度下，强度是浮法玻璃的6-12倍，是钢化玻璃的1.5倍以上。</w:t>
      </w:r>
    </w:p>
    <w:p>
      <w:pPr>
        <w:pStyle w:val="51"/>
        <w:numPr>
          <w:ilvl w:val="0"/>
          <w:numId w:val="63"/>
        </w:numPr>
        <w:ind w:left="734" w:right="-180" w:rightChars="-75" w:hanging="308"/>
        <w:rPr>
          <w:rFonts w:hint="eastAsia" w:ascii="宋体" w:hAnsi="宋体" w:eastAsia="宋体" w:cs="宋体"/>
          <w:sz w:val="24"/>
          <w:szCs w:val="24"/>
          <w:highlight w:val="none"/>
        </w:rPr>
      </w:pPr>
      <w:r>
        <w:rPr>
          <w:rFonts w:hint="eastAsia" w:ascii="宋体" w:hAnsi="宋体" w:eastAsia="宋体" w:cs="宋体"/>
          <w:sz w:val="24"/>
          <w:szCs w:val="24"/>
          <w:highlight w:val="none"/>
        </w:rPr>
        <w:t>外侧采用电动雾化钢化玻璃，保证钢化玻璃的视觉效果。</w:t>
      </w:r>
    </w:p>
    <w:p>
      <w:pPr>
        <w:pStyle w:val="51"/>
        <w:numPr>
          <w:ilvl w:val="0"/>
          <w:numId w:val="63"/>
        </w:numPr>
        <w:ind w:left="734" w:right="-180" w:rightChars="-75" w:hanging="308"/>
        <w:rPr>
          <w:rFonts w:ascii="宋体" w:hAnsi="宋体" w:eastAsia="宋体" w:cs="宋体"/>
          <w:sz w:val="24"/>
          <w:szCs w:val="24"/>
          <w:highlight w:val="none"/>
        </w:rPr>
      </w:pPr>
      <w:r>
        <w:rPr>
          <w:rFonts w:hint="eastAsia" w:ascii="宋体" w:hAnsi="宋体" w:eastAsia="宋体" w:cs="宋体"/>
          <w:sz w:val="24"/>
          <w:szCs w:val="24"/>
          <w:highlight w:val="none"/>
        </w:rPr>
        <w:t>安装方法简单，上下钢结构，中间以玻璃间断。同时考滤防静电通泄，将玻璃隔断的上下钢结构与机房的彩钢板墙面、地面及天花龙骨进行可靠连接。</w:t>
      </w:r>
    </w:p>
    <w:p>
      <w:pPr>
        <w:pStyle w:val="8"/>
        <w:ind w:left="1134" w:right="-180" w:rightChars="-75" w:hanging="708"/>
        <w:rPr>
          <w:highlight w:val="none"/>
        </w:rPr>
      </w:pPr>
      <w:r>
        <w:rPr>
          <w:rFonts w:hint="eastAsia"/>
          <w:highlight w:val="none"/>
        </w:rPr>
        <w:t>1</w:t>
      </w:r>
      <w:r>
        <w:rPr>
          <w:highlight w:val="none"/>
        </w:rPr>
        <w:t>4</w:t>
      </w:r>
      <w:r>
        <w:rPr>
          <w:rFonts w:hint="eastAsia"/>
          <w:highlight w:val="none"/>
        </w:rPr>
        <w:t>）</w:t>
      </w:r>
      <w:r>
        <w:rPr>
          <w:highlight w:val="none"/>
        </w:rPr>
        <w:t>.</w:t>
      </w:r>
      <w:r>
        <w:rPr>
          <w:rFonts w:hint="eastAsia"/>
          <w:highlight w:val="none"/>
        </w:rPr>
        <w:t>走线架</w:t>
      </w:r>
      <w:bookmarkStart w:id="147" w:name="_Toc523730868"/>
      <w:bookmarkEnd w:id="147"/>
    </w:p>
    <w:p>
      <w:pPr>
        <w:pStyle w:val="51"/>
        <w:numPr>
          <w:ilvl w:val="0"/>
          <w:numId w:val="64"/>
        </w:numPr>
        <w:ind w:left="494" w:right="-180" w:rightChars="-75" w:hanging="68"/>
        <w:rPr>
          <w:rFonts w:hint="eastAsia" w:ascii="宋体" w:hAnsi="宋体" w:eastAsia="宋体" w:cs="宋体"/>
          <w:sz w:val="24"/>
          <w:szCs w:val="24"/>
          <w:highlight w:val="none"/>
        </w:rPr>
      </w:pPr>
      <w:r>
        <w:rPr>
          <w:rFonts w:hint="eastAsia" w:ascii="宋体" w:hAnsi="宋体" w:eastAsia="宋体" w:cs="宋体"/>
          <w:sz w:val="24"/>
          <w:szCs w:val="24"/>
          <w:highlight w:val="none"/>
        </w:rPr>
        <w:t>优质工程镀锌板或铝合金材料的屈服强度：&gt;140N</w:t>
      </w:r>
    </w:p>
    <w:p>
      <w:pPr>
        <w:pStyle w:val="51"/>
        <w:numPr>
          <w:ilvl w:val="0"/>
          <w:numId w:val="64"/>
        </w:numPr>
        <w:ind w:left="494" w:right="-180" w:rightChars="-75" w:hanging="68"/>
        <w:rPr>
          <w:rFonts w:hint="eastAsia" w:ascii="宋体" w:hAnsi="宋体" w:eastAsia="宋体" w:cs="宋体"/>
          <w:sz w:val="24"/>
          <w:szCs w:val="24"/>
          <w:highlight w:val="none"/>
        </w:rPr>
      </w:pPr>
      <w:r>
        <w:rPr>
          <w:rFonts w:hint="eastAsia" w:ascii="宋体" w:hAnsi="宋体" w:eastAsia="宋体" w:cs="宋体"/>
          <w:sz w:val="24"/>
          <w:szCs w:val="24"/>
          <w:highlight w:val="none"/>
        </w:rPr>
        <w:t>承重量：</w:t>
      </w:r>
    </w:p>
    <w:p>
      <w:pPr>
        <w:pStyle w:val="51"/>
        <w:numPr>
          <w:ilvl w:val="0"/>
          <w:numId w:val="64"/>
        </w:numPr>
        <w:ind w:left="494" w:right="-180" w:rightChars="-75" w:hanging="68"/>
        <w:rPr>
          <w:rFonts w:hint="eastAsia" w:ascii="宋体" w:hAnsi="宋体" w:eastAsia="宋体" w:cs="宋体"/>
          <w:sz w:val="24"/>
          <w:szCs w:val="24"/>
          <w:highlight w:val="none"/>
        </w:rPr>
      </w:pPr>
      <w:r>
        <w:rPr>
          <w:rFonts w:hint="eastAsia" w:ascii="宋体" w:hAnsi="宋体" w:eastAsia="宋体" w:cs="宋体"/>
          <w:sz w:val="24"/>
          <w:szCs w:val="24"/>
          <w:highlight w:val="none"/>
        </w:rPr>
        <w:t>槽道承重量：单层走线架承重要求为每米不小于350KG，</w:t>
      </w:r>
    </w:p>
    <w:p>
      <w:pPr>
        <w:pStyle w:val="51"/>
        <w:numPr>
          <w:ilvl w:val="0"/>
          <w:numId w:val="64"/>
        </w:numPr>
        <w:ind w:left="494" w:right="-180" w:rightChars="-75" w:hanging="68"/>
        <w:rPr>
          <w:rFonts w:hint="eastAsia" w:ascii="宋体" w:hAnsi="宋体" w:eastAsia="宋体" w:cs="宋体"/>
          <w:sz w:val="24"/>
          <w:szCs w:val="24"/>
          <w:highlight w:val="none"/>
        </w:rPr>
      </w:pPr>
      <w:r>
        <w:rPr>
          <w:rFonts w:hint="eastAsia" w:ascii="宋体" w:hAnsi="宋体" w:eastAsia="宋体" w:cs="宋体"/>
          <w:sz w:val="24"/>
          <w:szCs w:val="24"/>
          <w:highlight w:val="none"/>
        </w:rPr>
        <w:t>（建议吊挂间距1.5 m，横铁间距300mm，间距根据实际情况调整）。</w:t>
      </w:r>
    </w:p>
    <w:p>
      <w:pPr>
        <w:pStyle w:val="51"/>
        <w:numPr>
          <w:ilvl w:val="0"/>
          <w:numId w:val="64"/>
        </w:numPr>
        <w:ind w:left="494" w:right="-180" w:rightChars="-75" w:hanging="68"/>
        <w:rPr>
          <w:rFonts w:hint="eastAsia" w:ascii="宋体" w:hAnsi="宋体" w:eastAsia="宋体" w:cs="宋体"/>
          <w:sz w:val="24"/>
          <w:szCs w:val="24"/>
          <w:highlight w:val="none"/>
        </w:rPr>
      </w:pPr>
      <w:r>
        <w:rPr>
          <w:rFonts w:hint="eastAsia" w:ascii="宋体" w:hAnsi="宋体" w:eastAsia="宋体" w:cs="宋体"/>
          <w:sz w:val="24"/>
          <w:szCs w:val="24"/>
          <w:highlight w:val="none"/>
        </w:rPr>
        <w:t>详细承重要求由中标方于建设方设计院具体核实，满足本期工程需求。</w:t>
      </w:r>
    </w:p>
    <w:p>
      <w:pPr>
        <w:pStyle w:val="51"/>
        <w:numPr>
          <w:ilvl w:val="0"/>
          <w:numId w:val="64"/>
        </w:numPr>
        <w:ind w:left="494" w:right="-180" w:rightChars="-75" w:hanging="68"/>
        <w:rPr>
          <w:rFonts w:hint="eastAsia" w:ascii="宋体" w:hAnsi="宋体" w:eastAsia="宋体" w:cs="宋体"/>
          <w:sz w:val="24"/>
          <w:szCs w:val="24"/>
          <w:highlight w:val="none"/>
        </w:rPr>
      </w:pPr>
      <w:r>
        <w:rPr>
          <w:rFonts w:hint="eastAsia" w:ascii="宋体" w:hAnsi="宋体" w:eastAsia="宋体" w:cs="宋体"/>
          <w:sz w:val="24"/>
          <w:szCs w:val="24"/>
          <w:highlight w:val="none"/>
        </w:rPr>
        <w:t>槽道与材料屈服极限之比，安全系数为3.15。</w:t>
      </w:r>
    </w:p>
    <w:p>
      <w:pPr>
        <w:pStyle w:val="51"/>
        <w:numPr>
          <w:ilvl w:val="0"/>
          <w:numId w:val="64"/>
        </w:numPr>
        <w:ind w:left="494" w:right="-180" w:rightChars="-75" w:hanging="68"/>
        <w:rPr>
          <w:rFonts w:hint="eastAsia" w:ascii="宋体" w:hAnsi="宋体" w:eastAsia="宋体" w:cs="宋体"/>
          <w:sz w:val="24"/>
          <w:szCs w:val="24"/>
          <w:highlight w:val="none"/>
        </w:rPr>
      </w:pPr>
      <w:r>
        <w:rPr>
          <w:rFonts w:hint="eastAsia" w:ascii="宋体" w:hAnsi="宋体" w:eastAsia="宋体" w:cs="宋体"/>
          <w:sz w:val="24"/>
          <w:szCs w:val="24"/>
          <w:highlight w:val="none"/>
        </w:rPr>
        <w:t>要求槽道主要承重的铝合金型材具有重量轻、强度高、耐腐蚀性强的特点。</w:t>
      </w:r>
    </w:p>
    <w:p>
      <w:pPr>
        <w:pStyle w:val="51"/>
        <w:numPr>
          <w:ilvl w:val="0"/>
          <w:numId w:val="64"/>
        </w:numPr>
        <w:ind w:left="494" w:right="-180" w:rightChars="-75" w:hanging="68"/>
        <w:rPr>
          <w:rFonts w:ascii="宋体" w:hAnsi="宋体" w:eastAsia="宋体" w:cs="宋体"/>
          <w:sz w:val="24"/>
          <w:szCs w:val="24"/>
          <w:highlight w:val="none"/>
        </w:rPr>
      </w:pPr>
      <w:r>
        <w:rPr>
          <w:rFonts w:hint="eastAsia" w:ascii="宋体" w:hAnsi="宋体" w:eastAsia="宋体" w:cs="宋体"/>
          <w:sz w:val="24"/>
          <w:szCs w:val="24"/>
          <w:highlight w:val="none"/>
        </w:rPr>
        <w:t>槽道其他金工件材料选用优质钢板剪切开料，吊杆选用高强度的A3螺纹钢（Φ16㎜），为了保证吊杆的强度和槽道的承重力，采用局部螺纹型。</w:t>
      </w:r>
    </w:p>
    <w:p>
      <w:pPr>
        <w:pStyle w:val="51"/>
        <w:numPr>
          <w:ilvl w:val="0"/>
          <w:numId w:val="64"/>
        </w:numPr>
        <w:ind w:left="494" w:right="-180" w:rightChars="-75" w:hanging="68"/>
        <w:rPr>
          <w:rFonts w:hint="eastAsia" w:ascii="宋体" w:hAnsi="宋体" w:eastAsia="宋体" w:cs="宋体"/>
          <w:sz w:val="24"/>
          <w:szCs w:val="24"/>
          <w:highlight w:val="none"/>
        </w:rPr>
      </w:pPr>
      <w:r>
        <w:rPr>
          <w:rFonts w:hint="eastAsia" w:ascii="宋体" w:hAnsi="宋体" w:eastAsia="宋体" w:cs="宋体"/>
          <w:sz w:val="24"/>
          <w:szCs w:val="24"/>
          <w:highlight w:val="none"/>
        </w:rPr>
        <w:t>槽道零件表面的涂覆层的镀锌和喷塑。</w:t>
      </w:r>
    </w:p>
    <w:p>
      <w:pPr>
        <w:pStyle w:val="51"/>
        <w:numPr>
          <w:ilvl w:val="0"/>
          <w:numId w:val="64"/>
        </w:numPr>
        <w:ind w:left="494" w:right="-180" w:rightChars="-75" w:hanging="68"/>
        <w:rPr>
          <w:rFonts w:hint="eastAsia" w:ascii="宋体" w:hAnsi="宋体" w:eastAsia="宋体" w:cs="宋体"/>
          <w:sz w:val="24"/>
          <w:szCs w:val="24"/>
          <w:highlight w:val="none"/>
        </w:rPr>
      </w:pPr>
      <w:r>
        <w:rPr>
          <w:rFonts w:hint="eastAsia" w:ascii="宋体" w:hAnsi="宋体" w:eastAsia="宋体" w:cs="宋体"/>
          <w:sz w:val="24"/>
          <w:szCs w:val="24"/>
          <w:highlight w:val="none"/>
        </w:rPr>
        <w:t>槽道选用正规企业生产，符合国家标准的紧固件。</w:t>
      </w:r>
    </w:p>
    <w:p>
      <w:pPr>
        <w:pStyle w:val="51"/>
        <w:numPr>
          <w:ilvl w:val="0"/>
          <w:numId w:val="64"/>
        </w:numPr>
        <w:ind w:left="494" w:right="-180" w:rightChars="-75" w:hanging="68"/>
        <w:rPr>
          <w:rFonts w:hint="eastAsia" w:ascii="宋体" w:hAnsi="宋体" w:eastAsia="宋体" w:cs="宋体"/>
          <w:sz w:val="24"/>
          <w:szCs w:val="24"/>
          <w:highlight w:val="none"/>
        </w:rPr>
      </w:pPr>
      <w:r>
        <w:rPr>
          <w:rFonts w:hint="eastAsia" w:ascii="宋体" w:hAnsi="宋体" w:eastAsia="宋体" w:cs="宋体"/>
          <w:sz w:val="24"/>
          <w:szCs w:val="24"/>
          <w:highlight w:val="none"/>
        </w:rPr>
        <w:t>槽道所有的材料及零部件、紧固件需检验合格后才使用。</w:t>
      </w:r>
    </w:p>
    <w:p>
      <w:pPr>
        <w:pStyle w:val="51"/>
        <w:numPr>
          <w:ilvl w:val="0"/>
          <w:numId w:val="64"/>
        </w:numPr>
        <w:ind w:left="494" w:right="-180" w:rightChars="-75" w:hanging="68"/>
        <w:rPr>
          <w:rFonts w:hint="eastAsia" w:ascii="宋体" w:hAnsi="宋体" w:eastAsia="宋体" w:cs="宋体"/>
          <w:sz w:val="24"/>
          <w:szCs w:val="24"/>
          <w:highlight w:val="none"/>
        </w:rPr>
      </w:pPr>
      <w:r>
        <w:rPr>
          <w:rFonts w:hint="eastAsia" w:ascii="宋体" w:hAnsi="宋体" w:eastAsia="宋体" w:cs="宋体"/>
          <w:sz w:val="24"/>
          <w:szCs w:val="24"/>
          <w:highlight w:val="none"/>
        </w:rPr>
        <w:t>对承重的铝合金型材，需抽样检测承重量,满足本期工程使用要求。</w:t>
      </w:r>
    </w:p>
    <w:p>
      <w:pPr>
        <w:pStyle w:val="51"/>
        <w:numPr>
          <w:ilvl w:val="0"/>
          <w:numId w:val="64"/>
        </w:numPr>
        <w:ind w:left="494" w:right="-180" w:rightChars="-75" w:hanging="68"/>
        <w:rPr>
          <w:rFonts w:hint="eastAsia" w:ascii="宋体" w:hAnsi="宋体" w:eastAsia="宋体" w:cs="宋体"/>
          <w:sz w:val="24"/>
          <w:szCs w:val="24"/>
          <w:highlight w:val="none"/>
        </w:rPr>
      </w:pPr>
      <w:r>
        <w:rPr>
          <w:rFonts w:hint="eastAsia" w:ascii="宋体" w:hAnsi="宋体" w:eastAsia="宋体" w:cs="宋体"/>
          <w:sz w:val="24"/>
          <w:szCs w:val="24"/>
          <w:highlight w:val="none"/>
        </w:rPr>
        <w:t>包装、标志、储存、运输符合GB3873-83的规定。</w:t>
      </w:r>
    </w:p>
    <w:p>
      <w:pPr>
        <w:pStyle w:val="51"/>
        <w:numPr>
          <w:ilvl w:val="0"/>
          <w:numId w:val="64"/>
        </w:numPr>
        <w:ind w:left="1134" w:right="-180" w:rightChars="-75" w:hanging="708"/>
        <w:rPr>
          <w:rFonts w:ascii="宋体" w:hAnsi="宋体" w:eastAsia="宋体" w:cs="宋体"/>
          <w:sz w:val="24"/>
          <w:szCs w:val="24"/>
          <w:highlight w:val="none"/>
        </w:rPr>
      </w:pPr>
      <w:r>
        <w:rPr>
          <w:rFonts w:hint="eastAsia" w:ascii="宋体" w:hAnsi="宋体" w:eastAsia="宋体" w:cs="宋体"/>
          <w:sz w:val="24"/>
          <w:szCs w:val="24"/>
          <w:highlight w:val="none"/>
        </w:rPr>
        <w:t>产品配置要求</w:t>
      </w:r>
    </w:p>
    <w:p>
      <w:pPr>
        <w:pStyle w:val="51"/>
        <w:numPr>
          <w:ilvl w:val="0"/>
          <w:numId w:val="65"/>
        </w:numPr>
        <w:tabs>
          <w:tab w:val="left" w:pos="720"/>
        </w:tabs>
        <w:ind w:left="1134" w:right="-180" w:rightChars="-75" w:hanging="708"/>
        <w:rPr>
          <w:rFonts w:ascii="宋体" w:hAnsi="宋体" w:eastAsia="宋体" w:cs="宋体"/>
          <w:sz w:val="24"/>
          <w:szCs w:val="24"/>
          <w:highlight w:val="none"/>
        </w:rPr>
      </w:pPr>
      <w:r>
        <w:rPr>
          <w:rFonts w:hint="eastAsia" w:ascii="宋体" w:hAnsi="宋体" w:eastAsia="宋体" w:cs="宋体"/>
          <w:sz w:val="24"/>
          <w:szCs w:val="24"/>
          <w:highlight w:val="none"/>
        </w:rPr>
        <w:t>铝型材型材；横铁；</w:t>
      </w:r>
    </w:p>
    <w:p>
      <w:pPr>
        <w:pStyle w:val="51"/>
        <w:numPr>
          <w:ilvl w:val="0"/>
          <w:numId w:val="65"/>
        </w:numPr>
        <w:tabs>
          <w:tab w:val="left" w:pos="720"/>
        </w:tabs>
        <w:ind w:left="1134" w:right="-180" w:rightChars="-75" w:hanging="708"/>
        <w:rPr>
          <w:rFonts w:hint="eastAsia" w:ascii="宋体" w:hAnsi="宋体" w:eastAsia="宋体" w:cs="宋体"/>
          <w:sz w:val="24"/>
          <w:szCs w:val="24"/>
          <w:highlight w:val="none"/>
        </w:rPr>
      </w:pPr>
      <w:r>
        <w:rPr>
          <w:rFonts w:hint="eastAsia" w:ascii="宋体" w:hAnsi="宋体" w:eastAsia="宋体" w:cs="宋体"/>
          <w:sz w:val="24"/>
          <w:szCs w:val="24"/>
          <w:highlight w:val="none"/>
        </w:rPr>
        <w:t>吊杆（含上下支架）；</w:t>
      </w:r>
    </w:p>
    <w:p>
      <w:pPr>
        <w:pStyle w:val="51"/>
        <w:numPr>
          <w:ilvl w:val="0"/>
          <w:numId w:val="65"/>
        </w:numPr>
        <w:tabs>
          <w:tab w:val="left" w:pos="720"/>
        </w:tabs>
        <w:ind w:left="1134" w:right="-180" w:rightChars="-75" w:hanging="708"/>
        <w:rPr>
          <w:rFonts w:hint="eastAsia" w:ascii="宋体" w:hAnsi="宋体" w:eastAsia="宋体" w:cs="宋体"/>
          <w:sz w:val="24"/>
          <w:szCs w:val="24"/>
          <w:highlight w:val="none"/>
        </w:rPr>
      </w:pPr>
      <w:r>
        <w:rPr>
          <w:rFonts w:hint="eastAsia" w:ascii="宋体" w:hAnsi="宋体" w:eastAsia="宋体" w:cs="宋体"/>
          <w:sz w:val="24"/>
          <w:szCs w:val="24"/>
          <w:highlight w:val="none"/>
        </w:rPr>
        <w:t>各式螺钉1包；（保证安装过程中的用量）</w:t>
      </w:r>
    </w:p>
    <w:p>
      <w:pPr>
        <w:pStyle w:val="51"/>
        <w:numPr>
          <w:ilvl w:val="0"/>
          <w:numId w:val="65"/>
        </w:numPr>
        <w:tabs>
          <w:tab w:val="left" w:pos="720"/>
        </w:tabs>
        <w:ind w:left="1134" w:right="-180" w:rightChars="-75" w:hanging="708"/>
        <w:rPr>
          <w:rFonts w:hint="eastAsia" w:ascii="宋体" w:hAnsi="宋体" w:eastAsia="宋体" w:cs="宋体"/>
          <w:sz w:val="24"/>
          <w:szCs w:val="24"/>
          <w:highlight w:val="none"/>
        </w:rPr>
      </w:pPr>
      <w:r>
        <w:rPr>
          <w:rFonts w:hint="eastAsia" w:ascii="宋体" w:hAnsi="宋体" w:eastAsia="宋体" w:cs="宋体"/>
          <w:sz w:val="24"/>
          <w:szCs w:val="24"/>
          <w:highlight w:val="none"/>
        </w:rPr>
        <w:t>各种连接配件1包。（保证安装过程中的用量）</w:t>
      </w:r>
    </w:p>
    <w:p>
      <w:pPr>
        <w:pStyle w:val="51"/>
        <w:numPr>
          <w:ilvl w:val="0"/>
          <w:numId w:val="65"/>
        </w:numPr>
        <w:tabs>
          <w:tab w:val="left" w:pos="720"/>
        </w:tabs>
        <w:ind w:left="1134" w:right="-180" w:rightChars="-75" w:hanging="708"/>
        <w:rPr>
          <w:rFonts w:hint="eastAsia" w:ascii="宋体" w:hAnsi="宋体" w:eastAsia="宋体" w:cs="宋体"/>
          <w:sz w:val="24"/>
          <w:szCs w:val="24"/>
          <w:highlight w:val="none"/>
        </w:rPr>
      </w:pPr>
      <w:r>
        <w:rPr>
          <w:rFonts w:hint="eastAsia" w:ascii="宋体" w:hAnsi="宋体" w:eastAsia="宋体" w:cs="宋体"/>
          <w:sz w:val="24"/>
          <w:szCs w:val="24"/>
          <w:highlight w:val="none"/>
        </w:rPr>
        <w:t>具体数量根据实际要求配置。</w:t>
      </w:r>
    </w:p>
    <w:p>
      <w:pPr>
        <w:pStyle w:val="51"/>
        <w:numPr>
          <w:ilvl w:val="0"/>
          <w:numId w:val="64"/>
        </w:numPr>
        <w:ind w:left="1134" w:right="-180" w:rightChars="-75" w:hanging="708"/>
        <w:rPr>
          <w:rFonts w:ascii="宋体" w:hAnsi="宋体" w:eastAsia="宋体" w:cs="宋体"/>
          <w:sz w:val="24"/>
          <w:szCs w:val="24"/>
          <w:highlight w:val="none"/>
        </w:rPr>
      </w:pPr>
      <w:r>
        <w:rPr>
          <w:rFonts w:hint="eastAsia" w:ascii="宋体" w:hAnsi="宋体" w:eastAsia="宋体" w:cs="宋体"/>
          <w:sz w:val="24"/>
          <w:szCs w:val="24"/>
          <w:highlight w:val="none"/>
        </w:rPr>
        <w:t>产品规格</w:t>
      </w:r>
    </w:p>
    <w:p>
      <w:pPr>
        <w:pStyle w:val="51"/>
        <w:numPr>
          <w:ilvl w:val="0"/>
          <w:numId w:val="66"/>
        </w:numPr>
        <w:ind w:left="734" w:right="-180" w:rightChars="-75" w:hanging="308"/>
        <w:rPr>
          <w:rFonts w:ascii="宋体" w:hAnsi="宋体" w:eastAsia="宋体" w:cs="宋体"/>
          <w:sz w:val="24"/>
          <w:szCs w:val="24"/>
          <w:highlight w:val="none"/>
        </w:rPr>
      </w:pPr>
      <w:r>
        <w:rPr>
          <w:rFonts w:hint="eastAsia" w:ascii="宋体" w:hAnsi="宋体" w:eastAsia="宋体" w:cs="宋体"/>
          <w:sz w:val="24"/>
          <w:szCs w:val="24"/>
          <w:highlight w:val="none"/>
        </w:rPr>
        <w:t>走线架规格：水平走线架有200mm、300mm、500mm等，垂直走线架有600mm、800mm等。</w:t>
      </w:r>
    </w:p>
    <w:p>
      <w:pPr>
        <w:pStyle w:val="51"/>
        <w:numPr>
          <w:ilvl w:val="0"/>
          <w:numId w:val="64"/>
        </w:numPr>
        <w:ind w:left="1134" w:right="-180" w:rightChars="-75" w:hanging="708"/>
        <w:rPr>
          <w:rFonts w:ascii="宋体" w:hAnsi="宋体" w:eastAsia="宋体" w:cs="宋体"/>
          <w:sz w:val="24"/>
          <w:szCs w:val="24"/>
          <w:highlight w:val="none"/>
        </w:rPr>
      </w:pPr>
      <w:r>
        <w:rPr>
          <w:rFonts w:hint="eastAsia" w:ascii="宋体" w:hAnsi="宋体" w:eastAsia="宋体" w:cs="宋体"/>
          <w:sz w:val="24"/>
          <w:szCs w:val="24"/>
          <w:highlight w:val="none"/>
        </w:rPr>
        <w:t>产品结构要求</w:t>
      </w:r>
    </w:p>
    <w:p>
      <w:pPr>
        <w:pStyle w:val="51"/>
        <w:numPr>
          <w:ilvl w:val="1"/>
          <w:numId w:val="67"/>
        </w:numPr>
        <w:ind w:left="734" w:right="-180" w:rightChars="-75" w:hanging="308"/>
        <w:rPr>
          <w:rFonts w:ascii="宋体" w:hAnsi="宋体" w:eastAsia="宋体" w:cs="宋体"/>
          <w:sz w:val="24"/>
          <w:szCs w:val="24"/>
          <w:highlight w:val="none"/>
        </w:rPr>
      </w:pPr>
      <w:r>
        <w:rPr>
          <w:rFonts w:hint="eastAsia" w:ascii="宋体" w:hAnsi="宋体" w:eastAsia="宋体" w:cs="宋体"/>
          <w:sz w:val="24"/>
          <w:szCs w:val="24"/>
          <w:highlight w:val="none"/>
        </w:rPr>
        <w:t>采用悬挂式安装方式，由直径为16mm的吊杆群和支架把槽道分层次悬挂装固在机房的楼顶板下和连固在墙壁上。线槽主要承重横梁应采用专门设计的优质工程铝合金型材，表面光亮氧化涂复，材料质硬、重量轻、承重量大，通用灵活。</w:t>
      </w:r>
    </w:p>
    <w:p>
      <w:pPr>
        <w:pStyle w:val="51"/>
        <w:numPr>
          <w:ilvl w:val="1"/>
          <w:numId w:val="67"/>
        </w:numPr>
        <w:ind w:left="734" w:right="-180" w:rightChars="-75" w:hanging="308"/>
        <w:rPr>
          <w:rFonts w:hint="eastAsia" w:ascii="宋体" w:hAnsi="宋体" w:eastAsia="宋体" w:cs="宋体"/>
          <w:sz w:val="24"/>
          <w:szCs w:val="24"/>
          <w:highlight w:val="none"/>
        </w:rPr>
      </w:pPr>
      <w:r>
        <w:rPr>
          <w:rFonts w:hint="eastAsia" w:ascii="宋体" w:hAnsi="宋体" w:eastAsia="宋体" w:cs="宋体"/>
          <w:sz w:val="24"/>
          <w:szCs w:val="24"/>
          <w:highlight w:val="none"/>
        </w:rPr>
        <w:t>线槽U型件及所有金属结构件应采用表面电镀或镀后喷漆、喷塑的工艺，防腐性强。</w:t>
      </w:r>
    </w:p>
    <w:p>
      <w:pPr>
        <w:pStyle w:val="51"/>
        <w:numPr>
          <w:ilvl w:val="1"/>
          <w:numId w:val="67"/>
        </w:numPr>
        <w:ind w:left="734" w:right="-180" w:rightChars="-75" w:hanging="308"/>
        <w:rPr>
          <w:rFonts w:hint="eastAsia" w:ascii="宋体" w:hAnsi="宋体" w:eastAsia="宋体" w:cs="宋体"/>
          <w:sz w:val="24"/>
          <w:szCs w:val="24"/>
          <w:highlight w:val="none"/>
        </w:rPr>
      </w:pPr>
      <w:r>
        <w:rPr>
          <w:rFonts w:hint="eastAsia" w:ascii="宋体" w:hAnsi="宋体" w:eastAsia="宋体" w:cs="宋体"/>
          <w:sz w:val="24"/>
          <w:szCs w:val="24"/>
          <w:highlight w:val="none"/>
        </w:rPr>
        <w:t>线槽吊杆装置应为可调式，能上下、前后、左右方向调整。</w:t>
      </w:r>
    </w:p>
    <w:p>
      <w:pPr>
        <w:pStyle w:val="51"/>
        <w:numPr>
          <w:ilvl w:val="0"/>
          <w:numId w:val="64"/>
        </w:numPr>
        <w:ind w:left="1134" w:right="-180" w:rightChars="-75" w:hanging="708"/>
        <w:rPr>
          <w:rFonts w:ascii="宋体" w:hAnsi="宋体" w:eastAsia="宋体" w:cs="宋体"/>
          <w:sz w:val="24"/>
          <w:szCs w:val="24"/>
          <w:highlight w:val="none"/>
        </w:rPr>
      </w:pPr>
      <w:r>
        <w:rPr>
          <w:rFonts w:hint="eastAsia" w:ascii="宋体" w:hAnsi="宋体" w:eastAsia="宋体" w:cs="宋体"/>
          <w:sz w:val="24"/>
          <w:szCs w:val="24"/>
          <w:highlight w:val="none"/>
        </w:rPr>
        <w:t>安装要求</w:t>
      </w:r>
    </w:p>
    <w:p>
      <w:pPr>
        <w:pStyle w:val="51"/>
        <w:numPr>
          <w:ilvl w:val="1"/>
          <w:numId w:val="68"/>
        </w:numPr>
        <w:ind w:left="734" w:right="-180" w:rightChars="-75" w:hanging="308"/>
        <w:rPr>
          <w:rFonts w:ascii="宋体" w:hAnsi="宋体" w:eastAsia="宋体" w:cs="宋体"/>
          <w:sz w:val="24"/>
          <w:szCs w:val="24"/>
          <w:highlight w:val="none"/>
        </w:rPr>
      </w:pPr>
      <w:r>
        <w:rPr>
          <w:rFonts w:hint="eastAsia" w:ascii="宋体" w:hAnsi="宋体" w:eastAsia="宋体" w:cs="宋体"/>
          <w:sz w:val="24"/>
          <w:szCs w:val="24"/>
          <w:highlight w:val="none"/>
        </w:rPr>
        <w:t>根据机房槽道排列布置图在机房定位划线，定出各种层次槽道的吊杆位置和固定支架位置。</w:t>
      </w:r>
    </w:p>
    <w:p>
      <w:pPr>
        <w:pStyle w:val="51"/>
        <w:numPr>
          <w:ilvl w:val="1"/>
          <w:numId w:val="68"/>
        </w:numPr>
        <w:ind w:left="734" w:right="-180" w:rightChars="-75" w:hanging="308"/>
        <w:rPr>
          <w:rFonts w:hint="eastAsia" w:ascii="宋体" w:hAnsi="宋体" w:eastAsia="宋体" w:cs="宋体"/>
          <w:sz w:val="24"/>
          <w:szCs w:val="24"/>
          <w:highlight w:val="none"/>
        </w:rPr>
      </w:pPr>
      <w:r>
        <w:rPr>
          <w:rFonts w:hint="eastAsia" w:ascii="宋体" w:hAnsi="宋体" w:eastAsia="宋体" w:cs="宋体"/>
          <w:sz w:val="24"/>
          <w:szCs w:val="24"/>
          <w:highlight w:val="none"/>
        </w:rPr>
        <w:t>装入吊杆，保证上支架与机房梁柱体连接牢固，吊杆螺紧固。</w:t>
      </w:r>
    </w:p>
    <w:p>
      <w:pPr>
        <w:pStyle w:val="51"/>
        <w:numPr>
          <w:ilvl w:val="1"/>
          <w:numId w:val="68"/>
        </w:numPr>
        <w:ind w:left="734" w:right="-180" w:rightChars="-75" w:hanging="308"/>
        <w:rPr>
          <w:rFonts w:ascii="宋体" w:hAnsi="宋体" w:eastAsia="宋体" w:cs="宋体"/>
          <w:sz w:val="24"/>
          <w:szCs w:val="24"/>
          <w:highlight w:val="none"/>
        </w:rPr>
      </w:pPr>
      <w:r>
        <w:rPr>
          <w:rFonts w:hint="eastAsia" w:ascii="宋体" w:hAnsi="宋体" w:eastAsia="宋体" w:cs="宋体"/>
          <w:sz w:val="24"/>
          <w:szCs w:val="24"/>
          <w:highlight w:val="none"/>
        </w:rPr>
        <w:t>装入铝合金型材后，调校吊杆的垂直度和铝合金型材的平直度，和保证交叉口吻合良好。</w:t>
      </w:r>
    </w:p>
    <w:p>
      <w:pPr>
        <w:pStyle w:val="51"/>
        <w:numPr>
          <w:ilvl w:val="1"/>
          <w:numId w:val="68"/>
        </w:numPr>
        <w:ind w:left="734" w:right="-180" w:rightChars="-75" w:hanging="308"/>
        <w:rPr>
          <w:rFonts w:ascii="宋体" w:hAnsi="宋体" w:eastAsia="宋体" w:cs="宋体"/>
          <w:sz w:val="24"/>
          <w:szCs w:val="24"/>
          <w:highlight w:val="none"/>
        </w:rPr>
      </w:pPr>
      <w:r>
        <w:rPr>
          <w:rFonts w:hint="eastAsia" w:ascii="宋体" w:hAnsi="宋体" w:eastAsia="宋体" w:cs="宋体"/>
          <w:sz w:val="24"/>
          <w:szCs w:val="24"/>
          <w:highlight w:val="none"/>
        </w:rPr>
        <w:t>装配垂直槽道，先要调校线井的垂直度，找出不影响各井口的位置定位钻孔，装入支架和铝型材后经调校垂直度后装上槽钢，在适当位置加固支撑。</w:t>
      </w:r>
    </w:p>
    <w:p>
      <w:pPr>
        <w:pStyle w:val="51"/>
        <w:numPr>
          <w:ilvl w:val="1"/>
          <w:numId w:val="68"/>
        </w:numPr>
        <w:ind w:left="734" w:right="-180" w:rightChars="-75" w:hanging="308"/>
        <w:rPr>
          <w:rFonts w:ascii="宋体" w:hAnsi="宋体" w:eastAsia="宋体" w:cs="宋体"/>
          <w:sz w:val="24"/>
          <w:szCs w:val="24"/>
          <w:highlight w:val="none"/>
        </w:rPr>
      </w:pPr>
      <w:r>
        <w:rPr>
          <w:rFonts w:hint="eastAsia" w:ascii="宋体" w:hAnsi="宋体" w:eastAsia="宋体" w:cs="宋体"/>
          <w:sz w:val="24"/>
          <w:szCs w:val="24"/>
          <w:highlight w:val="none"/>
        </w:rPr>
        <w:t>各层次槽钢装配后，在适当位置加装支撑连接，使槽道网连成一体，要求槽道没有晃动现象。</w:t>
      </w:r>
    </w:p>
    <w:p>
      <w:pPr>
        <w:pStyle w:val="51"/>
        <w:numPr>
          <w:ilvl w:val="1"/>
          <w:numId w:val="68"/>
        </w:numPr>
        <w:ind w:left="734" w:leftChars="0" w:right="-180" w:rightChars="-75" w:hanging="308" w:firstLineChars="0"/>
        <w:rPr>
          <w:rFonts w:ascii="宋体" w:hAnsi="宋体" w:eastAsia="宋体" w:cs="宋体"/>
          <w:sz w:val="24"/>
          <w:szCs w:val="24"/>
          <w:highlight w:val="none"/>
        </w:rPr>
      </w:pPr>
      <w:r>
        <w:rPr>
          <w:rFonts w:hint="eastAsia" w:ascii="宋体" w:hAnsi="宋体" w:eastAsia="宋体" w:cs="宋体"/>
          <w:sz w:val="24"/>
          <w:szCs w:val="24"/>
          <w:highlight w:val="none"/>
        </w:rPr>
        <w:t>包装、标志、储存、运输符合GB/T3873-83的规定。</w:t>
      </w:r>
    </w:p>
    <w:p>
      <w:pPr>
        <w:pStyle w:val="51"/>
        <w:numPr>
          <w:ilvl w:val="1"/>
          <w:numId w:val="68"/>
        </w:numPr>
        <w:ind w:left="734" w:leftChars="0" w:right="-180" w:rightChars="-75" w:hanging="308" w:firstLineChars="0"/>
        <w:rPr>
          <w:rFonts w:ascii="宋体" w:hAnsi="宋体" w:eastAsia="宋体" w:cs="宋体"/>
          <w:sz w:val="24"/>
          <w:szCs w:val="24"/>
          <w:highlight w:val="none"/>
        </w:rPr>
      </w:pPr>
      <w:r>
        <w:rPr>
          <w:rFonts w:hint="eastAsia" w:ascii="宋体" w:hAnsi="宋体" w:eastAsia="宋体" w:cs="宋体"/>
          <w:sz w:val="24"/>
          <w:szCs w:val="24"/>
          <w:highlight w:val="none"/>
          <w:lang w:val="en-US" w:eastAsia="zh-CN"/>
        </w:rPr>
        <w:t>布线要求：弱电走线架需配置铝合金固线器。</w:t>
      </w:r>
    </w:p>
    <w:p>
      <w:pPr>
        <w:pStyle w:val="51"/>
        <w:numPr>
          <w:ilvl w:val="0"/>
          <w:numId w:val="0"/>
        </w:numPr>
        <w:ind w:left="426" w:leftChars="0" w:right="-180" w:rightChars="-75"/>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线缆理线要求参考图片如下：</w:t>
      </w:r>
    </w:p>
    <w:p>
      <w:pPr>
        <w:pStyle w:val="51"/>
        <w:numPr>
          <w:ilvl w:val="0"/>
          <w:numId w:val="0"/>
        </w:numPr>
        <w:ind w:left="426" w:leftChars="0" w:right="-180" w:rightChars="-75"/>
        <w:rPr>
          <w:rFonts w:hint="default" w:ascii="宋体" w:hAnsi="宋体" w:eastAsia="宋体" w:cs="宋体"/>
          <w:sz w:val="24"/>
          <w:szCs w:val="24"/>
          <w:highlight w:val="none"/>
          <w:lang w:val="en-US" w:eastAsia="zh-CN"/>
        </w:rPr>
      </w:pPr>
      <w:r>
        <w:rPr>
          <w:rFonts w:hint="default" w:ascii="宋体" w:hAnsi="宋体" w:eastAsia="宋体" w:cs="宋体"/>
          <w:sz w:val="24"/>
          <w:szCs w:val="24"/>
          <w:highlight w:val="none"/>
          <w:lang w:val="en-US" w:eastAsia="zh-CN"/>
        </w:rPr>
        <w:drawing>
          <wp:inline distT="0" distB="0" distL="114300" distR="114300">
            <wp:extent cx="3388995" cy="1999615"/>
            <wp:effectExtent l="0" t="0" r="1905" b="635"/>
            <wp:docPr id="4" name="图片 4" descr="5bc92199abb5401624899c25a9cc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5bc92199abb5401624899c25a9cc024"/>
                    <pic:cNvPicPr>
                      <a:picLocks noChangeAspect="1"/>
                    </pic:cNvPicPr>
                  </pic:nvPicPr>
                  <pic:blipFill>
                    <a:blip r:embed="rId11"/>
                    <a:stretch>
                      <a:fillRect/>
                    </a:stretch>
                  </pic:blipFill>
                  <pic:spPr>
                    <a:xfrm>
                      <a:off x="0" y="0"/>
                      <a:ext cx="3388995" cy="1999615"/>
                    </a:xfrm>
                    <a:prstGeom prst="rect">
                      <a:avLst/>
                    </a:prstGeom>
                  </pic:spPr>
                </pic:pic>
              </a:graphicData>
            </a:graphic>
          </wp:inline>
        </w:drawing>
      </w:r>
    </w:p>
    <w:p>
      <w:pPr>
        <w:pStyle w:val="8"/>
        <w:ind w:left="1134" w:right="-180" w:rightChars="-75" w:hanging="708"/>
        <w:rPr>
          <w:highlight w:val="none"/>
        </w:rPr>
      </w:pPr>
      <w:r>
        <w:rPr>
          <w:rFonts w:hint="eastAsia"/>
          <w:highlight w:val="none"/>
        </w:rPr>
        <w:t>1</w:t>
      </w:r>
      <w:r>
        <w:rPr>
          <w:highlight w:val="none"/>
        </w:rPr>
        <w:t>5</w:t>
      </w:r>
      <w:r>
        <w:rPr>
          <w:rFonts w:hint="eastAsia"/>
          <w:highlight w:val="none"/>
        </w:rPr>
        <w:t>）</w:t>
      </w:r>
      <w:r>
        <w:rPr>
          <w:highlight w:val="none"/>
        </w:rPr>
        <w:t>.</w:t>
      </w:r>
      <w:r>
        <w:rPr>
          <w:rFonts w:hint="eastAsia"/>
          <w:highlight w:val="none"/>
        </w:rPr>
        <w:t>其他指标要求</w:t>
      </w:r>
    </w:p>
    <w:p>
      <w:pPr>
        <w:spacing w:line="360" w:lineRule="auto"/>
        <w:ind w:left="1134" w:right="-180" w:rightChars="-75" w:hanging="708"/>
        <w:rPr>
          <w:color w:val="auto"/>
          <w:szCs w:val="24"/>
          <w:highlight w:val="none"/>
          <w:shd w:val="clear" w:color="auto" w:fill="FFFFFF"/>
        </w:rPr>
      </w:pPr>
      <w:r>
        <w:rPr>
          <w:rFonts w:hint="eastAsia"/>
          <w:color w:val="auto"/>
          <w:szCs w:val="24"/>
          <w:highlight w:val="none"/>
          <w:shd w:val="clear" w:color="auto" w:fill="FFFFFF"/>
        </w:rPr>
        <w:t>（a）对施工质量要求应满足GB 50210-2018《建筑装饰装修工程质量验收标准》。</w:t>
      </w:r>
    </w:p>
    <w:p>
      <w:pPr>
        <w:spacing w:line="360" w:lineRule="auto"/>
        <w:ind w:left="0" w:right="-180" w:rightChars="-75" w:firstLine="480" w:firstLineChars="200"/>
        <w:rPr>
          <w:color w:val="auto"/>
          <w:szCs w:val="24"/>
          <w:highlight w:val="none"/>
        </w:rPr>
      </w:pPr>
      <w:r>
        <w:rPr>
          <w:rFonts w:hint="eastAsia"/>
          <w:color w:val="auto"/>
          <w:szCs w:val="24"/>
          <w:highlight w:val="none"/>
          <w:shd w:val="clear" w:color="auto" w:fill="FFFFFF"/>
        </w:rPr>
        <w:t>（b）</w:t>
      </w:r>
      <w:r>
        <w:rPr>
          <w:rFonts w:hint="eastAsia"/>
          <w:color w:val="auto"/>
          <w:szCs w:val="24"/>
          <w:highlight w:val="none"/>
        </w:rPr>
        <w:t>对材料的选用应满足环保要求,具体如下：</w:t>
      </w:r>
    </w:p>
    <w:p>
      <w:pPr>
        <w:spacing w:line="360" w:lineRule="auto"/>
        <w:ind w:left="0" w:right="-180" w:rightChars="-75" w:firstLine="720" w:firstLineChars="300"/>
        <w:rPr>
          <w:color w:val="auto"/>
          <w:szCs w:val="24"/>
          <w:highlight w:val="none"/>
        </w:rPr>
      </w:pPr>
      <w:r>
        <w:rPr>
          <w:rFonts w:hint="eastAsia"/>
          <w:color w:val="auto"/>
          <w:szCs w:val="24"/>
          <w:highlight w:val="none"/>
        </w:rPr>
        <w:t>GB50325-2010（2013版）《民用建筑工程室内环境污染控制规范》；</w:t>
      </w:r>
    </w:p>
    <w:p>
      <w:pPr>
        <w:spacing w:line="360" w:lineRule="auto"/>
        <w:ind w:left="0" w:right="-180" w:rightChars="-75" w:firstLine="720" w:firstLineChars="300"/>
        <w:rPr>
          <w:color w:val="auto"/>
          <w:szCs w:val="24"/>
          <w:highlight w:val="none"/>
        </w:rPr>
      </w:pPr>
      <w:r>
        <w:rPr>
          <w:rFonts w:hint="eastAsia"/>
          <w:color w:val="auto"/>
          <w:szCs w:val="24"/>
          <w:highlight w:val="none"/>
        </w:rPr>
        <w:t>GB 18580-2017 《室内装饰装修材料人造板及其制品中甲醛释放限量》；</w:t>
      </w:r>
    </w:p>
    <w:p>
      <w:pPr>
        <w:spacing w:line="360" w:lineRule="auto"/>
        <w:ind w:left="0" w:right="-180" w:rightChars="-75" w:firstLine="720" w:firstLineChars="300"/>
        <w:rPr>
          <w:color w:val="auto"/>
          <w:szCs w:val="24"/>
          <w:highlight w:val="none"/>
        </w:rPr>
      </w:pPr>
      <w:r>
        <w:rPr>
          <w:rFonts w:hint="eastAsia"/>
          <w:color w:val="auto"/>
          <w:szCs w:val="24"/>
          <w:highlight w:val="none"/>
        </w:rPr>
        <w:t>GB 18581-2009 《室内装饰装修材料容剂木器涂料中有毒有害物质限量》；</w:t>
      </w:r>
    </w:p>
    <w:p>
      <w:pPr>
        <w:spacing w:line="360" w:lineRule="auto"/>
        <w:ind w:left="0" w:right="-180" w:rightChars="-75" w:firstLine="720" w:firstLineChars="300"/>
        <w:rPr>
          <w:color w:val="auto"/>
          <w:szCs w:val="24"/>
          <w:highlight w:val="none"/>
        </w:rPr>
      </w:pPr>
      <w:r>
        <w:rPr>
          <w:rFonts w:hint="eastAsia"/>
          <w:color w:val="auto"/>
          <w:szCs w:val="24"/>
          <w:highlight w:val="none"/>
        </w:rPr>
        <w:t>GB 18582-2008 《室内装饰装修材料内墙涂料中有害物质限量》；</w:t>
      </w:r>
    </w:p>
    <w:p>
      <w:pPr>
        <w:spacing w:line="360" w:lineRule="auto"/>
        <w:ind w:left="0" w:right="-180" w:rightChars="-75" w:firstLine="720" w:firstLineChars="300"/>
        <w:rPr>
          <w:color w:val="auto"/>
          <w:szCs w:val="24"/>
          <w:highlight w:val="none"/>
        </w:rPr>
      </w:pPr>
      <w:r>
        <w:rPr>
          <w:rFonts w:hint="eastAsia"/>
          <w:color w:val="auto"/>
          <w:szCs w:val="24"/>
          <w:highlight w:val="none"/>
        </w:rPr>
        <w:t>GB 18583-2008 《室内装饰装修材料胶粘济中有害物质限量》；</w:t>
      </w:r>
    </w:p>
    <w:p>
      <w:pPr>
        <w:spacing w:line="360" w:lineRule="auto"/>
        <w:ind w:left="0" w:right="-180" w:rightChars="-75" w:firstLine="720" w:firstLineChars="300"/>
        <w:rPr>
          <w:color w:val="auto"/>
          <w:szCs w:val="24"/>
          <w:highlight w:val="none"/>
        </w:rPr>
      </w:pPr>
      <w:r>
        <w:rPr>
          <w:rFonts w:hint="eastAsia"/>
          <w:color w:val="auto"/>
          <w:szCs w:val="24"/>
          <w:highlight w:val="none"/>
        </w:rPr>
        <w:t>GB 18584-2001 《室内装饰装修材料木家具中有害物质限量》；</w:t>
      </w:r>
    </w:p>
    <w:p>
      <w:pPr>
        <w:spacing w:line="360" w:lineRule="auto"/>
        <w:ind w:left="0" w:right="-180" w:rightChars="-75" w:firstLine="720" w:firstLineChars="300"/>
        <w:rPr>
          <w:color w:val="auto"/>
          <w:szCs w:val="24"/>
          <w:highlight w:val="none"/>
        </w:rPr>
      </w:pPr>
      <w:r>
        <w:rPr>
          <w:rFonts w:hint="eastAsia"/>
          <w:color w:val="auto"/>
          <w:szCs w:val="24"/>
          <w:highlight w:val="none"/>
        </w:rPr>
        <w:t>GB 18585-2001 《室内装饰装修材料壁纸中有害物质限量》。</w:t>
      </w:r>
    </w:p>
    <w:p>
      <w:pPr>
        <w:spacing w:line="360" w:lineRule="auto"/>
        <w:ind w:left="240" w:leftChars="100" w:right="-180" w:rightChars="-75" w:firstLine="480" w:firstLineChars="200"/>
        <w:rPr>
          <w:color w:val="auto"/>
          <w:szCs w:val="24"/>
          <w:highlight w:val="none"/>
        </w:rPr>
      </w:pPr>
      <w:r>
        <w:rPr>
          <w:rFonts w:hint="eastAsia"/>
          <w:color w:val="auto"/>
          <w:szCs w:val="24"/>
          <w:highlight w:val="none"/>
        </w:rPr>
        <w:t>室内装修所选用的各种装饰材料,由施工单位提供，制作样板，并提供材料合格证书及环保、防火性能检测报告，经建设单位、设计单位、现场监理确认后施工，并据此进行验收。</w:t>
      </w:r>
      <w:bookmarkEnd w:id="142"/>
    </w:p>
    <w:p>
      <w:pPr>
        <w:pStyle w:val="5"/>
        <w:numPr>
          <w:ilvl w:val="0"/>
          <w:numId w:val="58"/>
        </w:numPr>
        <w:ind w:left="1134" w:right="-180" w:rightChars="-75" w:hanging="708"/>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电气系统</w:t>
      </w:r>
    </w:p>
    <w:p>
      <w:pPr>
        <w:pStyle w:val="6"/>
        <w:ind w:left="1134" w:right="-180" w:rightChars="-75" w:hanging="708"/>
        <w:rPr>
          <w:color w:val="auto"/>
          <w:sz w:val="24"/>
          <w:szCs w:val="24"/>
          <w:highlight w:val="none"/>
        </w:rPr>
      </w:pPr>
      <w:r>
        <w:rPr>
          <w:color w:val="auto"/>
          <w:sz w:val="24"/>
          <w:szCs w:val="24"/>
          <w:highlight w:val="none"/>
        </w:rPr>
        <w:t>1</w:t>
      </w:r>
      <w:r>
        <w:rPr>
          <w:rFonts w:hint="eastAsia"/>
          <w:color w:val="auto"/>
          <w:sz w:val="24"/>
          <w:szCs w:val="24"/>
          <w:highlight w:val="none"/>
        </w:rPr>
        <w:t>、系统概述</w:t>
      </w:r>
    </w:p>
    <w:p>
      <w:pPr>
        <w:spacing w:line="360" w:lineRule="auto"/>
        <w:ind w:left="240" w:leftChars="100" w:right="-180" w:rightChars="-75" w:firstLine="480" w:firstLineChars="200"/>
        <w:rPr>
          <w:color w:val="auto"/>
          <w:szCs w:val="24"/>
          <w:highlight w:val="none"/>
        </w:rPr>
      </w:pPr>
      <w:r>
        <w:rPr>
          <w:rFonts w:hint="eastAsia"/>
          <w:color w:val="auto"/>
          <w:szCs w:val="24"/>
          <w:highlight w:val="none"/>
        </w:rPr>
        <w:t>本机房配电系统依据国家标准《数据中心设计规范》GB50174-2017 B级设计，IT设备UPS配电采用2N的容错模式，具有系统高容错能力，高可靠性。</w:t>
      </w:r>
    </w:p>
    <w:p>
      <w:pPr>
        <w:spacing w:line="360" w:lineRule="auto"/>
        <w:ind w:left="240" w:leftChars="100" w:right="-180" w:rightChars="-75" w:firstLine="480" w:firstLineChars="200"/>
        <w:rPr>
          <w:color w:val="auto"/>
          <w:szCs w:val="24"/>
          <w:highlight w:val="none"/>
        </w:rPr>
      </w:pPr>
      <w:r>
        <w:rPr>
          <w:rFonts w:hint="eastAsia"/>
          <w:color w:val="auto"/>
          <w:szCs w:val="24"/>
          <w:highlight w:val="none"/>
        </w:rPr>
        <w:t>本机房的电气负荷为一级和一级特别重要负荷，一级特别重要负荷包括：机房计算机设备电源，消防电源及应急照明电源等；一级负荷包括：动力设备电源、机房正常照明电源，弱电电源等。</w:t>
      </w:r>
    </w:p>
    <w:p>
      <w:pPr>
        <w:pStyle w:val="6"/>
        <w:ind w:left="1134" w:right="-180" w:rightChars="-75" w:hanging="708"/>
        <w:rPr>
          <w:color w:val="auto"/>
          <w:sz w:val="24"/>
          <w:szCs w:val="24"/>
          <w:highlight w:val="none"/>
        </w:rPr>
      </w:pPr>
      <w:r>
        <w:rPr>
          <w:color w:val="auto"/>
          <w:sz w:val="24"/>
          <w:szCs w:val="24"/>
          <w:highlight w:val="none"/>
        </w:rPr>
        <w:t>2</w:t>
      </w:r>
      <w:r>
        <w:rPr>
          <w:rFonts w:hint="eastAsia"/>
          <w:color w:val="auto"/>
          <w:sz w:val="24"/>
          <w:szCs w:val="24"/>
          <w:highlight w:val="none"/>
        </w:rPr>
        <w:t>、电源系统</w:t>
      </w:r>
    </w:p>
    <w:p>
      <w:pPr>
        <w:widowControl w:val="0"/>
        <w:numPr>
          <w:ilvl w:val="0"/>
          <w:numId w:val="69"/>
        </w:numPr>
        <w:tabs>
          <w:tab w:val="left" w:pos="960"/>
        </w:tabs>
        <w:spacing w:after="0" w:line="360" w:lineRule="auto"/>
        <w:ind w:left="240" w:right="-180" w:rightChars="-75" w:firstLine="480" w:firstLineChars="200"/>
        <w:jc w:val="both"/>
        <w:rPr>
          <w:color w:val="auto"/>
          <w:szCs w:val="24"/>
          <w:highlight w:val="none"/>
        </w:rPr>
      </w:pPr>
      <w:r>
        <w:rPr>
          <w:rFonts w:hint="eastAsia"/>
          <w:color w:val="auto"/>
          <w:szCs w:val="24"/>
          <w:highlight w:val="none"/>
        </w:rPr>
        <w:t>本机房含三种电源，一般市电、柴发电源和不间断电源。</w:t>
      </w:r>
    </w:p>
    <w:p>
      <w:pPr>
        <w:widowControl w:val="0"/>
        <w:numPr>
          <w:ilvl w:val="0"/>
          <w:numId w:val="69"/>
        </w:numPr>
        <w:tabs>
          <w:tab w:val="left" w:pos="960"/>
        </w:tabs>
        <w:spacing w:after="0" w:line="360" w:lineRule="auto"/>
        <w:ind w:left="240" w:right="-180" w:rightChars="-75" w:firstLine="480" w:firstLineChars="200"/>
        <w:jc w:val="both"/>
        <w:rPr>
          <w:color w:val="auto"/>
          <w:szCs w:val="24"/>
          <w:highlight w:val="none"/>
        </w:rPr>
      </w:pPr>
      <w:r>
        <w:rPr>
          <w:rFonts w:hint="eastAsia"/>
          <w:color w:val="auto"/>
          <w:szCs w:val="24"/>
          <w:highlight w:val="none"/>
        </w:rPr>
        <w:t>电气专业负责将市电电源、柴发电源通过A</w:t>
      </w:r>
      <w:r>
        <w:rPr>
          <w:color w:val="auto"/>
          <w:szCs w:val="24"/>
          <w:highlight w:val="none"/>
        </w:rPr>
        <w:t>TS</w:t>
      </w:r>
      <w:r>
        <w:rPr>
          <w:rFonts w:hint="eastAsia"/>
          <w:color w:val="auto"/>
          <w:szCs w:val="24"/>
          <w:highlight w:val="none"/>
        </w:rPr>
        <w:t>切换后引至机房配电室内。</w:t>
      </w:r>
    </w:p>
    <w:p>
      <w:pPr>
        <w:widowControl w:val="0"/>
        <w:numPr>
          <w:ilvl w:val="0"/>
          <w:numId w:val="69"/>
        </w:numPr>
        <w:tabs>
          <w:tab w:val="left" w:pos="960"/>
        </w:tabs>
        <w:spacing w:after="0" w:line="360" w:lineRule="auto"/>
        <w:ind w:left="240" w:right="-180" w:rightChars="-75" w:firstLine="480" w:firstLineChars="200"/>
        <w:jc w:val="both"/>
        <w:rPr>
          <w:color w:val="auto"/>
          <w:szCs w:val="24"/>
          <w:highlight w:val="none"/>
        </w:rPr>
      </w:pPr>
      <w:r>
        <w:rPr>
          <w:rFonts w:hint="eastAsia"/>
          <w:color w:val="auto"/>
          <w:szCs w:val="24"/>
          <w:highlight w:val="none"/>
        </w:rPr>
        <w:t>主机房服务器机柜按</w:t>
      </w:r>
      <w:r>
        <w:rPr>
          <w:color w:val="auto"/>
          <w:szCs w:val="24"/>
          <w:highlight w:val="none"/>
        </w:rPr>
        <w:t>8</w:t>
      </w:r>
      <w:r>
        <w:rPr>
          <w:rFonts w:hint="eastAsia"/>
          <w:color w:val="auto"/>
          <w:szCs w:val="24"/>
          <w:highlight w:val="none"/>
        </w:rPr>
        <w:t>KW-</w:t>
      </w:r>
      <w:r>
        <w:rPr>
          <w:color w:val="auto"/>
          <w:szCs w:val="24"/>
          <w:highlight w:val="none"/>
        </w:rPr>
        <w:t>12KW</w:t>
      </w:r>
      <w:r>
        <w:rPr>
          <w:rFonts w:hint="eastAsia"/>
          <w:color w:val="auto"/>
          <w:szCs w:val="24"/>
          <w:highlight w:val="none"/>
        </w:rPr>
        <w:t>/柜。每个模块采用一台精密配电柜配电方式，分A,B路向机柜供电。</w:t>
      </w:r>
    </w:p>
    <w:p>
      <w:pPr>
        <w:widowControl w:val="0"/>
        <w:numPr>
          <w:ilvl w:val="0"/>
          <w:numId w:val="69"/>
        </w:numPr>
        <w:tabs>
          <w:tab w:val="left" w:pos="960"/>
        </w:tabs>
        <w:spacing w:after="0" w:line="360" w:lineRule="auto"/>
        <w:ind w:left="240" w:right="-180" w:rightChars="-75" w:firstLine="480" w:firstLineChars="200"/>
        <w:jc w:val="both"/>
        <w:rPr>
          <w:color w:val="auto"/>
          <w:szCs w:val="24"/>
          <w:highlight w:val="none"/>
        </w:rPr>
      </w:pPr>
      <w:r>
        <w:rPr>
          <w:rFonts w:hint="eastAsia"/>
          <w:color w:val="auto"/>
          <w:szCs w:val="24"/>
          <w:highlight w:val="none"/>
        </w:rPr>
        <w:t xml:space="preserve">机房IT设备配置UPS电源。UPS蓄电池按在机房负载的情况下，系统备电60min。 </w:t>
      </w:r>
    </w:p>
    <w:p>
      <w:pPr>
        <w:widowControl w:val="0"/>
        <w:numPr>
          <w:ilvl w:val="0"/>
          <w:numId w:val="69"/>
        </w:numPr>
        <w:tabs>
          <w:tab w:val="left" w:pos="960"/>
        </w:tabs>
        <w:spacing w:after="0" w:line="360" w:lineRule="auto"/>
        <w:ind w:left="240" w:right="-180" w:rightChars="-75" w:firstLine="480" w:firstLineChars="200"/>
        <w:jc w:val="both"/>
        <w:rPr>
          <w:color w:val="auto"/>
          <w:szCs w:val="24"/>
          <w:highlight w:val="none"/>
        </w:rPr>
      </w:pPr>
      <w:r>
        <w:rPr>
          <w:rFonts w:hint="eastAsia"/>
          <w:color w:val="auto"/>
          <w:szCs w:val="24"/>
          <w:highlight w:val="none"/>
        </w:rPr>
        <w:t>模块机房内IT设备供电，配电室，电池室内配电均采用开放式桥架，其它区域配电采用封闭式金属桥架。</w:t>
      </w:r>
    </w:p>
    <w:p>
      <w:pPr>
        <w:widowControl w:val="0"/>
        <w:numPr>
          <w:ilvl w:val="0"/>
          <w:numId w:val="69"/>
        </w:numPr>
        <w:tabs>
          <w:tab w:val="left" w:pos="960"/>
        </w:tabs>
        <w:spacing w:after="0" w:line="360" w:lineRule="auto"/>
        <w:ind w:left="240" w:right="-180" w:rightChars="-75" w:firstLine="480" w:firstLineChars="200"/>
        <w:jc w:val="both"/>
        <w:rPr>
          <w:color w:val="auto"/>
          <w:szCs w:val="24"/>
          <w:highlight w:val="none"/>
        </w:rPr>
      </w:pPr>
      <w:r>
        <w:rPr>
          <w:rFonts w:hint="eastAsia"/>
          <w:color w:val="auto"/>
          <w:szCs w:val="24"/>
          <w:highlight w:val="none"/>
        </w:rPr>
        <w:t>配电室采用防爆灯具，防爆接线盒及厚壁钢管，配电室插座为防爆型,翘板开关放电池室外易于操作处。</w:t>
      </w:r>
    </w:p>
    <w:p>
      <w:pPr>
        <w:pStyle w:val="6"/>
        <w:ind w:left="1134" w:right="-180" w:rightChars="-75" w:hanging="708"/>
        <w:rPr>
          <w:color w:val="auto"/>
          <w:sz w:val="24"/>
          <w:szCs w:val="24"/>
          <w:highlight w:val="none"/>
        </w:rPr>
      </w:pPr>
      <w:r>
        <w:rPr>
          <w:color w:val="auto"/>
          <w:sz w:val="24"/>
          <w:szCs w:val="24"/>
          <w:highlight w:val="none"/>
        </w:rPr>
        <w:t>3</w:t>
      </w:r>
      <w:r>
        <w:rPr>
          <w:rFonts w:hint="eastAsia"/>
          <w:color w:val="auto"/>
          <w:sz w:val="24"/>
          <w:szCs w:val="24"/>
          <w:highlight w:val="none"/>
        </w:rPr>
        <w:t>、供配电系统</w:t>
      </w:r>
    </w:p>
    <w:p>
      <w:pPr>
        <w:widowControl w:val="0"/>
        <w:numPr>
          <w:ilvl w:val="0"/>
          <w:numId w:val="70"/>
        </w:numPr>
        <w:spacing w:after="0" w:line="360" w:lineRule="auto"/>
        <w:ind w:left="240" w:right="-180" w:rightChars="-75" w:firstLine="480" w:firstLineChars="200"/>
        <w:jc w:val="both"/>
        <w:rPr>
          <w:color w:val="auto"/>
          <w:szCs w:val="24"/>
          <w:highlight w:val="none"/>
        </w:rPr>
      </w:pPr>
      <w:r>
        <w:rPr>
          <w:rFonts w:hint="eastAsia"/>
          <w:color w:val="auto"/>
          <w:szCs w:val="24"/>
          <w:highlight w:val="none"/>
        </w:rPr>
        <w:t>机房供配电系统包括UPS配电系统和动力配电系统，主要由低压配电柜/箱、电线电缆、电缆桥架和电线管等组成。</w:t>
      </w:r>
    </w:p>
    <w:p>
      <w:pPr>
        <w:widowControl w:val="0"/>
        <w:numPr>
          <w:ilvl w:val="0"/>
          <w:numId w:val="70"/>
        </w:numPr>
        <w:spacing w:after="0" w:line="360" w:lineRule="auto"/>
        <w:ind w:left="240" w:right="-180" w:rightChars="-75" w:firstLine="480" w:firstLineChars="200"/>
        <w:jc w:val="both"/>
        <w:rPr>
          <w:color w:val="auto"/>
          <w:szCs w:val="24"/>
          <w:highlight w:val="none"/>
        </w:rPr>
      </w:pPr>
      <w:r>
        <w:rPr>
          <w:rFonts w:hint="eastAsia"/>
          <w:color w:val="auto"/>
          <w:szCs w:val="24"/>
          <w:highlight w:val="none"/>
        </w:rPr>
        <w:t>机房配电系统采用50Hz、220/380V电源，放射式配电。</w:t>
      </w:r>
    </w:p>
    <w:p>
      <w:pPr>
        <w:widowControl w:val="0"/>
        <w:numPr>
          <w:ilvl w:val="0"/>
          <w:numId w:val="70"/>
        </w:numPr>
        <w:spacing w:after="0" w:line="360" w:lineRule="auto"/>
        <w:ind w:left="240" w:right="-180" w:rightChars="-75" w:firstLine="480" w:firstLineChars="200"/>
        <w:jc w:val="both"/>
        <w:rPr>
          <w:color w:val="auto"/>
          <w:szCs w:val="24"/>
          <w:highlight w:val="none"/>
        </w:rPr>
      </w:pPr>
      <w:r>
        <w:rPr>
          <w:rFonts w:hint="eastAsia"/>
          <w:color w:val="auto"/>
          <w:szCs w:val="24"/>
          <w:highlight w:val="none"/>
        </w:rPr>
        <w:t>机房UPS配电系统满足</w:t>
      </w:r>
      <w:r>
        <w:rPr>
          <w:color w:val="auto"/>
          <w:szCs w:val="24"/>
          <w:highlight w:val="none"/>
        </w:rPr>
        <w:t>B</w:t>
      </w:r>
      <w:r>
        <w:rPr>
          <w:rFonts w:hint="eastAsia"/>
          <w:color w:val="auto"/>
          <w:szCs w:val="24"/>
          <w:highlight w:val="none"/>
        </w:rPr>
        <w:t>级机房标准。UPS配电系统采用双路供电模式，机房总负荷计算为</w:t>
      </w:r>
      <w:r>
        <w:rPr>
          <w:color w:val="auto"/>
          <w:szCs w:val="24"/>
          <w:highlight w:val="none"/>
        </w:rPr>
        <w:t>771.2</w:t>
      </w:r>
      <w:r>
        <w:rPr>
          <w:rFonts w:hint="eastAsia"/>
          <w:color w:val="auto"/>
          <w:szCs w:val="24"/>
          <w:highlight w:val="none"/>
        </w:rPr>
        <w:t>KW（含预留</w:t>
      </w:r>
      <w:r>
        <w:rPr>
          <w:color w:val="auto"/>
          <w:szCs w:val="24"/>
          <w:highlight w:val="none"/>
        </w:rPr>
        <w:t>,按照余量1.2倍计算，UPS容量需不小于925.44KVA</w:t>
      </w:r>
      <w:r>
        <w:rPr>
          <w:rFonts w:hint="eastAsia"/>
          <w:color w:val="auto"/>
          <w:szCs w:val="24"/>
          <w:highlight w:val="none"/>
        </w:rPr>
        <w:t>故配置2套单台容量为1000KVA的UPS一体化供配电系统，单边各1套，2N架构配置，每台UPS一个独立的电池开关柜，每组电池一个独立的分开关及UPS主机一个总开关。</w:t>
      </w:r>
    </w:p>
    <w:p>
      <w:pPr>
        <w:widowControl w:val="0"/>
        <w:numPr>
          <w:ilvl w:val="0"/>
          <w:numId w:val="70"/>
        </w:numPr>
        <w:spacing w:after="0" w:line="360" w:lineRule="auto"/>
        <w:ind w:left="240" w:right="-180" w:rightChars="-75" w:firstLine="480" w:firstLineChars="200"/>
        <w:jc w:val="both"/>
        <w:rPr>
          <w:color w:val="auto"/>
          <w:szCs w:val="24"/>
          <w:highlight w:val="none"/>
        </w:rPr>
      </w:pPr>
      <w:r>
        <w:rPr>
          <w:rFonts w:hint="eastAsia"/>
          <w:color w:val="auto"/>
          <w:szCs w:val="24"/>
          <w:highlight w:val="none"/>
        </w:rPr>
        <w:t>设置电池总开关，采用专用直流断路器，不得采用普通交流断路器或交直流两用断路器，电池断路器具有防止误操作和深度放电保护的功能。</w:t>
      </w:r>
    </w:p>
    <w:p>
      <w:pPr>
        <w:widowControl w:val="0"/>
        <w:numPr>
          <w:ilvl w:val="0"/>
          <w:numId w:val="70"/>
        </w:numPr>
        <w:spacing w:after="0" w:line="360" w:lineRule="auto"/>
        <w:ind w:left="240" w:right="-180" w:rightChars="-75" w:firstLine="480" w:firstLineChars="200"/>
        <w:jc w:val="both"/>
        <w:rPr>
          <w:color w:val="auto"/>
          <w:szCs w:val="24"/>
          <w:highlight w:val="none"/>
        </w:rPr>
      </w:pPr>
      <w:r>
        <w:rPr>
          <w:rFonts w:hint="eastAsia"/>
          <w:color w:val="auto"/>
          <w:szCs w:val="24"/>
          <w:highlight w:val="none"/>
        </w:rPr>
        <w:t>主机房UPS按照机房总负载系统后备</w:t>
      </w:r>
      <w:r>
        <w:rPr>
          <w:color w:val="auto"/>
          <w:szCs w:val="24"/>
          <w:highlight w:val="none"/>
        </w:rPr>
        <w:t>60</w:t>
      </w:r>
      <w:r>
        <w:rPr>
          <w:rFonts w:hint="eastAsia"/>
          <w:color w:val="auto"/>
          <w:szCs w:val="24"/>
          <w:highlight w:val="none"/>
        </w:rPr>
        <w:t>min配置电池。</w:t>
      </w:r>
    </w:p>
    <w:p>
      <w:pPr>
        <w:widowControl w:val="0"/>
        <w:numPr>
          <w:ilvl w:val="0"/>
          <w:numId w:val="70"/>
        </w:numPr>
        <w:spacing w:after="0" w:line="360" w:lineRule="auto"/>
        <w:ind w:left="240" w:right="-180" w:rightChars="-75" w:firstLine="480" w:firstLineChars="200"/>
        <w:jc w:val="both"/>
        <w:rPr>
          <w:color w:val="auto"/>
          <w:szCs w:val="24"/>
          <w:highlight w:val="none"/>
        </w:rPr>
      </w:pPr>
      <w:r>
        <w:rPr>
          <w:rFonts w:hint="eastAsia"/>
          <w:color w:val="auto"/>
          <w:szCs w:val="24"/>
          <w:highlight w:val="none"/>
        </w:rPr>
        <w:t>一层汇聚机房:根据大楼弱电间、汇聚间以及安防控制室用电量统计，总电量为</w:t>
      </w:r>
      <w:r>
        <w:rPr>
          <w:color w:val="auto"/>
          <w:szCs w:val="24"/>
          <w:highlight w:val="none"/>
        </w:rPr>
        <w:t>142</w:t>
      </w:r>
      <w:r>
        <w:rPr>
          <w:rFonts w:hint="eastAsia"/>
          <w:color w:val="auto"/>
          <w:szCs w:val="24"/>
          <w:highlight w:val="none"/>
        </w:rPr>
        <w:t>KW，按照余量为1.2倍计算，需UPS容量为</w:t>
      </w:r>
      <w:r>
        <w:rPr>
          <w:color w:val="auto"/>
          <w:szCs w:val="24"/>
          <w:highlight w:val="none"/>
        </w:rPr>
        <w:t>142</w:t>
      </w:r>
      <w:r>
        <w:rPr>
          <w:rFonts w:hint="eastAsia"/>
          <w:color w:val="auto"/>
          <w:szCs w:val="24"/>
          <w:highlight w:val="none"/>
        </w:rPr>
        <w:t>×1.2≈</w:t>
      </w:r>
      <w:r>
        <w:rPr>
          <w:color w:val="auto"/>
          <w:szCs w:val="24"/>
          <w:highlight w:val="none"/>
        </w:rPr>
        <w:t>170.4</w:t>
      </w:r>
      <w:r>
        <w:rPr>
          <w:rFonts w:hint="eastAsia"/>
          <w:color w:val="auto"/>
          <w:szCs w:val="24"/>
          <w:highlight w:val="none"/>
        </w:rPr>
        <w:t>KVA；故需配置1台</w:t>
      </w:r>
      <w:r>
        <w:rPr>
          <w:color w:val="auto"/>
          <w:szCs w:val="24"/>
          <w:highlight w:val="none"/>
        </w:rPr>
        <w:t>200</w:t>
      </w:r>
      <w:r>
        <w:rPr>
          <w:rFonts w:hint="eastAsia"/>
          <w:color w:val="auto"/>
          <w:szCs w:val="24"/>
          <w:highlight w:val="none"/>
        </w:rPr>
        <w:t>KVA的UPS。电池选择铅酸电池方案，在设备满负载的情况下，系统备电60min，满足规范要求。</w:t>
      </w:r>
    </w:p>
    <w:p>
      <w:pPr>
        <w:pStyle w:val="6"/>
        <w:ind w:left="1134" w:right="-180" w:rightChars="-75" w:hanging="708"/>
        <w:rPr>
          <w:color w:val="auto"/>
          <w:sz w:val="24"/>
          <w:szCs w:val="24"/>
          <w:highlight w:val="none"/>
        </w:rPr>
      </w:pPr>
      <w:r>
        <w:rPr>
          <w:color w:val="auto"/>
          <w:sz w:val="24"/>
          <w:szCs w:val="24"/>
          <w:highlight w:val="none"/>
        </w:rPr>
        <w:t>4</w:t>
      </w:r>
      <w:r>
        <w:rPr>
          <w:rFonts w:hint="eastAsia"/>
          <w:color w:val="auto"/>
          <w:sz w:val="24"/>
          <w:szCs w:val="24"/>
          <w:highlight w:val="none"/>
        </w:rPr>
        <w:t>、照明系统设计</w:t>
      </w:r>
    </w:p>
    <w:p>
      <w:pPr>
        <w:spacing w:line="360" w:lineRule="auto"/>
        <w:ind w:left="240" w:right="-180" w:rightChars="-75" w:firstLine="480" w:firstLineChars="200"/>
        <w:rPr>
          <w:color w:val="auto"/>
          <w:szCs w:val="24"/>
          <w:highlight w:val="none"/>
        </w:rPr>
      </w:pPr>
      <w:r>
        <w:rPr>
          <w:rFonts w:hint="eastAsia"/>
          <w:color w:val="auto"/>
          <w:szCs w:val="24"/>
          <w:highlight w:val="none"/>
        </w:rPr>
        <w:t>一般照明：机房区设计照度不低于500lux，机房辅助区照度不低于300lux，其它区域照度按《建筑照明设计标准》，机房内无眩光，眩光限制等级为Ⅰ级；其它区域可以有轻微眩光，眩光限制等级为Ⅱ级。</w:t>
      </w:r>
    </w:p>
    <w:p>
      <w:pPr>
        <w:spacing w:line="360" w:lineRule="auto"/>
        <w:ind w:left="240" w:right="-180" w:rightChars="-75" w:firstLine="480" w:firstLineChars="200"/>
        <w:rPr>
          <w:color w:val="auto"/>
          <w:szCs w:val="24"/>
          <w:highlight w:val="none"/>
        </w:rPr>
      </w:pPr>
      <w:r>
        <w:rPr>
          <w:rFonts w:hint="eastAsia"/>
          <w:color w:val="auto"/>
          <w:szCs w:val="24"/>
          <w:highlight w:val="none"/>
        </w:rPr>
        <w:t>备用照明：备用照明平均照度为正常照明的1/10，且灯具布置均匀无死角。备用照明正常作为正常照明的一部分，电源采用市电与U</w:t>
      </w:r>
      <w:r>
        <w:rPr>
          <w:color w:val="auto"/>
          <w:szCs w:val="24"/>
          <w:highlight w:val="none"/>
        </w:rPr>
        <w:t>PS</w:t>
      </w:r>
      <w:r>
        <w:rPr>
          <w:rFonts w:hint="eastAsia"/>
          <w:color w:val="auto"/>
          <w:szCs w:val="24"/>
          <w:highlight w:val="none"/>
        </w:rPr>
        <w:t>电源切换方式，与消防进行联动，市电停电后，保障工作人员做存盘等紧急处理。</w:t>
      </w:r>
    </w:p>
    <w:p>
      <w:pPr>
        <w:spacing w:line="360" w:lineRule="auto"/>
        <w:ind w:left="240" w:right="-180" w:rightChars="-75" w:firstLine="480" w:firstLineChars="200"/>
        <w:rPr>
          <w:color w:val="auto"/>
          <w:szCs w:val="24"/>
          <w:highlight w:val="none"/>
        </w:rPr>
      </w:pPr>
      <w:r>
        <w:rPr>
          <w:rFonts w:hint="eastAsia"/>
          <w:color w:val="auto"/>
          <w:szCs w:val="24"/>
          <w:highlight w:val="none"/>
        </w:rPr>
        <w:t>机房区采用格栅</w:t>
      </w:r>
      <w:r>
        <w:rPr>
          <w:color w:val="auto"/>
          <w:szCs w:val="24"/>
          <w:highlight w:val="none"/>
        </w:rPr>
        <w:t>LED</w:t>
      </w:r>
      <w:r>
        <w:rPr>
          <w:rFonts w:hint="eastAsia"/>
          <w:color w:val="auto"/>
          <w:szCs w:val="24"/>
          <w:highlight w:val="none"/>
        </w:rPr>
        <w:t>灯盘，灯具的选用和安装应与整体风格相匹配。其它区域可按该区域的功能需要进行灯具选型。机房内灯具采用墙面跷板开关控制方式。信息机房内具备应急照明系统。</w:t>
      </w:r>
    </w:p>
    <w:p>
      <w:pPr>
        <w:pStyle w:val="6"/>
        <w:ind w:left="1134" w:right="-180" w:rightChars="-75" w:hanging="708"/>
        <w:rPr>
          <w:color w:val="auto"/>
          <w:sz w:val="24"/>
          <w:szCs w:val="24"/>
          <w:highlight w:val="none"/>
        </w:rPr>
      </w:pPr>
      <w:bookmarkStart w:id="148" w:name="_Toc51508304"/>
      <w:bookmarkStart w:id="149" w:name="_Toc12284"/>
      <w:r>
        <w:rPr>
          <w:color w:val="auto"/>
          <w:sz w:val="24"/>
          <w:szCs w:val="24"/>
          <w:highlight w:val="none"/>
        </w:rPr>
        <w:t>5</w:t>
      </w:r>
      <w:r>
        <w:rPr>
          <w:rFonts w:hint="eastAsia"/>
          <w:color w:val="auto"/>
          <w:sz w:val="24"/>
          <w:szCs w:val="24"/>
          <w:highlight w:val="none"/>
        </w:rPr>
        <w:t>、防雷接地系统设计</w:t>
      </w:r>
      <w:bookmarkEnd w:id="148"/>
      <w:bookmarkEnd w:id="149"/>
    </w:p>
    <w:p>
      <w:pPr>
        <w:widowControl w:val="0"/>
        <w:numPr>
          <w:ilvl w:val="0"/>
          <w:numId w:val="71"/>
        </w:numPr>
        <w:spacing w:after="0" w:line="360" w:lineRule="auto"/>
        <w:ind w:left="734" w:right="-180" w:rightChars="-75" w:hanging="308"/>
        <w:jc w:val="both"/>
        <w:rPr>
          <w:color w:val="auto"/>
          <w:szCs w:val="24"/>
          <w:highlight w:val="none"/>
        </w:rPr>
      </w:pPr>
      <w:r>
        <w:rPr>
          <w:rFonts w:hint="eastAsia"/>
          <w:color w:val="auto"/>
          <w:szCs w:val="24"/>
          <w:highlight w:val="none"/>
        </w:rPr>
        <w:t>本工程设计为</w:t>
      </w:r>
      <w:r>
        <w:rPr>
          <w:color w:val="auto"/>
          <w:szCs w:val="24"/>
          <w:highlight w:val="none"/>
        </w:rPr>
        <w:t>TN-S</w:t>
      </w:r>
      <w:r>
        <w:rPr>
          <w:rFonts w:hint="eastAsia"/>
          <w:color w:val="auto"/>
          <w:szCs w:val="24"/>
          <w:highlight w:val="none"/>
        </w:rPr>
        <w:t>供电系统。配</w:t>
      </w:r>
      <w:r>
        <w:rPr>
          <w:color w:val="auto"/>
          <w:szCs w:val="24"/>
          <w:highlight w:val="none"/>
        </w:rPr>
        <w:t>/</w:t>
      </w:r>
      <w:r>
        <w:rPr>
          <w:rFonts w:hint="eastAsia"/>
          <w:color w:val="auto"/>
          <w:szCs w:val="24"/>
          <w:highlight w:val="none"/>
        </w:rPr>
        <w:t>变电所的保护接地和工作接地与建筑的通信及网络设备接地、工艺设备工作接地、防静电接地，建筑的防雷接地等采用公共接地装置。并作等电位联结，要求接地网络接地电阻≤</w:t>
      </w:r>
      <w:r>
        <w:rPr>
          <w:color w:val="auto"/>
          <w:szCs w:val="24"/>
          <w:highlight w:val="none"/>
        </w:rPr>
        <w:t>1.0</w:t>
      </w:r>
      <w:r>
        <w:rPr>
          <w:rFonts w:hint="eastAsia"/>
          <w:color w:val="auto"/>
          <w:szCs w:val="24"/>
          <w:highlight w:val="none"/>
        </w:rPr>
        <w:t>欧姆。</w:t>
      </w:r>
    </w:p>
    <w:p>
      <w:pPr>
        <w:widowControl w:val="0"/>
        <w:numPr>
          <w:ilvl w:val="0"/>
          <w:numId w:val="71"/>
        </w:numPr>
        <w:spacing w:after="0" w:line="360" w:lineRule="auto"/>
        <w:ind w:left="734" w:right="-180" w:rightChars="-75" w:hanging="308"/>
        <w:jc w:val="both"/>
        <w:rPr>
          <w:color w:val="auto"/>
          <w:szCs w:val="24"/>
          <w:highlight w:val="none"/>
        </w:rPr>
      </w:pPr>
      <w:r>
        <w:rPr>
          <w:rFonts w:hint="eastAsia"/>
          <w:color w:val="auto"/>
          <w:szCs w:val="24"/>
          <w:highlight w:val="none"/>
        </w:rPr>
        <w:t>高、低压开关柜外壳，变压器中性点、外壳，电缆金属铠装层，电缆保护管以及所有金属支架，电缆桥架等均须可靠接地。</w:t>
      </w:r>
    </w:p>
    <w:p>
      <w:pPr>
        <w:widowControl w:val="0"/>
        <w:numPr>
          <w:ilvl w:val="0"/>
          <w:numId w:val="71"/>
        </w:numPr>
        <w:spacing w:after="0" w:line="360" w:lineRule="auto"/>
        <w:ind w:left="734" w:right="-180" w:rightChars="-75" w:hanging="308"/>
        <w:jc w:val="both"/>
        <w:rPr>
          <w:color w:val="auto"/>
          <w:szCs w:val="24"/>
          <w:highlight w:val="none"/>
        </w:rPr>
      </w:pPr>
      <w:r>
        <w:rPr>
          <w:rFonts w:hint="eastAsia"/>
          <w:color w:val="auto"/>
          <w:szCs w:val="24"/>
          <w:highlight w:val="none"/>
        </w:rPr>
        <w:t>UPS输出端的系统接地连接方式应符合设计要求。</w:t>
      </w:r>
    </w:p>
    <w:p>
      <w:pPr>
        <w:widowControl w:val="0"/>
        <w:numPr>
          <w:ilvl w:val="0"/>
          <w:numId w:val="71"/>
        </w:numPr>
        <w:spacing w:after="0" w:line="360" w:lineRule="auto"/>
        <w:ind w:left="734" w:right="-180" w:rightChars="-75" w:hanging="308"/>
        <w:jc w:val="both"/>
        <w:rPr>
          <w:color w:val="auto"/>
          <w:szCs w:val="24"/>
          <w:highlight w:val="none"/>
        </w:rPr>
      </w:pPr>
      <w:r>
        <w:rPr>
          <w:rFonts w:hint="eastAsia"/>
          <w:color w:val="auto"/>
          <w:szCs w:val="24"/>
          <w:highlight w:val="none"/>
        </w:rPr>
        <w:t>建筑做总等电位连接，将进出建筑物的埋地及架空金属管道及所有电缆的金属铠装层的两端应与接地装置可靠连接。</w:t>
      </w:r>
    </w:p>
    <w:p>
      <w:pPr>
        <w:widowControl w:val="0"/>
        <w:numPr>
          <w:ilvl w:val="0"/>
          <w:numId w:val="71"/>
        </w:numPr>
        <w:spacing w:after="0" w:line="360" w:lineRule="auto"/>
        <w:ind w:left="734" w:right="-180" w:rightChars="-75" w:hanging="308"/>
        <w:jc w:val="both"/>
        <w:rPr>
          <w:color w:val="auto"/>
          <w:szCs w:val="24"/>
          <w:highlight w:val="none"/>
        </w:rPr>
      </w:pPr>
      <w:r>
        <w:rPr>
          <w:rFonts w:hint="eastAsia"/>
          <w:color w:val="auto"/>
          <w:szCs w:val="24"/>
          <w:highlight w:val="none"/>
        </w:rPr>
        <w:t>建筑内电子信息系统、电气系统设备采用SPD保护，SPD设置在防雷区界面处或接近需要保护的电气设备处。</w:t>
      </w:r>
    </w:p>
    <w:p>
      <w:pPr>
        <w:widowControl w:val="0"/>
        <w:numPr>
          <w:ilvl w:val="0"/>
          <w:numId w:val="71"/>
        </w:numPr>
        <w:spacing w:after="0" w:line="360" w:lineRule="auto"/>
        <w:ind w:left="734" w:right="-180" w:rightChars="-75" w:hanging="308"/>
        <w:jc w:val="both"/>
        <w:rPr>
          <w:color w:val="auto"/>
          <w:szCs w:val="24"/>
          <w:highlight w:val="none"/>
        </w:rPr>
      </w:pPr>
      <w:r>
        <w:rPr>
          <w:rFonts w:hint="eastAsia"/>
          <w:color w:val="auto"/>
          <w:szCs w:val="24"/>
          <w:highlight w:val="none"/>
        </w:rPr>
        <w:t>各机房内机柜附近、各空调间采用</w:t>
      </w:r>
      <w:r>
        <w:rPr>
          <w:color w:val="auto"/>
          <w:szCs w:val="24"/>
          <w:highlight w:val="none"/>
        </w:rPr>
        <w:t>5</w:t>
      </w:r>
      <w:r>
        <w:rPr>
          <w:rFonts w:hint="eastAsia"/>
          <w:color w:val="auto"/>
          <w:szCs w:val="24"/>
          <w:highlight w:val="none"/>
        </w:rPr>
        <w:t>0*</w:t>
      </w:r>
      <w:r>
        <w:rPr>
          <w:color w:val="auto"/>
          <w:szCs w:val="24"/>
          <w:highlight w:val="none"/>
        </w:rPr>
        <w:t>5</w:t>
      </w:r>
      <w:r>
        <w:rPr>
          <w:rFonts w:hint="eastAsia"/>
          <w:color w:val="auto"/>
          <w:szCs w:val="24"/>
          <w:highlight w:val="none"/>
        </w:rPr>
        <w:t>mm接地铜排布置，将设备外壳保护线接至铜排上，需直流接地的计算机设备采用2根BVR-6铜芯线以最短距离与接地铜排相连，最终引至各机房局部等电位箱。</w:t>
      </w:r>
    </w:p>
    <w:p>
      <w:pPr>
        <w:widowControl w:val="0"/>
        <w:numPr>
          <w:ilvl w:val="0"/>
          <w:numId w:val="71"/>
        </w:numPr>
        <w:spacing w:after="0" w:line="360" w:lineRule="auto"/>
        <w:ind w:left="734" w:right="-180" w:rightChars="-75" w:hanging="308"/>
        <w:jc w:val="both"/>
        <w:rPr>
          <w:color w:val="auto"/>
          <w:szCs w:val="24"/>
          <w:highlight w:val="none"/>
        </w:rPr>
      </w:pPr>
      <w:r>
        <w:rPr>
          <w:rFonts w:hint="eastAsia"/>
          <w:color w:val="auto"/>
          <w:szCs w:val="24"/>
          <w:highlight w:val="none"/>
        </w:rPr>
        <w:t>机房活动地板下采用25mm²铜编织带布成等电位接地网格，网格间距1.2m×1.2m，并与均压等电位带相连，形成静电接地。金属吊顶板、金属龙骨、金属壁板的金属框架等也用BVR-6mm²铜芯线与各机房局部等电位箱连接，并且每一连续金属框架的支线连接点不少于两处。</w:t>
      </w:r>
    </w:p>
    <w:p>
      <w:pPr>
        <w:pStyle w:val="6"/>
        <w:ind w:left="1134" w:right="-180" w:rightChars="-75" w:hanging="708"/>
        <w:rPr>
          <w:color w:val="auto"/>
          <w:sz w:val="24"/>
          <w:szCs w:val="24"/>
          <w:highlight w:val="none"/>
        </w:rPr>
      </w:pPr>
      <w:r>
        <w:rPr>
          <w:color w:val="auto"/>
          <w:sz w:val="24"/>
          <w:szCs w:val="24"/>
          <w:highlight w:val="none"/>
        </w:rPr>
        <w:t>6</w:t>
      </w:r>
      <w:r>
        <w:rPr>
          <w:rFonts w:hint="eastAsia"/>
          <w:color w:val="auto"/>
          <w:sz w:val="24"/>
          <w:szCs w:val="24"/>
          <w:highlight w:val="none"/>
        </w:rPr>
        <w:t>、主要设备技术参数要求</w:t>
      </w:r>
    </w:p>
    <w:p>
      <w:pPr>
        <w:pStyle w:val="8"/>
        <w:ind w:left="1134" w:right="-180" w:rightChars="-75" w:hanging="708"/>
        <w:rPr>
          <w:color w:val="auto"/>
          <w:highlight w:val="none"/>
        </w:rPr>
      </w:pPr>
      <w:r>
        <w:rPr>
          <w:rFonts w:hint="eastAsia"/>
          <w:color w:val="auto"/>
          <w:highlight w:val="none"/>
        </w:rPr>
        <w:t>1）</w:t>
      </w:r>
      <w:r>
        <w:rPr>
          <w:color w:val="auto"/>
          <w:highlight w:val="none"/>
        </w:rPr>
        <w:t xml:space="preserve">.1000KVA </w:t>
      </w:r>
      <w:r>
        <w:rPr>
          <w:rFonts w:hint="eastAsia"/>
          <w:color w:val="auto"/>
          <w:highlight w:val="none"/>
        </w:rPr>
        <w:t>U</w:t>
      </w:r>
      <w:r>
        <w:rPr>
          <w:color w:val="auto"/>
          <w:highlight w:val="none"/>
        </w:rPr>
        <w:t>PS</w:t>
      </w:r>
      <w:r>
        <w:rPr>
          <w:rFonts w:hint="eastAsia"/>
          <w:color w:val="auto"/>
          <w:highlight w:val="none"/>
        </w:rPr>
        <w:t>及蓄电池技术要求</w:t>
      </w:r>
    </w:p>
    <w:p>
      <w:pPr>
        <w:spacing w:line="360" w:lineRule="auto"/>
        <w:ind w:left="1440" w:right="-180" w:rightChars="-75" w:firstLine="0"/>
        <w:rPr>
          <w:color w:val="auto"/>
          <w:szCs w:val="24"/>
          <w:highlight w:val="none"/>
        </w:rPr>
      </w:pPr>
      <w:r>
        <w:rPr>
          <w:rFonts w:hint="eastAsia"/>
          <w:color w:val="auto"/>
          <w:szCs w:val="24"/>
          <w:highlight w:val="none"/>
        </w:rPr>
        <w:t>1. 单机容量1000 KVA UPS 2 台，要求为包含有全功率整流器和逆变器的在线式双变换UPS ；因场地空间受限，UPS尺寸宽×深×高（mm）不可大于2700×1200×2200。</w:t>
      </w:r>
    </w:p>
    <w:p>
      <w:pPr>
        <w:spacing w:line="360" w:lineRule="auto"/>
        <w:ind w:left="1440" w:right="-180" w:rightChars="-75" w:firstLine="0"/>
        <w:rPr>
          <w:color w:val="auto"/>
          <w:szCs w:val="24"/>
          <w:highlight w:val="none"/>
        </w:rPr>
      </w:pPr>
      <w:r>
        <w:rPr>
          <w:rFonts w:hint="eastAsia"/>
          <w:color w:val="auto"/>
          <w:szCs w:val="24"/>
          <w:highlight w:val="none"/>
        </w:rPr>
        <w:t>2.输入电压  380VAC ±25%。</w:t>
      </w:r>
    </w:p>
    <w:p>
      <w:pPr>
        <w:spacing w:line="360" w:lineRule="auto"/>
        <w:ind w:left="1440" w:right="-180" w:rightChars="-75" w:firstLine="0"/>
        <w:rPr>
          <w:color w:val="auto"/>
          <w:szCs w:val="24"/>
          <w:highlight w:val="none"/>
        </w:rPr>
      </w:pPr>
      <w:r>
        <w:rPr>
          <w:rFonts w:hint="eastAsia"/>
          <w:color w:val="auto"/>
          <w:szCs w:val="24"/>
          <w:highlight w:val="none"/>
        </w:rPr>
        <w:t>3.输入频率 40-70Hz。</w:t>
      </w:r>
    </w:p>
    <w:p>
      <w:pPr>
        <w:spacing w:line="360" w:lineRule="auto"/>
        <w:ind w:left="1440" w:right="-180" w:rightChars="-75" w:firstLine="0"/>
        <w:rPr>
          <w:color w:val="auto"/>
          <w:szCs w:val="24"/>
          <w:highlight w:val="none"/>
        </w:rPr>
      </w:pPr>
      <w:r>
        <w:rPr>
          <w:rFonts w:hint="eastAsia"/>
          <w:color w:val="auto"/>
          <w:szCs w:val="24"/>
          <w:highlight w:val="none"/>
        </w:rPr>
        <w:t>4.整流器输入性能：100%负载率输入THDi ≤ 1.6%;50%负载率输入THDi ≤ 2.0%;30%负载率输入THDi ≤ 3.0%;输入功率因数:100%负载率PF ≥ 0.999;50%负载率PF ≥ 0.995;30%负载率PF ≥ 0.990。</w:t>
      </w:r>
    </w:p>
    <w:p>
      <w:pPr>
        <w:spacing w:line="360" w:lineRule="auto"/>
        <w:ind w:left="1440" w:right="-180" w:rightChars="-75" w:firstLine="0"/>
        <w:rPr>
          <w:color w:val="auto"/>
          <w:szCs w:val="24"/>
          <w:highlight w:val="none"/>
        </w:rPr>
      </w:pPr>
      <w:r>
        <w:rPr>
          <w:rFonts w:hint="eastAsia"/>
          <w:color w:val="auto"/>
          <w:szCs w:val="24"/>
          <w:highlight w:val="none"/>
        </w:rPr>
        <w:t>5.整流器输出指标:电压精度：±1％；直流纹波低压：≤1%。</w:t>
      </w:r>
    </w:p>
    <w:p>
      <w:pPr>
        <w:spacing w:line="360" w:lineRule="auto"/>
        <w:ind w:left="1440" w:right="-180" w:rightChars="-75" w:firstLine="0"/>
        <w:rPr>
          <w:color w:val="auto"/>
          <w:szCs w:val="24"/>
          <w:highlight w:val="none"/>
        </w:rPr>
      </w:pPr>
      <w:r>
        <w:rPr>
          <w:rFonts w:hint="eastAsia"/>
          <w:color w:val="auto"/>
          <w:szCs w:val="24"/>
          <w:highlight w:val="none"/>
        </w:rPr>
        <w:t>6.逆变器输出要求：输出电压：380VAC(线)/220VAC（相），稳态精度：±1％。输出功率因数： 1.0 。</w:t>
      </w:r>
    </w:p>
    <w:p>
      <w:pPr>
        <w:spacing w:line="360" w:lineRule="auto"/>
        <w:ind w:left="1440" w:right="-180" w:rightChars="-75" w:firstLine="0"/>
        <w:rPr>
          <w:color w:val="auto"/>
          <w:szCs w:val="24"/>
          <w:highlight w:val="none"/>
        </w:rPr>
      </w:pPr>
      <w:r>
        <w:rPr>
          <w:rFonts w:hint="eastAsia"/>
          <w:color w:val="auto"/>
          <w:szCs w:val="24"/>
          <w:highlight w:val="none"/>
        </w:rPr>
        <w:t>7.输出频率范围：在输入频率为50Hz±10%时，输出频率应满足50Hz±0.5，±1，±1.5，±2Hz可调。</w:t>
      </w:r>
    </w:p>
    <w:p>
      <w:pPr>
        <w:spacing w:line="360" w:lineRule="auto"/>
        <w:ind w:left="1440" w:right="-180" w:rightChars="-75" w:firstLine="0"/>
        <w:rPr>
          <w:color w:val="auto"/>
          <w:szCs w:val="24"/>
          <w:highlight w:val="none"/>
        </w:rPr>
      </w:pPr>
      <w:r>
        <w:rPr>
          <w:rFonts w:hint="eastAsia"/>
          <w:color w:val="auto"/>
          <w:szCs w:val="24"/>
          <w:highlight w:val="none"/>
        </w:rPr>
        <w:t>8.输出频率精度：±0.1%(内同步), 输出频率应不发生突变.</w:t>
      </w:r>
    </w:p>
    <w:p>
      <w:pPr>
        <w:spacing w:line="360" w:lineRule="auto"/>
        <w:ind w:left="1440" w:right="-180" w:rightChars="-75" w:firstLine="0"/>
        <w:rPr>
          <w:color w:val="auto"/>
          <w:szCs w:val="24"/>
          <w:highlight w:val="none"/>
        </w:rPr>
      </w:pPr>
      <w:r>
        <w:rPr>
          <w:rFonts w:hint="eastAsia"/>
          <w:color w:val="auto"/>
          <w:szCs w:val="24"/>
          <w:highlight w:val="none"/>
        </w:rPr>
        <w:t>9.输出波形为连续的正弦波，在带100%不均衡负载时，波形失真度：</w:t>
      </w:r>
    </w:p>
    <w:p>
      <w:pPr>
        <w:spacing w:line="360" w:lineRule="auto"/>
        <w:ind w:left="1440" w:right="-180" w:rightChars="-75" w:firstLine="0"/>
        <w:rPr>
          <w:color w:val="auto"/>
          <w:szCs w:val="24"/>
          <w:highlight w:val="none"/>
        </w:rPr>
      </w:pPr>
      <w:r>
        <w:rPr>
          <w:rFonts w:hint="eastAsia"/>
          <w:color w:val="auto"/>
          <w:szCs w:val="24"/>
          <w:highlight w:val="none"/>
        </w:rPr>
        <w:t>线性负载≤1.0％;非线性负载≤1.5％。</w:t>
      </w:r>
    </w:p>
    <w:p>
      <w:pPr>
        <w:tabs>
          <w:tab w:val="left" w:pos="915"/>
        </w:tabs>
        <w:spacing w:line="360" w:lineRule="auto"/>
        <w:ind w:left="1440" w:right="-180" w:rightChars="-75" w:firstLine="0"/>
        <w:rPr>
          <w:color w:val="auto"/>
          <w:szCs w:val="24"/>
          <w:highlight w:val="none"/>
        </w:rPr>
      </w:pPr>
      <w:r>
        <w:rPr>
          <w:rFonts w:hint="eastAsia"/>
          <w:color w:val="auto"/>
          <w:szCs w:val="24"/>
          <w:highlight w:val="none"/>
        </w:rPr>
        <w:t xml:space="preserve">10.输出电流峰值系数（UPS所允许的最大非正弦波峰值电流与输出电流有效值之比）≥3：1; </w:t>
      </w:r>
    </w:p>
    <w:p>
      <w:pPr>
        <w:tabs>
          <w:tab w:val="left" w:pos="915"/>
        </w:tabs>
        <w:spacing w:line="360" w:lineRule="auto"/>
        <w:ind w:left="1440" w:right="-180" w:rightChars="-75" w:firstLine="0"/>
        <w:rPr>
          <w:color w:val="auto"/>
          <w:szCs w:val="24"/>
          <w:highlight w:val="none"/>
        </w:rPr>
      </w:pPr>
      <w:r>
        <w:rPr>
          <w:rFonts w:hint="eastAsia"/>
          <w:color w:val="auto"/>
          <w:szCs w:val="24"/>
          <w:highlight w:val="none"/>
        </w:rPr>
        <w:t>11.环境温度：工作温度：0~40℃</w:t>
      </w:r>
    </w:p>
    <w:p>
      <w:pPr>
        <w:tabs>
          <w:tab w:val="left" w:pos="915"/>
        </w:tabs>
        <w:spacing w:line="360" w:lineRule="auto"/>
        <w:ind w:left="1440" w:right="-180" w:rightChars="-75" w:firstLine="0"/>
        <w:rPr>
          <w:color w:val="auto"/>
          <w:szCs w:val="24"/>
          <w:highlight w:val="none"/>
        </w:rPr>
      </w:pPr>
      <w:r>
        <w:rPr>
          <w:rFonts w:hint="eastAsia"/>
          <w:color w:val="auto"/>
          <w:szCs w:val="24"/>
          <w:highlight w:val="none"/>
        </w:rPr>
        <w:t>12.相对湿度：≤95%（25℃,无凝露）</w:t>
      </w:r>
    </w:p>
    <w:p>
      <w:pPr>
        <w:tabs>
          <w:tab w:val="left" w:pos="915"/>
        </w:tabs>
        <w:spacing w:line="360" w:lineRule="auto"/>
        <w:ind w:left="1440" w:right="-180" w:rightChars="-75" w:firstLine="0"/>
        <w:rPr>
          <w:color w:val="auto"/>
          <w:szCs w:val="24"/>
          <w:highlight w:val="none"/>
        </w:rPr>
      </w:pPr>
      <w:r>
        <w:rPr>
          <w:rFonts w:hint="eastAsia"/>
          <w:color w:val="auto"/>
          <w:szCs w:val="24"/>
          <w:highlight w:val="none"/>
        </w:rPr>
        <w:t>13.海拔高度：0~1000米</w:t>
      </w:r>
    </w:p>
    <w:p>
      <w:pPr>
        <w:tabs>
          <w:tab w:val="left" w:pos="915"/>
        </w:tabs>
        <w:spacing w:line="360" w:lineRule="auto"/>
        <w:ind w:left="1440" w:right="-180" w:rightChars="-75" w:firstLine="0"/>
        <w:rPr>
          <w:color w:val="auto"/>
          <w:szCs w:val="24"/>
          <w:highlight w:val="none"/>
        </w:rPr>
      </w:pPr>
      <w:r>
        <w:rPr>
          <w:rFonts w:hint="eastAsia"/>
          <w:color w:val="auto"/>
          <w:szCs w:val="24"/>
          <w:highlight w:val="none"/>
        </w:rPr>
        <w:t>14.充电器指标：具有电池均充功能，能够自动控制均充和浮充转换，具备充电温度补偿功能和电池定期自动测试功能。采用2线电池，电池无需N线，节省电池线缆投资。</w:t>
      </w:r>
    </w:p>
    <w:p>
      <w:pPr>
        <w:spacing w:line="360" w:lineRule="auto"/>
        <w:ind w:left="1440" w:right="-180" w:rightChars="-75" w:firstLine="0"/>
        <w:rPr>
          <w:color w:val="auto"/>
          <w:szCs w:val="24"/>
          <w:highlight w:val="none"/>
        </w:rPr>
      </w:pPr>
      <w:r>
        <w:rPr>
          <w:rFonts w:hint="eastAsia"/>
          <w:color w:val="auto"/>
          <w:szCs w:val="24"/>
          <w:highlight w:val="none"/>
        </w:rPr>
        <w:t>15.考虑UPS主机为重要设备，为了增加系统的维护可靠性和方便设备的操作，UPS主机须内置主路输入开关、旁路输入开关、系统输出开关，开关应采用断路器或负荷隔离开关，不采用接触器或熔断器的保护方案。提供相关产品实物截图或彩页证明。</w:t>
      </w:r>
    </w:p>
    <w:p>
      <w:pPr>
        <w:spacing w:line="360" w:lineRule="auto"/>
        <w:ind w:left="1440" w:right="-180" w:rightChars="-75" w:firstLine="0"/>
        <w:rPr>
          <w:color w:val="auto"/>
          <w:szCs w:val="24"/>
          <w:highlight w:val="none"/>
        </w:rPr>
      </w:pPr>
      <w:r>
        <w:rPr>
          <w:rFonts w:hint="eastAsia"/>
          <w:color w:val="auto"/>
          <w:szCs w:val="24"/>
          <w:highlight w:val="none"/>
        </w:rPr>
        <w:t>16.UPS系统运行效率：100%额定负载时效率≥ 95%;50%额定负载时效率≥ 96%;30%额定负载时效率≥ 96%。</w:t>
      </w:r>
    </w:p>
    <w:p>
      <w:pPr>
        <w:spacing w:line="360" w:lineRule="auto"/>
        <w:ind w:left="1440" w:right="-180" w:rightChars="-75" w:firstLine="0"/>
        <w:rPr>
          <w:color w:val="auto"/>
          <w:szCs w:val="24"/>
          <w:highlight w:val="none"/>
        </w:rPr>
      </w:pPr>
      <w:r>
        <w:rPr>
          <w:rFonts w:hint="eastAsia"/>
          <w:color w:val="auto"/>
          <w:szCs w:val="24"/>
          <w:highlight w:val="none"/>
        </w:rPr>
        <w:t>17.</w:t>
      </w:r>
      <w:r>
        <w:rPr>
          <w:color w:val="auto"/>
          <w:szCs w:val="24"/>
          <w:highlight w:val="none"/>
        </w:rPr>
        <w:t xml:space="preserve"> </w:t>
      </w:r>
      <w:r>
        <w:rPr>
          <w:rFonts w:hint="eastAsia"/>
          <w:color w:val="auto"/>
          <w:szCs w:val="24"/>
          <w:highlight w:val="none"/>
        </w:rPr>
        <w:t>UPS具有动态在线模式。</w:t>
      </w:r>
    </w:p>
    <w:p>
      <w:pPr>
        <w:spacing w:line="360" w:lineRule="auto"/>
        <w:ind w:left="1440" w:right="-180" w:rightChars="-75" w:firstLine="0"/>
        <w:rPr>
          <w:color w:val="auto"/>
          <w:szCs w:val="24"/>
          <w:highlight w:val="none"/>
        </w:rPr>
      </w:pPr>
      <w:r>
        <w:rPr>
          <w:rFonts w:hint="eastAsia"/>
          <w:color w:val="auto"/>
          <w:szCs w:val="24"/>
          <w:highlight w:val="none"/>
        </w:rPr>
        <w:t>18.逆变器过载能力：110%额定电流-长期工作;125%额定电流-10min;150%额定电流-1min。</w:t>
      </w:r>
    </w:p>
    <w:p>
      <w:pPr>
        <w:spacing w:line="360" w:lineRule="auto"/>
        <w:ind w:left="1440" w:right="-180" w:rightChars="-75" w:firstLine="0"/>
        <w:rPr>
          <w:color w:val="auto"/>
          <w:szCs w:val="24"/>
          <w:highlight w:val="none"/>
        </w:rPr>
      </w:pPr>
      <w:r>
        <w:rPr>
          <w:rFonts w:hint="eastAsia"/>
          <w:color w:val="auto"/>
          <w:szCs w:val="24"/>
          <w:highlight w:val="none"/>
        </w:rPr>
        <w:t>19.三相负载不平衡度  100%时，三相输出电压不平衡度满足：＜±0.2％（平衡负载）;＜±3％（100％不平衡负载）。</w:t>
      </w:r>
    </w:p>
    <w:p>
      <w:pPr>
        <w:spacing w:line="360" w:lineRule="auto"/>
        <w:ind w:left="1440" w:right="-180" w:rightChars="-75" w:firstLine="0"/>
        <w:rPr>
          <w:color w:val="auto"/>
          <w:szCs w:val="24"/>
          <w:highlight w:val="none"/>
        </w:rPr>
      </w:pPr>
      <w:r>
        <w:rPr>
          <w:rFonts w:hint="eastAsia"/>
          <w:color w:val="auto"/>
          <w:szCs w:val="24"/>
          <w:highlight w:val="none"/>
        </w:rPr>
        <w:t>20.输出电压相位偏差：在100%额定负载时，三相输出电压相位差≤0.2°。</w:t>
      </w:r>
    </w:p>
    <w:p>
      <w:pPr>
        <w:spacing w:line="360" w:lineRule="auto"/>
        <w:ind w:left="1440" w:right="-180" w:rightChars="-75" w:firstLine="0"/>
        <w:rPr>
          <w:color w:val="auto"/>
          <w:szCs w:val="24"/>
          <w:highlight w:val="none"/>
        </w:rPr>
      </w:pPr>
      <w:r>
        <w:rPr>
          <w:rFonts w:hint="eastAsia"/>
          <w:color w:val="auto"/>
          <w:szCs w:val="24"/>
          <w:highlight w:val="none"/>
        </w:rPr>
        <w:t>21并机能力：具有多台N+1直接并联工作及负载均分性能，可并联数量≥8，多机并联或扩容时无需增加并机柜等设备。</w:t>
      </w:r>
    </w:p>
    <w:p>
      <w:pPr>
        <w:spacing w:line="360" w:lineRule="auto"/>
        <w:ind w:left="1440" w:right="-180" w:rightChars="-75" w:firstLine="0"/>
        <w:rPr>
          <w:color w:val="auto"/>
          <w:szCs w:val="24"/>
          <w:highlight w:val="none"/>
        </w:rPr>
      </w:pPr>
      <w:r>
        <w:rPr>
          <w:rFonts w:hint="eastAsia"/>
          <w:color w:val="auto"/>
          <w:szCs w:val="24"/>
          <w:highlight w:val="none"/>
        </w:rPr>
        <w:t>22.电池开关：必须使用带有通讯功能的断路器总开关。空气开关应具有足够的分断能力。在开关意外脱扣的情况下，系统要能够提供报警。当整流器未建立直流母线电压时，电池断路器不能被闭合。并联的电池组必须为每一组电池提供独立的开关，实现每组电池单独维护和检修。</w:t>
      </w:r>
    </w:p>
    <w:p>
      <w:pPr>
        <w:spacing w:line="360" w:lineRule="auto"/>
        <w:ind w:left="1440" w:right="-180" w:rightChars="-75" w:firstLine="0"/>
        <w:rPr>
          <w:color w:val="auto"/>
          <w:szCs w:val="24"/>
          <w:highlight w:val="none"/>
        </w:rPr>
      </w:pPr>
      <w:r>
        <w:rPr>
          <w:rFonts w:hint="eastAsia"/>
          <w:color w:val="auto"/>
          <w:szCs w:val="24"/>
          <w:highlight w:val="none"/>
        </w:rPr>
        <w:t>23.为保证蓄电池配置的灵活性，UPS主机12V电池调节范围≥10节（或2V电池调节范围≥60节）。</w:t>
      </w:r>
    </w:p>
    <w:p>
      <w:pPr>
        <w:spacing w:line="360" w:lineRule="auto"/>
        <w:ind w:left="1440" w:right="-180" w:rightChars="-75" w:firstLine="0"/>
        <w:rPr>
          <w:color w:val="auto"/>
          <w:szCs w:val="24"/>
          <w:highlight w:val="none"/>
        </w:rPr>
      </w:pPr>
      <w:r>
        <w:rPr>
          <w:rFonts w:hint="eastAsia"/>
          <w:color w:val="auto"/>
          <w:szCs w:val="24"/>
          <w:highlight w:val="none"/>
        </w:rPr>
        <w:t>24.动态电压瞬变范围：交流输入电压不变，负载从0－100%－0变化，交流输入中断或恢复供电时的输出电压变化量＜额定输出电压的±3％。</w:t>
      </w:r>
    </w:p>
    <w:p>
      <w:pPr>
        <w:spacing w:line="360" w:lineRule="auto"/>
        <w:ind w:left="1440" w:right="-180" w:rightChars="-75" w:firstLine="0"/>
        <w:rPr>
          <w:color w:val="auto"/>
          <w:szCs w:val="24"/>
          <w:highlight w:val="none"/>
        </w:rPr>
      </w:pPr>
      <w:r>
        <w:rPr>
          <w:rFonts w:hint="eastAsia"/>
          <w:color w:val="auto"/>
          <w:szCs w:val="24"/>
          <w:highlight w:val="none"/>
        </w:rPr>
        <w:t>25.瞬变响应恢复时间：瞬变响应恢复时间（按行业标准YD/T1095-2008）≤20ms。</w:t>
      </w:r>
    </w:p>
    <w:p>
      <w:pPr>
        <w:spacing w:line="360" w:lineRule="auto"/>
        <w:ind w:left="1440" w:right="-180" w:rightChars="-75" w:firstLine="0"/>
        <w:rPr>
          <w:color w:val="auto"/>
          <w:szCs w:val="24"/>
          <w:highlight w:val="none"/>
        </w:rPr>
      </w:pPr>
      <w:r>
        <w:rPr>
          <w:rFonts w:hint="eastAsia"/>
          <w:color w:val="auto"/>
          <w:szCs w:val="24"/>
          <w:highlight w:val="none"/>
        </w:rPr>
        <w:t>26.市电电池切换时间：UPS在市电和电池两种状态间切换的时间应为0</w:t>
      </w:r>
    </w:p>
    <w:p>
      <w:pPr>
        <w:spacing w:line="360" w:lineRule="auto"/>
        <w:ind w:left="1440" w:right="-180" w:rightChars="-75" w:firstLine="0"/>
        <w:rPr>
          <w:color w:val="auto"/>
          <w:szCs w:val="24"/>
          <w:highlight w:val="none"/>
        </w:rPr>
      </w:pPr>
      <w:r>
        <w:rPr>
          <w:rFonts w:hint="eastAsia"/>
          <w:color w:val="auto"/>
          <w:szCs w:val="24"/>
          <w:highlight w:val="none"/>
        </w:rPr>
        <w:t>27.旁路逆变切换时间：从逆变器停止工作时起，到电网直接供电时止或从电网直接供电起到恢复逆变器工作时止所需要的时间&lt;4ms。</w:t>
      </w:r>
    </w:p>
    <w:p>
      <w:pPr>
        <w:spacing w:line="360" w:lineRule="auto"/>
        <w:ind w:left="1440" w:right="-180" w:rightChars="-75" w:firstLine="0"/>
        <w:rPr>
          <w:color w:val="auto"/>
          <w:szCs w:val="24"/>
          <w:highlight w:val="none"/>
        </w:rPr>
      </w:pPr>
      <w:r>
        <w:rPr>
          <w:rFonts w:hint="eastAsia"/>
          <w:color w:val="auto"/>
          <w:szCs w:val="24"/>
          <w:highlight w:val="none"/>
        </w:rPr>
        <w:t>28.MTBF≥30万小时。</w:t>
      </w:r>
    </w:p>
    <w:p>
      <w:pPr>
        <w:spacing w:line="360" w:lineRule="auto"/>
        <w:ind w:left="1440" w:right="-180" w:rightChars="-75" w:firstLine="0"/>
        <w:rPr>
          <w:color w:val="auto"/>
          <w:szCs w:val="24"/>
          <w:highlight w:val="none"/>
        </w:rPr>
      </w:pPr>
      <w:r>
        <w:rPr>
          <w:rFonts w:hint="eastAsia"/>
          <w:color w:val="auto"/>
          <w:szCs w:val="24"/>
          <w:highlight w:val="none"/>
        </w:rPr>
        <w:t>29.设备监控性能：设备应能提供全中文监控及操作界面和全中文远程监控管理界面，应提供全中文显示的大屏幕触摸显示屏，显示屏尺寸不小于7寸，能够显示输入输出电池电压、电流和相关运行状态以及故障告警信息等。为保证系统可靠性，要求操控界面能提供可通过显示屏设置至少2级的不同的用户分级操作。不同的用户可设置不同的密码，具有不同的权限。且不同用户的操作都会被记录下来。提供的不小于7寸的大屏幕触摸显示屏应作为标准配置包含在报价中。</w:t>
      </w:r>
    </w:p>
    <w:p>
      <w:pPr>
        <w:spacing w:line="360" w:lineRule="auto"/>
        <w:ind w:left="1440" w:right="-180" w:rightChars="-75" w:firstLine="0"/>
        <w:rPr>
          <w:color w:val="auto"/>
          <w:szCs w:val="24"/>
          <w:highlight w:val="none"/>
        </w:rPr>
      </w:pPr>
      <w:r>
        <w:rPr>
          <w:rFonts w:hint="eastAsia"/>
          <w:color w:val="auto"/>
          <w:szCs w:val="24"/>
          <w:highlight w:val="none"/>
        </w:rPr>
        <w:t>30.系统应具有三遥性能：遥测项目：三相输入电压，直流输入电压，三相输出电压，三相输出电流，输出频率；遥信项目：同步/不同步状态，UPS/旁路供电，蓄电池放电电压低，市电故障，整流器故障，逆变器故障，旁路故障；对遥信项目，要求设备能够对每一类故障或状态提供继电器干接点。</w:t>
      </w:r>
    </w:p>
    <w:p>
      <w:pPr>
        <w:spacing w:line="360" w:lineRule="auto"/>
        <w:ind w:left="1440" w:right="-180" w:rightChars="-75" w:firstLine="0"/>
        <w:rPr>
          <w:color w:val="auto"/>
          <w:szCs w:val="24"/>
          <w:highlight w:val="none"/>
        </w:rPr>
      </w:pPr>
      <w:r>
        <w:rPr>
          <w:rFonts w:hint="eastAsia"/>
          <w:color w:val="auto"/>
          <w:szCs w:val="24"/>
          <w:highlight w:val="none"/>
        </w:rPr>
        <w:t>31.系统应具备通信接口：具备RS232、RS485(或RS422)或SNMP接口协议，且应具有良好的电气隔离(信号端子对地承受直流电压500V、1分钟不击穿或闪烁)；协议格式必须符合电网交1999(625)号文《通信局（站）电源、空调及环境集中监控管理系统前端智能设备通讯协议》。</w:t>
      </w:r>
    </w:p>
    <w:p>
      <w:pPr>
        <w:spacing w:line="360" w:lineRule="auto"/>
        <w:ind w:left="1440" w:right="-180" w:rightChars="-75" w:firstLine="0"/>
        <w:rPr>
          <w:color w:val="auto"/>
          <w:szCs w:val="24"/>
          <w:highlight w:val="none"/>
        </w:rPr>
      </w:pPr>
      <w:r>
        <w:rPr>
          <w:rFonts w:hint="eastAsia"/>
          <w:color w:val="auto"/>
          <w:szCs w:val="24"/>
          <w:highlight w:val="none"/>
        </w:rPr>
        <w:t>32.设备运行参数的设置：设备应具有智能判断功能，对于超常规的参数设置（错误命令），应能自动拒绝。</w:t>
      </w:r>
    </w:p>
    <w:p>
      <w:pPr>
        <w:spacing w:line="360" w:lineRule="auto"/>
        <w:ind w:left="1440" w:right="-180" w:rightChars="-75" w:firstLine="0"/>
        <w:rPr>
          <w:color w:val="auto"/>
          <w:szCs w:val="24"/>
          <w:highlight w:val="none"/>
        </w:rPr>
      </w:pPr>
      <w:r>
        <w:rPr>
          <w:rFonts w:hint="eastAsia"/>
          <w:color w:val="auto"/>
          <w:szCs w:val="24"/>
          <w:highlight w:val="none"/>
        </w:rPr>
        <w:t>33.准确度：对三遥量：开关量准确度应达到100%;模拟量精确度应达到</w:t>
      </w:r>
      <w:r>
        <w:rPr>
          <w:rFonts w:hint="eastAsia"/>
          <w:color w:val="auto"/>
          <w:szCs w:val="24"/>
          <w:highlight w:val="none"/>
        </w:rPr>
        <w:tab/>
      </w:r>
      <w:r>
        <w:rPr>
          <w:rFonts w:hint="eastAsia"/>
          <w:color w:val="auto"/>
          <w:szCs w:val="24"/>
          <w:highlight w:val="none"/>
        </w:rPr>
        <w:t>直流电压误差≤0.5%;其它电量误差≤2%;非电量误差≤5%;设备显示面板或表头显示值应与从通信接口读出的三遥量值保持一致。</w:t>
      </w:r>
    </w:p>
    <w:p>
      <w:pPr>
        <w:spacing w:line="360" w:lineRule="auto"/>
        <w:ind w:left="1440" w:right="-180" w:rightChars="-75" w:firstLine="0"/>
        <w:rPr>
          <w:color w:val="auto"/>
          <w:szCs w:val="24"/>
          <w:highlight w:val="none"/>
        </w:rPr>
      </w:pPr>
      <w:r>
        <w:rPr>
          <w:rFonts w:hint="eastAsia"/>
          <w:color w:val="auto"/>
          <w:szCs w:val="24"/>
          <w:highlight w:val="none"/>
        </w:rPr>
        <w:t>34.UPS采用强制风冷方式，内部冷却风道的进风口必须配置进风防尘滤网。</w:t>
      </w:r>
    </w:p>
    <w:p>
      <w:pPr>
        <w:spacing w:line="360" w:lineRule="auto"/>
        <w:ind w:left="1440" w:right="-180" w:rightChars="-75" w:firstLine="0"/>
        <w:rPr>
          <w:color w:val="auto"/>
          <w:szCs w:val="24"/>
          <w:highlight w:val="none"/>
        </w:rPr>
      </w:pPr>
      <w:r>
        <w:rPr>
          <w:rFonts w:hint="eastAsia"/>
          <w:color w:val="auto"/>
          <w:szCs w:val="24"/>
          <w:highlight w:val="none"/>
        </w:rPr>
        <w:t>35.外观工艺、检查：机柜表面喷涂均匀、无破损；信号灯、开关、测量显示装置布局合理。</w:t>
      </w:r>
    </w:p>
    <w:p>
      <w:pPr>
        <w:spacing w:line="360" w:lineRule="auto"/>
        <w:ind w:left="1440" w:right="-180" w:rightChars="-75" w:firstLine="0"/>
        <w:rPr>
          <w:color w:val="auto"/>
          <w:szCs w:val="24"/>
          <w:highlight w:val="none"/>
        </w:rPr>
      </w:pPr>
      <w:r>
        <w:rPr>
          <w:rFonts w:hint="eastAsia"/>
          <w:color w:val="auto"/>
          <w:szCs w:val="24"/>
          <w:highlight w:val="none"/>
        </w:rPr>
        <w:t>36.结构工艺：部件排列合理、整齐；导线颜色和截面合理，布放平整，编号合理；接插件牢固；电源进出线符合工程需要；维修安全及方便；具备抗震措施。</w:t>
      </w:r>
    </w:p>
    <w:p>
      <w:pPr>
        <w:spacing w:line="360" w:lineRule="auto"/>
        <w:ind w:left="1440" w:right="-180" w:rightChars="-75" w:firstLine="0"/>
        <w:rPr>
          <w:color w:val="auto"/>
          <w:szCs w:val="24"/>
          <w:highlight w:val="none"/>
        </w:rPr>
      </w:pPr>
      <w:r>
        <w:rPr>
          <w:rFonts w:hint="eastAsia"/>
          <w:color w:val="auto"/>
          <w:szCs w:val="24"/>
          <w:highlight w:val="none"/>
        </w:rPr>
        <w:t>37.机架组装：有防振加固安装孔，接地应用铜质螺母，其直径≥M8。</w:t>
      </w:r>
    </w:p>
    <w:p>
      <w:pPr>
        <w:spacing w:line="360" w:lineRule="auto"/>
        <w:ind w:left="1440" w:right="-180" w:rightChars="-75" w:firstLine="0"/>
        <w:rPr>
          <w:color w:val="auto"/>
          <w:szCs w:val="24"/>
          <w:highlight w:val="none"/>
        </w:rPr>
      </w:pPr>
      <w:r>
        <w:rPr>
          <w:rFonts w:hint="eastAsia"/>
          <w:color w:val="auto"/>
          <w:szCs w:val="24"/>
          <w:highlight w:val="none"/>
        </w:rPr>
        <w:t>38.标牌、标记：应平整清晰。</w:t>
      </w:r>
    </w:p>
    <w:p>
      <w:pPr>
        <w:spacing w:line="360" w:lineRule="auto"/>
        <w:ind w:left="1440" w:right="-180" w:rightChars="-75" w:firstLine="0"/>
        <w:rPr>
          <w:color w:val="auto"/>
          <w:szCs w:val="24"/>
          <w:highlight w:val="none"/>
        </w:rPr>
      </w:pPr>
      <w:r>
        <w:rPr>
          <w:rFonts w:hint="eastAsia"/>
          <w:color w:val="auto"/>
          <w:szCs w:val="24"/>
          <w:highlight w:val="none"/>
        </w:rPr>
        <w:t>39.UPS系统的电池总后备时间不少于60分钟。</w:t>
      </w:r>
    </w:p>
    <w:p>
      <w:pPr>
        <w:spacing w:line="360" w:lineRule="auto"/>
        <w:ind w:left="1440" w:right="-180" w:rightChars="-75" w:firstLine="0"/>
        <w:rPr>
          <w:color w:val="auto"/>
          <w:szCs w:val="24"/>
          <w:highlight w:val="none"/>
        </w:rPr>
      </w:pPr>
      <w:r>
        <w:rPr>
          <w:rFonts w:hint="eastAsia"/>
          <w:color w:val="auto"/>
          <w:szCs w:val="24"/>
          <w:highlight w:val="none"/>
        </w:rPr>
        <w:t>40.UPS采用12V免维护铅酸蓄电池，蓄电池浮充设计寿命不低于12年。</w:t>
      </w:r>
    </w:p>
    <w:p>
      <w:pPr>
        <w:spacing w:line="360" w:lineRule="auto"/>
        <w:ind w:left="1440" w:right="-180" w:rightChars="-75" w:firstLine="0"/>
        <w:rPr>
          <w:color w:val="auto"/>
          <w:szCs w:val="24"/>
          <w:highlight w:val="none"/>
        </w:rPr>
      </w:pPr>
      <w:r>
        <w:rPr>
          <w:rFonts w:hint="eastAsia"/>
          <w:color w:val="auto"/>
          <w:szCs w:val="24"/>
          <w:highlight w:val="none"/>
        </w:rPr>
        <w:t>41.产品外观要求：蓄电池标志清晰，外观不得有变形、漏液、裂纹及污迹。</w:t>
      </w:r>
    </w:p>
    <w:p>
      <w:pPr>
        <w:spacing w:line="360" w:lineRule="auto"/>
        <w:ind w:left="1440" w:right="-180" w:rightChars="-75" w:firstLine="0"/>
        <w:rPr>
          <w:color w:val="auto"/>
          <w:szCs w:val="24"/>
          <w:highlight w:val="none"/>
        </w:rPr>
      </w:pPr>
      <w:r>
        <w:rPr>
          <w:rFonts w:hint="eastAsia"/>
          <w:color w:val="auto"/>
          <w:szCs w:val="24"/>
          <w:highlight w:val="none"/>
        </w:rPr>
        <w:t xml:space="preserve">42.电池容量保存率：在温度为25℃时蓄电池静置28天后，功率保存率应不低于92%。 </w:t>
      </w:r>
    </w:p>
    <w:p>
      <w:pPr>
        <w:spacing w:line="360" w:lineRule="auto"/>
        <w:ind w:left="1440" w:right="-180" w:rightChars="-75" w:firstLine="0"/>
        <w:rPr>
          <w:color w:val="auto"/>
          <w:szCs w:val="24"/>
          <w:highlight w:val="none"/>
        </w:rPr>
      </w:pPr>
      <w:r>
        <w:rPr>
          <w:rFonts w:hint="eastAsia"/>
          <w:color w:val="auto"/>
          <w:szCs w:val="24"/>
          <w:highlight w:val="none"/>
        </w:rPr>
        <w:t>43. 电池密封反应效率：蓄电池密封反应效率应不低于96%。</w:t>
      </w:r>
    </w:p>
    <w:p>
      <w:pPr>
        <w:spacing w:line="360" w:lineRule="auto"/>
        <w:ind w:left="1440" w:right="-180" w:rightChars="-75" w:firstLine="0"/>
        <w:rPr>
          <w:color w:val="auto"/>
          <w:szCs w:val="24"/>
          <w:highlight w:val="none"/>
        </w:rPr>
      </w:pPr>
      <w:r>
        <w:rPr>
          <w:rFonts w:hint="eastAsia"/>
          <w:color w:val="auto"/>
          <w:szCs w:val="24"/>
          <w:highlight w:val="none"/>
        </w:rPr>
        <w:t>44.蓄电池安全阀开阀压力范围：10～35kPa，闭阀压力范围：3～30kPa。</w:t>
      </w:r>
    </w:p>
    <w:p>
      <w:pPr>
        <w:spacing w:line="360" w:lineRule="auto"/>
        <w:ind w:left="1440" w:right="-180" w:rightChars="-75" w:firstLine="0"/>
        <w:rPr>
          <w:color w:val="auto"/>
          <w:szCs w:val="24"/>
          <w:highlight w:val="none"/>
        </w:rPr>
      </w:pPr>
      <w:r>
        <w:rPr>
          <w:rFonts w:hint="eastAsia"/>
          <w:color w:val="auto"/>
          <w:szCs w:val="24"/>
          <w:highlight w:val="none"/>
        </w:rPr>
        <w:t>45.UPS提供泰尔认证证书及泰尔认证测试报告。</w:t>
      </w:r>
    </w:p>
    <w:p>
      <w:pPr>
        <w:pStyle w:val="8"/>
        <w:ind w:left="1134" w:right="-180" w:rightChars="-75" w:hanging="708"/>
        <w:rPr>
          <w:color w:val="auto"/>
          <w:highlight w:val="none"/>
        </w:rPr>
      </w:pPr>
      <w:r>
        <w:rPr>
          <w:color w:val="auto"/>
          <w:highlight w:val="none"/>
        </w:rPr>
        <w:t>2</w:t>
      </w:r>
      <w:r>
        <w:rPr>
          <w:rFonts w:hint="eastAsia"/>
          <w:color w:val="auto"/>
          <w:highlight w:val="none"/>
        </w:rPr>
        <w:t>）. 汇聚机房U</w:t>
      </w:r>
      <w:r>
        <w:rPr>
          <w:color w:val="auto"/>
          <w:highlight w:val="none"/>
        </w:rPr>
        <w:t>PS</w:t>
      </w:r>
      <w:r>
        <w:rPr>
          <w:rFonts w:hint="eastAsia"/>
          <w:color w:val="auto"/>
          <w:highlight w:val="none"/>
        </w:rPr>
        <w:t>技术参数要求</w:t>
      </w:r>
    </w:p>
    <w:p>
      <w:pPr>
        <w:tabs>
          <w:tab w:val="left" w:pos="1920"/>
        </w:tabs>
        <w:spacing w:line="360" w:lineRule="auto"/>
        <w:ind w:left="1440" w:leftChars="600" w:right="-180" w:rightChars="-75" w:firstLine="0"/>
        <w:rPr>
          <w:color w:val="auto"/>
          <w:szCs w:val="24"/>
          <w:highlight w:val="none"/>
        </w:rPr>
      </w:pPr>
      <w:r>
        <w:rPr>
          <w:rFonts w:hint="eastAsia"/>
          <w:color w:val="auto"/>
          <w:szCs w:val="24"/>
          <w:highlight w:val="none"/>
        </w:rPr>
        <w:t>1.</w:t>
      </w:r>
      <w:r>
        <w:rPr>
          <w:rFonts w:hint="eastAsia"/>
          <w:color w:val="auto"/>
          <w:szCs w:val="24"/>
          <w:highlight w:val="none"/>
        </w:rPr>
        <w:tab/>
      </w:r>
      <w:r>
        <w:rPr>
          <w:rFonts w:hint="eastAsia"/>
          <w:color w:val="auto"/>
          <w:szCs w:val="24"/>
          <w:highlight w:val="none"/>
        </w:rPr>
        <w:t>采用与主机房同一品牌的UPS，单机容量 200 KVA UPS 1 台，要求尺寸宽*深*高（mm）≤600*880*1650。</w:t>
      </w:r>
    </w:p>
    <w:p>
      <w:pPr>
        <w:tabs>
          <w:tab w:val="left" w:pos="1920"/>
        </w:tabs>
        <w:spacing w:line="360" w:lineRule="auto"/>
        <w:ind w:left="1440" w:leftChars="600" w:right="-180" w:rightChars="-75" w:firstLine="0"/>
        <w:rPr>
          <w:color w:val="auto"/>
          <w:szCs w:val="24"/>
          <w:highlight w:val="none"/>
        </w:rPr>
      </w:pPr>
      <w:r>
        <w:rPr>
          <w:rFonts w:hint="eastAsia"/>
          <w:color w:val="auto"/>
          <w:szCs w:val="24"/>
          <w:highlight w:val="none"/>
        </w:rPr>
        <w:t>2.</w:t>
      </w:r>
      <w:r>
        <w:rPr>
          <w:rFonts w:hint="eastAsia"/>
          <w:color w:val="auto"/>
          <w:szCs w:val="24"/>
          <w:highlight w:val="none"/>
        </w:rPr>
        <w:tab/>
      </w:r>
      <w:r>
        <w:rPr>
          <w:rFonts w:hint="eastAsia"/>
          <w:color w:val="auto"/>
          <w:szCs w:val="24"/>
          <w:highlight w:val="none"/>
        </w:rPr>
        <w:t>输入电压  380VAC (－20%～＋25%满载)。</w:t>
      </w:r>
    </w:p>
    <w:p>
      <w:pPr>
        <w:tabs>
          <w:tab w:val="left" w:pos="1920"/>
        </w:tabs>
        <w:spacing w:line="360" w:lineRule="auto"/>
        <w:ind w:left="1440" w:leftChars="600" w:right="-180" w:rightChars="-75" w:firstLine="0"/>
        <w:rPr>
          <w:color w:val="auto"/>
          <w:szCs w:val="24"/>
          <w:highlight w:val="none"/>
        </w:rPr>
      </w:pPr>
      <w:r>
        <w:rPr>
          <w:rFonts w:hint="eastAsia"/>
          <w:color w:val="auto"/>
          <w:szCs w:val="24"/>
          <w:highlight w:val="none"/>
        </w:rPr>
        <w:t>3.</w:t>
      </w:r>
      <w:r>
        <w:rPr>
          <w:rFonts w:hint="eastAsia"/>
          <w:color w:val="auto"/>
          <w:szCs w:val="24"/>
          <w:highlight w:val="none"/>
        </w:rPr>
        <w:tab/>
      </w:r>
      <w:r>
        <w:rPr>
          <w:rFonts w:hint="eastAsia"/>
          <w:color w:val="auto"/>
          <w:szCs w:val="24"/>
          <w:highlight w:val="none"/>
        </w:rPr>
        <w:t>输入频率 40-70Hz。</w:t>
      </w:r>
    </w:p>
    <w:p>
      <w:pPr>
        <w:tabs>
          <w:tab w:val="left" w:pos="1920"/>
        </w:tabs>
        <w:spacing w:line="360" w:lineRule="auto"/>
        <w:ind w:left="1440" w:leftChars="600" w:right="-180" w:rightChars="-75" w:firstLine="0"/>
        <w:rPr>
          <w:color w:val="auto"/>
          <w:szCs w:val="24"/>
          <w:highlight w:val="none"/>
        </w:rPr>
      </w:pPr>
      <w:r>
        <w:rPr>
          <w:rFonts w:hint="eastAsia"/>
          <w:color w:val="auto"/>
          <w:szCs w:val="24"/>
          <w:highlight w:val="none"/>
        </w:rPr>
        <w:t>4.整流器输入性能：30%、50%、100%负载率下，UPS输入谐波电流总含量要求不大于3%。30%、50%、100%负载率下，UPS输入功率因数均不低于0.99。</w:t>
      </w:r>
    </w:p>
    <w:p>
      <w:pPr>
        <w:tabs>
          <w:tab w:val="left" w:pos="1920"/>
        </w:tabs>
        <w:spacing w:line="360" w:lineRule="auto"/>
        <w:ind w:left="1440" w:leftChars="600" w:right="-180" w:rightChars="-75" w:firstLine="0"/>
        <w:rPr>
          <w:color w:val="auto"/>
          <w:szCs w:val="24"/>
          <w:highlight w:val="none"/>
        </w:rPr>
      </w:pPr>
      <w:r>
        <w:rPr>
          <w:rFonts w:hint="eastAsia"/>
          <w:color w:val="auto"/>
          <w:szCs w:val="24"/>
          <w:highlight w:val="none"/>
        </w:rPr>
        <w:t>5.整流器输出指标：具有电池均充功能，能够自动控制均充和浮充转换，具备充电温度补偿功能和电池定期自动测试功能。</w:t>
      </w:r>
    </w:p>
    <w:p>
      <w:pPr>
        <w:tabs>
          <w:tab w:val="left" w:pos="1920"/>
        </w:tabs>
        <w:spacing w:line="360" w:lineRule="auto"/>
        <w:ind w:left="1440" w:leftChars="600" w:right="-180" w:rightChars="-75" w:firstLine="0"/>
        <w:rPr>
          <w:color w:val="auto"/>
          <w:szCs w:val="24"/>
          <w:highlight w:val="none"/>
        </w:rPr>
      </w:pPr>
      <w:r>
        <w:rPr>
          <w:rFonts w:hint="eastAsia"/>
          <w:color w:val="auto"/>
          <w:szCs w:val="24"/>
          <w:highlight w:val="none"/>
        </w:rPr>
        <w:t>6.逆变器输出要求：输出电压：380VAC(线)/220VAC（相），稳态精度：±1％。输出功率因数： 1.0。</w:t>
      </w:r>
    </w:p>
    <w:p>
      <w:pPr>
        <w:tabs>
          <w:tab w:val="left" w:pos="1920"/>
        </w:tabs>
        <w:spacing w:line="360" w:lineRule="auto"/>
        <w:ind w:left="1440" w:leftChars="600" w:right="-180" w:rightChars="-75" w:firstLine="0"/>
        <w:rPr>
          <w:color w:val="auto"/>
          <w:szCs w:val="24"/>
          <w:highlight w:val="none"/>
        </w:rPr>
      </w:pPr>
      <w:r>
        <w:rPr>
          <w:rFonts w:hint="eastAsia"/>
          <w:color w:val="auto"/>
          <w:szCs w:val="24"/>
          <w:highlight w:val="none"/>
        </w:rPr>
        <w:t>7.</w:t>
      </w:r>
      <w:r>
        <w:rPr>
          <w:rFonts w:hint="eastAsia"/>
          <w:color w:val="auto"/>
          <w:szCs w:val="24"/>
          <w:highlight w:val="none"/>
        </w:rPr>
        <w:tab/>
      </w:r>
      <w:r>
        <w:rPr>
          <w:rFonts w:hint="eastAsia"/>
          <w:color w:val="auto"/>
          <w:szCs w:val="24"/>
          <w:highlight w:val="none"/>
        </w:rPr>
        <w:t>输出同步频率范围：同步频率应满足±0.5～±3Hz可调</w:t>
      </w:r>
    </w:p>
    <w:p>
      <w:pPr>
        <w:tabs>
          <w:tab w:val="left" w:pos="1920"/>
        </w:tabs>
        <w:spacing w:line="360" w:lineRule="auto"/>
        <w:ind w:left="1440" w:leftChars="600" w:right="-180" w:rightChars="-75" w:firstLine="0"/>
        <w:rPr>
          <w:color w:val="auto"/>
          <w:szCs w:val="24"/>
          <w:highlight w:val="none"/>
        </w:rPr>
      </w:pPr>
      <w:r>
        <w:rPr>
          <w:rFonts w:hint="eastAsia"/>
          <w:color w:val="auto"/>
          <w:szCs w:val="24"/>
          <w:highlight w:val="none"/>
        </w:rPr>
        <w:t>8.</w:t>
      </w:r>
      <w:r>
        <w:rPr>
          <w:rFonts w:hint="eastAsia"/>
          <w:color w:val="auto"/>
          <w:szCs w:val="24"/>
          <w:highlight w:val="none"/>
        </w:rPr>
        <w:tab/>
      </w:r>
      <w:r>
        <w:rPr>
          <w:rFonts w:hint="eastAsia"/>
          <w:color w:val="auto"/>
          <w:szCs w:val="24"/>
          <w:highlight w:val="none"/>
        </w:rPr>
        <w:t>输出频率精度：±0.1%(内同步), 输出频率应不发生突变。</w:t>
      </w:r>
    </w:p>
    <w:p>
      <w:pPr>
        <w:tabs>
          <w:tab w:val="left" w:pos="1920"/>
        </w:tabs>
        <w:spacing w:line="360" w:lineRule="auto"/>
        <w:ind w:left="1440" w:leftChars="600" w:right="-180" w:rightChars="-75" w:firstLine="0"/>
        <w:rPr>
          <w:color w:val="auto"/>
          <w:szCs w:val="24"/>
          <w:highlight w:val="none"/>
        </w:rPr>
      </w:pPr>
      <w:r>
        <w:rPr>
          <w:rFonts w:hint="eastAsia"/>
          <w:color w:val="auto"/>
          <w:szCs w:val="24"/>
          <w:highlight w:val="none"/>
        </w:rPr>
        <w:t>9.</w:t>
      </w:r>
      <w:r>
        <w:rPr>
          <w:rFonts w:hint="eastAsia"/>
          <w:color w:val="auto"/>
          <w:szCs w:val="24"/>
          <w:highlight w:val="none"/>
        </w:rPr>
        <w:tab/>
      </w:r>
      <w:r>
        <w:rPr>
          <w:rFonts w:hint="eastAsia"/>
          <w:color w:val="auto"/>
          <w:szCs w:val="24"/>
          <w:highlight w:val="none"/>
        </w:rPr>
        <w:t>输出波形为连续的正弦波，在带100%不均衡负载时，波形失真度：线性负载   ≤1.5％非线性负载 ≤2.0％。</w:t>
      </w:r>
    </w:p>
    <w:p>
      <w:pPr>
        <w:tabs>
          <w:tab w:val="left" w:pos="1920"/>
        </w:tabs>
        <w:spacing w:line="360" w:lineRule="auto"/>
        <w:ind w:left="1440" w:leftChars="600" w:right="-180" w:rightChars="-75" w:firstLine="0"/>
        <w:rPr>
          <w:color w:val="auto"/>
          <w:szCs w:val="24"/>
          <w:highlight w:val="none"/>
        </w:rPr>
      </w:pPr>
      <w:r>
        <w:rPr>
          <w:rFonts w:hint="eastAsia"/>
          <w:color w:val="auto"/>
          <w:szCs w:val="24"/>
          <w:highlight w:val="none"/>
        </w:rPr>
        <w:t>10.输出电流峰值系数（UPS所允许的最大非正弦波峰值电流与输出电流有效值之比）≥3：1</w:t>
      </w:r>
    </w:p>
    <w:p>
      <w:pPr>
        <w:tabs>
          <w:tab w:val="left" w:pos="1920"/>
        </w:tabs>
        <w:spacing w:line="360" w:lineRule="auto"/>
        <w:ind w:left="1440" w:leftChars="600" w:right="-180" w:rightChars="-75" w:firstLine="0"/>
        <w:rPr>
          <w:color w:val="auto"/>
          <w:szCs w:val="24"/>
          <w:highlight w:val="none"/>
        </w:rPr>
      </w:pPr>
      <w:r>
        <w:rPr>
          <w:rFonts w:hint="eastAsia"/>
          <w:color w:val="auto"/>
          <w:szCs w:val="24"/>
          <w:highlight w:val="none"/>
        </w:rPr>
        <w:t>11.环境温度：工作温度：0～40℃,满载运行无需降额，50℃仍可带载80%。</w:t>
      </w:r>
    </w:p>
    <w:p>
      <w:pPr>
        <w:tabs>
          <w:tab w:val="left" w:pos="1920"/>
        </w:tabs>
        <w:spacing w:line="360" w:lineRule="auto"/>
        <w:ind w:left="1440" w:leftChars="600" w:right="-180" w:rightChars="-75" w:firstLine="0"/>
        <w:rPr>
          <w:color w:val="auto"/>
          <w:szCs w:val="24"/>
          <w:highlight w:val="none"/>
        </w:rPr>
      </w:pPr>
      <w:r>
        <w:rPr>
          <w:rFonts w:hint="eastAsia"/>
          <w:color w:val="auto"/>
          <w:szCs w:val="24"/>
          <w:highlight w:val="none"/>
        </w:rPr>
        <w:t>12.相对湿度：≤95%（25℃,无凝露）</w:t>
      </w:r>
    </w:p>
    <w:p>
      <w:pPr>
        <w:tabs>
          <w:tab w:val="left" w:pos="1920"/>
        </w:tabs>
        <w:spacing w:line="360" w:lineRule="auto"/>
        <w:ind w:left="1440" w:leftChars="600" w:right="-180" w:rightChars="-75" w:firstLine="0"/>
        <w:rPr>
          <w:color w:val="auto"/>
          <w:szCs w:val="24"/>
          <w:highlight w:val="none"/>
        </w:rPr>
      </w:pPr>
      <w:r>
        <w:rPr>
          <w:rFonts w:hint="eastAsia"/>
          <w:color w:val="auto"/>
          <w:szCs w:val="24"/>
          <w:highlight w:val="none"/>
        </w:rPr>
        <w:t>13.海拔高度：0～1500米，无需功率降额。</w:t>
      </w:r>
    </w:p>
    <w:p>
      <w:pPr>
        <w:tabs>
          <w:tab w:val="left" w:pos="1920"/>
        </w:tabs>
        <w:spacing w:line="360" w:lineRule="auto"/>
        <w:ind w:left="1440" w:leftChars="600" w:right="-180" w:rightChars="-75" w:firstLine="0"/>
        <w:rPr>
          <w:color w:val="auto"/>
          <w:szCs w:val="24"/>
          <w:highlight w:val="none"/>
        </w:rPr>
      </w:pPr>
      <w:r>
        <w:rPr>
          <w:rFonts w:hint="eastAsia"/>
          <w:color w:val="auto"/>
          <w:szCs w:val="24"/>
          <w:highlight w:val="none"/>
        </w:rPr>
        <w:t>14.UPS主机采用风道隔离设计，避免湿尘导致敏感元器件拉弧、短路。</w:t>
      </w:r>
    </w:p>
    <w:p>
      <w:pPr>
        <w:tabs>
          <w:tab w:val="left" w:pos="1920"/>
        </w:tabs>
        <w:spacing w:line="360" w:lineRule="auto"/>
        <w:ind w:left="1440" w:leftChars="600" w:right="-180" w:rightChars="-75" w:firstLine="0"/>
        <w:rPr>
          <w:color w:val="auto"/>
          <w:szCs w:val="24"/>
          <w:highlight w:val="none"/>
        </w:rPr>
      </w:pPr>
      <w:r>
        <w:rPr>
          <w:rFonts w:hint="eastAsia"/>
          <w:color w:val="auto"/>
          <w:szCs w:val="24"/>
          <w:highlight w:val="none"/>
        </w:rPr>
        <w:t>15.UPS采用不小于7英寸彩色触摸屏，支持单机、并机系统运行数据和状态统一监控，支持并机系统一键开/关机功能。</w:t>
      </w:r>
    </w:p>
    <w:p>
      <w:pPr>
        <w:tabs>
          <w:tab w:val="left" w:pos="1920"/>
        </w:tabs>
        <w:spacing w:line="360" w:lineRule="auto"/>
        <w:ind w:left="1440" w:leftChars="600" w:right="-180" w:rightChars="-75" w:firstLine="0"/>
        <w:rPr>
          <w:color w:val="auto"/>
          <w:szCs w:val="24"/>
          <w:highlight w:val="none"/>
        </w:rPr>
      </w:pPr>
      <w:r>
        <w:rPr>
          <w:rFonts w:hint="eastAsia"/>
          <w:color w:val="auto"/>
          <w:szCs w:val="24"/>
          <w:highlight w:val="none"/>
        </w:rPr>
        <w:t>16.支持超级ECO模式，该模式下，逆变器与旁路并联，作为有源滤波器提供无功补偿和滤波。运行效率高达99%，输入THDi&lt;3%,输入pf&gt;0.99。</w:t>
      </w:r>
    </w:p>
    <w:p>
      <w:pPr>
        <w:tabs>
          <w:tab w:val="left" w:pos="1920"/>
        </w:tabs>
        <w:spacing w:line="360" w:lineRule="auto"/>
        <w:ind w:left="1440" w:leftChars="600" w:right="-180" w:rightChars="-75" w:firstLine="0"/>
        <w:rPr>
          <w:color w:val="auto"/>
          <w:szCs w:val="24"/>
          <w:highlight w:val="none"/>
        </w:rPr>
      </w:pPr>
      <w:r>
        <w:rPr>
          <w:rFonts w:hint="eastAsia"/>
          <w:color w:val="auto"/>
          <w:szCs w:val="24"/>
          <w:highlight w:val="none"/>
        </w:rPr>
        <w:t>17.主机显示屏支持操作风险提示，避免人为误操作，引起系统掉电和故障。</w:t>
      </w:r>
    </w:p>
    <w:p>
      <w:pPr>
        <w:tabs>
          <w:tab w:val="left" w:pos="1920"/>
        </w:tabs>
        <w:spacing w:line="360" w:lineRule="auto"/>
        <w:ind w:left="1440" w:leftChars="600" w:right="-180" w:rightChars="-75" w:firstLine="0"/>
        <w:rPr>
          <w:color w:val="auto"/>
          <w:szCs w:val="24"/>
          <w:highlight w:val="none"/>
        </w:rPr>
      </w:pPr>
      <w:r>
        <w:rPr>
          <w:rFonts w:hint="eastAsia"/>
          <w:color w:val="auto"/>
          <w:szCs w:val="24"/>
          <w:highlight w:val="none"/>
        </w:rPr>
        <w:t>18.输出采用SCR进行切换，确保系统切换可靠性。</w:t>
      </w:r>
    </w:p>
    <w:p>
      <w:pPr>
        <w:tabs>
          <w:tab w:val="left" w:pos="1920"/>
        </w:tabs>
        <w:spacing w:line="360" w:lineRule="auto"/>
        <w:ind w:left="1440" w:leftChars="600" w:right="-180" w:rightChars="-75" w:firstLine="0"/>
        <w:rPr>
          <w:color w:val="auto"/>
          <w:szCs w:val="24"/>
          <w:highlight w:val="none"/>
        </w:rPr>
      </w:pPr>
      <w:r>
        <w:rPr>
          <w:rFonts w:hint="eastAsia"/>
          <w:color w:val="auto"/>
          <w:szCs w:val="24"/>
          <w:highlight w:val="none"/>
        </w:rPr>
        <w:t xml:space="preserve">19.UPS电气柜内功率模组交/直流端口并联要求采用母排汇流方式，禁止电缆+接线端子方式。 </w:t>
      </w:r>
    </w:p>
    <w:p>
      <w:pPr>
        <w:tabs>
          <w:tab w:val="left" w:pos="1920"/>
        </w:tabs>
        <w:spacing w:line="360" w:lineRule="auto"/>
        <w:ind w:left="1440" w:leftChars="600" w:right="-180" w:rightChars="-75" w:firstLine="0"/>
        <w:rPr>
          <w:color w:val="auto"/>
          <w:szCs w:val="24"/>
          <w:highlight w:val="none"/>
        </w:rPr>
      </w:pPr>
      <w:r>
        <w:rPr>
          <w:rFonts w:hint="eastAsia"/>
          <w:color w:val="auto"/>
          <w:szCs w:val="24"/>
          <w:highlight w:val="none"/>
        </w:rPr>
        <w:t>20.功率单元内部冗余，支持插拔设计，单个模组故障不影响其它模组正常工作。</w:t>
      </w:r>
    </w:p>
    <w:p>
      <w:pPr>
        <w:tabs>
          <w:tab w:val="left" w:pos="1920"/>
        </w:tabs>
        <w:spacing w:line="360" w:lineRule="auto"/>
        <w:ind w:left="1440" w:leftChars="600" w:right="-180" w:rightChars="-75" w:firstLine="0"/>
        <w:rPr>
          <w:color w:val="auto"/>
          <w:szCs w:val="24"/>
          <w:highlight w:val="none"/>
        </w:rPr>
      </w:pPr>
      <w:r>
        <w:rPr>
          <w:rFonts w:hint="eastAsia"/>
          <w:color w:val="auto"/>
          <w:szCs w:val="24"/>
          <w:highlight w:val="none"/>
        </w:rPr>
        <w:t>21.UPS需标准内置维修旁路开关，便于系统故障后维护。</w:t>
      </w:r>
    </w:p>
    <w:p>
      <w:pPr>
        <w:tabs>
          <w:tab w:val="left" w:pos="1920"/>
        </w:tabs>
        <w:spacing w:line="360" w:lineRule="auto"/>
        <w:ind w:left="1440" w:leftChars="600" w:right="-180" w:rightChars="-75" w:firstLine="0"/>
        <w:rPr>
          <w:color w:val="auto"/>
          <w:szCs w:val="24"/>
          <w:highlight w:val="none"/>
        </w:rPr>
      </w:pPr>
      <w:r>
        <w:rPr>
          <w:rFonts w:hint="eastAsia"/>
          <w:color w:val="auto"/>
          <w:szCs w:val="24"/>
          <w:highlight w:val="none"/>
        </w:rPr>
        <w:t xml:space="preserve">22.电池无需配备中线，无直流环流，提高系统运行的稳定性；节省电缆和施工成本。 </w:t>
      </w:r>
    </w:p>
    <w:p>
      <w:pPr>
        <w:tabs>
          <w:tab w:val="left" w:pos="1920"/>
        </w:tabs>
        <w:spacing w:line="360" w:lineRule="auto"/>
        <w:ind w:left="1440" w:leftChars="600" w:right="-180" w:rightChars="-75" w:firstLine="0"/>
        <w:rPr>
          <w:color w:val="auto"/>
          <w:szCs w:val="24"/>
          <w:highlight w:val="none"/>
        </w:rPr>
      </w:pPr>
      <w:r>
        <w:rPr>
          <w:rFonts w:hint="eastAsia"/>
          <w:color w:val="auto"/>
          <w:szCs w:val="24"/>
          <w:highlight w:val="none"/>
        </w:rPr>
        <w:t xml:space="preserve">23.市电模式下，UPS系统在线逆变系统效率:100%负载时，系统效率≥94%；50%负载时，系统效率≥95%；30%负载时，系统效率≥96%; </w:t>
      </w:r>
      <w:r>
        <w:rPr>
          <w:color w:val="auto"/>
          <w:szCs w:val="24"/>
          <w:highlight w:val="none"/>
        </w:rPr>
        <w:t>提供该系列产品（覆盖200KVA容量）的泰尔认证测试报告复印件证明并加盖原厂公章。</w:t>
      </w:r>
    </w:p>
    <w:p>
      <w:pPr>
        <w:tabs>
          <w:tab w:val="left" w:pos="1920"/>
        </w:tabs>
        <w:spacing w:line="360" w:lineRule="auto"/>
        <w:ind w:left="1440" w:leftChars="600" w:right="-180" w:rightChars="-75" w:firstLine="0"/>
        <w:rPr>
          <w:color w:val="auto"/>
          <w:szCs w:val="24"/>
          <w:highlight w:val="none"/>
        </w:rPr>
      </w:pPr>
      <w:r>
        <w:rPr>
          <w:rFonts w:hint="eastAsia"/>
          <w:color w:val="auto"/>
          <w:szCs w:val="24"/>
          <w:highlight w:val="none"/>
        </w:rPr>
        <w:t>24.逆变器过载能力：110%额定电流60min；125%额定电流10min；150%额定电流1min。</w:t>
      </w:r>
    </w:p>
    <w:p>
      <w:pPr>
        <w:tabs>
          <w:tab w:val="left" w:pos="1920"/>
        </w:tabs>
        <w:spacing w:line="360" w:lineRule="auto"/>
        <w:ind w:left="1440" w:leftChars="600" w:right="-180" w:rightChars="-75" w:firstLine="0"/>
        <w:rPr>
          <w:color w:val="auto"/>
          <w:szCs w:val="24"/>
          <w:highlight w:val="none"/>
        </w:rPr>
      </w:pPr>
      <w:r>
        <w:rPr>
          <w:rFonts w:hint="eastAsia"/>
          <w:color w:val="auto"/>
          <w:szCs w:val="24"/>
          <w:highlight w:val="none"/>
        </w:rPr>
        <w:t>25.三相负载不平衡度100%时，三相输出电压不平衡度满足：＜±0.2％（平衡负载）；＜±2.5％（100％不平衡负载）</w:t>
      </w:r>
    </w:p>
    <w:p>
      <w:pPr>
        <w:tabs>
          <w:tab w:val="left" w:pos="1920"/>
        </w:tabs>
        <w:spacing w:line="360" w:lineRule="auto"/>
        <w:ind w:left="1440" w:leftChars="600" w:right="-180" w:rightChars="-75" w:firstLine="0"/>
        <w:rPr>
          <w:color w:val="auto"/>
          <w:szCs w:val="24"/>
          <w:highlight w:val="none"/>
        </w:rPr>
      </w:pPr>
      <w:r>
        <w:rPr>
          <w:rFonts w:hint="eastAsia"/>
          <w:color w:val="auto"/>
          <w:szCs w:val="24"/>
          <w:highlight w:val="none"/>
        </w:rPr>
        <w:t>26.输出电压相位偏差：在100%额定负载时，三相输出电压相位差≤0.2°。</w:t>
      </w:r>
    </w:p>
    <w:p>
      <w:pPr>
        <w:tabs>
          <w:tab w:val="left" w:pos="1920"/>
        </w:tabs>
        <w:spacing w:line="360" w:lineRule="auto"/>
        <w:ind w:left="1440" w:leftChars="600" w:right="-180" w:rightChars="-75" w:firstLine="0"/>
        <w:rPr>
          <w:color w:val="auto"/>
          <w:szCs w:val="24"/>
          <w:highlight w:val="none"/>
        </w:rPr>
      </w:pPr>
      <w:r>
        <w:rPr>
          <w:rFonts w:hint="eastAsia"/>
          <w:color w:val="auto"/>
          <w:szCs w:val="24"/>
          <w:highlight w:val="none"/>
        </w:rPr>
        <w:t>27.动态电压瞬变范围：交流输入电压不变，负载从0－100%－0变化，交流输入中断或恢复供电时的输出电压变化量＜额定输出电压的±4％。</w:t>
      </w:r>
    </w:p>
    <w:p>
      <w:pPr>
        <w:tabs>
          <w:tab w:val="left" w:pos="1920"/>
        </w:tabs>
        <w:spacing w:line="360" w:lineRule="auto"/>
        <w:ind w:left="1440" w:leftChars="600" w:right="-180" w:rightChars="-75" w:firstLine="0"/>
        <w:rPr>
          <w:color w:val="auto"/>
          <w:szCs w:val="24"/>
          <w:highlight w:val="none"/>
        </w:rPr>
      </w:pPr>
      <w:r>
        <w:rPr>
          <w:rFonts w:hint="eastAsia"/>
          <w:color w:val="auto"/>
          <w:szCs w:val="24"/>
          <w:highlight w:val="none"/>
        </w:rPr>
        <w:t>28.瞬变响应恢复时间：瞬变响应恢复时间（按行业标准YD/T1095-2008）≤20ms。</w:t>
      </w:r>
    </w:p>
    <w:p>
      <w:pPr>
        <w:tabs>
          <w:tab w:val="left" w:pos="1920"/>
        </w:tabs>
        <w:spacing w:line="360" w:lineRule="auto"/>
        <w:ind w:left="1440" w:leftChars="600" w:right="-180" w:rightChars="-75" w:firstLine="0"/>
        <w:rPr>
          <w:color w:val="auto"/>
          <w:szCs w:val="24"/>
          <w:highlight w:val="none"/>
        </w:rPr>
      </w:pPr>
      <w:r>
        <w:rPr>
          <w:rFonts w:hint="eastAsia"/>
          <w:color w:val="auto"/>
          <w:szCs w:val="24"/>
          <w:highlight w:val="none"/>
        </w:rPr>
        <w:t>29.市电电池切换时间：UPS在市电和电池两种状态间切换的时间应为0</w:t>
      </w:r>
    </w:p>
    <w:p>
      <w:pPr>
        <w:tabs>
          <w:tab w:val="left" w:pos="1920"/>
        </w:tabs>
        <w:spacing w:line="360" w:lineRule="auto"/>
        <w:ind w:left="1440" w:leftChars="600" w:right="-180" w:rightChars="-75" w:firstLine="0"/>
        <w:rPr>
          <w:color w:val="auto"/>
          <w:szCs w:val="24"/>
          <w:highlight w:val="none"/>
        </w:rPr>
      </w:pPr>
      <w:r>
        <w:rPr>
          <w:rFonts w:hint="eastAsia"/>
          <w:color w:val="auto"/>
          <w:szCs w:val="24"/>
          <w:highlight w:val="none"/>
        </w:rPr>
        <w:t>30.旁路逆变切换时间：从逆变器停止工作时起，到电网直接供电时止或从电网直接供电起到恢复逆变器工作时止所需要的时间0ms。</w:t>
      </w:r>
    </w:p>
    <w:p>
      <w:pPr>
        <w:tabs>
          <w:tab w:val="left" w:pos="1920"/>
        </w:tabs>
        <w:spacing w:line="360" w:lineRule="auto"/>
        <w:ind w:left="1440" w:leftChars="600" w:right="-180" w:rightChars="-75" w:firstLine="0"/>
        <w:rPr>
          <w:color w:val="auto"/>
          <w:szCs w:val="24"/>
          <w:highlight w:val="none"/>
        </w:rPr>
      </w:pPr>
      <w:r>
        <w:rPr>
          <w:rFonts w:hint="eastAsia"/>
          <w:color w:val="auto"/>
          <w:szCs w:val="24"/>
          <w:highlight w:val="none"/>
        </w:rPr>
        <w:t>31.设备监控性能：设备应能提供全中文监控及操作界面，采用液晶彩色触摸屏，单屏可管理单机、并机供配电系统，显示配电模拟图。能够动态实时显示运行状态、输入输出电压、电流以及故障告警信息等。</w:t>
      </w:r>
    </w:p>
    <w:p>
      <w:pPr>
        <w:tabs>
          <w:tab w:val="left" w:pos="1920"/>
        </w:tabs>
        <w:spacing w:line="360" w:lineRule="auto"/>
        <w:ind w:left="1440" w:leftChars="600" w:right="-180" w:rightChars="-75" w:firstLine="0"/>
        <w:rPr>
          <w:color w:val="auto"/>
          <w:szCs w:val="24"/>
          <w:highlight w:val="none"/>
        </w:rPr>
      </w:pPr>
      <w:r>
        <w:rPr>
          <w:rFonts w:hint="eastAsia"/>
          <w:color w:val="auto"/>
          <w:szCs w:val="24"/>
          <w:highlight w:val="none"/>
        </w:rPr>
        <w:t>32.电池管理功能UPS系统应支持电池节数可调，具有定期对电池组进行自动浮充、均充转换、自动温度补偿、电池组放电及记录功能。</w:t>
      </w:r>
    </w:p>
    <w:p>
      <w:pPr>
        <w:tabs>
          <w:tab w:val="left" w:pos="1920"/>
        </w:tabs>
        <w:spacing w:line="360" w:lineRule="auto"/>
        <w:ind w:left="1440" w:leftChars="600" w:right="-180" w:rightChars="-75" w:firstLine="0"/>
        <w:rPr>
          <w:color w:val="auto"/>
          <w:szCs w:val="24"/>
          <w:highlight w:val="none"/>
        </w:rPr>
      </w:pPr>
      <w:r>
        <w:rPr>
          <w:rFonts w:hint="eastAsia"/>
          <w:color w:val="auto"/>
          <w:szCs w:val="24"/>
          <w:highlight w:val="none"/>
        </w:rPr>
        <w:t>33.系统应具有三遥性能：遥测项目：三相输入电压，直流输入电压，三相输出电压，三相输出电流，输出频率；遥信项目：同步/不同步状态，UPS/旁路供电，蓄电池放电电压低，市电故障，整流器故障，逆变器故障，旁路故障；对遥信项目，要求设备能够对每一类故障或状态提供继电器干接点。</w:t>
      </w:r>
    </w:p>
    <w:p>
      <w:pPr>
        <w:tabs>
          <w:tab w:val="left" w:pos="1920"/>
        </w:tabs>
        <w:spacing w:line="360" w:lineRule="auto"/>
        <w:ind w:left="1440" w:leftChars="600" w:right="-180" w:rightChars="-75" w:firstLine="0"/>
        <w:rPr>
          <w:color w:val="auto"/>
          <w:szCs w:val="24"/>
          <w:highlight w:val="none"/>
        </w:rPr>
      </w:pPr>
      <w:r>
        <w:rPr>
          <w:rFonts w:hint="eastAsia"/>
          <w:color w:val="auto"/>
          <w:szCs w:val="24"/>
          <w:highlight w:val="none"/>
        </w:rPr>
        <w:t>34.系统应具备通信接口：UPS系统应具备RS232或RS485/422、SNMP通讯口，并提供与通信接口配套使用的通信线缆和各种告警信号输出端子，通信协议应符合电网交1999(625)号文《通信局（站）电源、空调及环境集中监控管理系统前端智能设备通讯协议》要求，系统应具有下列主要功能：实时监控UPS的工作状态：系统正常工作方式/电池逆变/旁路供电、过载、蓄电池放电电压低、蓄电池充放电状态、市电故障、功率模块状态（正常/故障退出）、UPS系统故障和运行状态记录；设备运行参数的设置：设备应具有智能判断功能，对于超常规的参数设置（错误命令），应能自动拒绝。</w:t>
      </w:r>
    </w:p>
    <w:p>
      <w:pPr>
        <w:tabs>
          <w:tab w:val="left" w:pos="1920"/>
        </w:tabs>
        <w:spacing w:line="360" w:lineRule="auto"/>
        <w:ind w:left="1440" w:leftChars="600" w:right="-180" w:rightChars="-75" w:firstLine="0"/>
        <w:rPr>
          <w:color w:val="auto"/>
          <w:szCs w:val="24"/>
          <w:highlight w:val="none"/>
        </w:rPr>
      </w:pPr>
      <w:r>
        <w:rPr>
          <w:rFonts w:hint="eastAsia"/>
          <w:color w:val="auto"/>
          <w:szCs w:val="24"/>
          <w:highlight w:val="none"/>
        </w:rPr>
        <w:t>35.准确度：对三遥量：开关量准确度应达到  100%；模拟量精确度应达到直流电压误差≤0.5%；其它电量误差≤2%；非电量误差≤5%。设备显示面板或表头显示值应与从通信接口读出的三遥量值保持一致。</w:t>
      </w:r>
    </w:p>
    <w:p>
      <w:pPr>
        <w:tabs>
          <w:tab w:val="left" w:pos="1920"/>
        </w:tabs>
        <w:spacing w:line="360" w:lineRule="auto"/>
        <w:ind w:left="1440" w:leftChars="600" w:right="-180" w:rightChars="-75" w:firstLine="0"/>
        <w:rPr>
          <w:color w:val="auto"/>
          <w:szCs w:val="24"/>
          <w:highlight w:val="none"/>
        </w:rPr>
      </w:pPr>
      <w:r>
        <w:rPr>
          <w:rFonts w:hint="eastAsia"/>
          <w:color w:val="auto"/>
          <w:szCs w:val="24"/>
          <w:highlight w:val="none"/>
        </w:rPr>
        <w:t>36.外观工艺、检查：机柜表面喷涂均匀、无破损；信号灯、开关、测量显示装置布局合理。</w:t>
      </w:r>
    </w:p>
    <w:p>
      <w:pPr>
        <w:tabs>
          <w:tab w:val="left" w:pos="1920"/>
        </w:tabs>
        <w:spacing w:line="360" w:lineRule="auto"/>
        <w:ind w:left="1440" w:leftChars="600" w:right="-180" w:rightChars="-75" w:firstLine="0"/>
        <w:rPr>
          <w:color w:val="auto"/>
          <w:szCs w:val="24"/>
          <w:highlight w:val="none"/>
        </w:rPr>
      </w:pPr>
      <w:r>
        <w:rPr>
          <w:rFonts w:hint="eastAsia"/>
          <w:color w:val="auto"/>
          <w:szCs w:val="24"/>
          <w:highlight w:val="none"/>
        </w:rPr>
        <w:t>37.结构工艺：部件排列合理、整齐；导线颜色和截面合理，布放平整，编号合理；接插件牢固；电源进出线符合工程需要；维修安全及方便；</w:t>
      </w:r>
    </w:p>
    <w:p>
      <w:pPr>
        <w:tabs>
          <w:tab w:val="left" w:pos="1920"/>
        </w:tabs>
        <w:spacing w:line="360" w:lineRule="auto"/>
        <w:ind w:left="1440" w:leftChars="600" w:right="-180" w:rightChars="-75" w:firstLine="0"/>
        <w:rPr>
          <w:color w:val="auto"/>
          <w:szCs w:val="24"/>
          <w:highlight w:val="none"/>
        </w:rPr>
      </w:pPr>
      <w:r>
        <w:rPr>
          <w:rFonts w:hint="eastAsia"/>
          <w:color w:val="auto"/>
          <w:szCs w:val="24"/>
          <w:highlight w:val="none"/>
        </w:rPr>
        <w:t>38.具备抗震措施。</w:t>
      </w:r>
    </w:p>
    <w:p>
      <w:pPr>
        <w:tabs>
          <w:tab w:val="left" w:pos="1920"/>
        </w:tabs>
        <w:spacing w:line="360" w:lineRule="auto"/>
        <w:ind w:left="1440" w:leftChars="600" w:right="-180" w:rightChars="-75" w:firstLine="0"/>
        <w:rPr>
          <w:color w:val="auto"/>
          <w:szCs w:val="24"/>
          <w:highlight w:val="none"/>
        </w:rPr>
      </w:pPr>
      <w:r>
        <w:rPr>
          <w:rFonts w:hint="eastAsia"/>
          <w:color w:val="auto"/>
          <w:szCs w:val="24"/>
          <w:highlight w:val="none"/>
        </w:rPr>
        <w:t>49.为方便设备维护，缩短设备维护时间，同时降低设备内部环流，提高系统可用性。</w:t>
      </w:r>
    </w:p>
    <w:p>
      <w:pPr>
        <w:tabs>
          <w:tab w:val="left" w:pos="1920"/>
        </w:tabs>
        <w:spacing w:line="360" w:lineRule="auto"/>
        <w:ind w:left="1440" w:leftChars="600" w:right="-180" w:rightChars="-75" w:firstLine="0"/>
        <w:rPr>
          <w:color w:val="auto"/>
          <w:szCs w:val="24"/>
          <w:highlight w:val="none"/>
        </w:rPr>
      </w:pPr>
      <w:r>
        <w:rPr>
          <w:rFonts w:hint="eastAsia"/>
          <w:color w:val="auto"/>
          <w:szCs w:val="24"/>
          <w:highlight w:val="none"/>
        </w:rPr>
        <w:t>40.机架组装：有防振加固安装孔，接地应用铜质螺母，其直径≥M8。</w:t>
      </w:r>
    </w:p>
    <w:p>
      <w:pPr>
        <w:tabs>
          <w:tab w:val="left" w:pos="1920"/>
        </w:tabs>
        <w:spacing w:line="360" w:lineRule="auto"/>
        <w:ind w:left="1440" w:leftChars="600" w:right="-180" w:rightChars="-75" w:firstLine="0"/>
        <w:rPr>
          <w:color w:val="auto"/>
          <w:szCs w:val="24"/>
          <w:highlight w:val="none"/>
        </w:rPr>
      </w:pPr>
      <w:r>
        <w:rPr>
          <w:rFonts w:hint="eastAsia"/>
          <w:color w:val="auto"/>
          <w:szCs w:val="24"/>
          <w:highlight w:val="none"/>
        </w:rPr>
        <w:t>41.标牌、标记：应平整清晰。</w:t>
      </w:r>
    </w:p>
    <w:p>
      <w:pPr>
        <w:tabs>
          <w:tab w:val="left" w:pos="1920"/>
        </w:tabs>
        <w:spacing w:line="360" w:lineRule="auto"/>
        <w:ind w:left="1440" w:leftChars="600" w:right="-180" w:rightChars="-75" w:firstLine="0"/>
        <w:rPr>
          <w:color w:val="auto"/>
          <w:szCs w:val="24"/>
          <w:highlight w:val="none"/>
        </w:rPr>
      </w:pPr>
      <w:r>
        <w:rPr>
          <w:rFonts w:hint="eastAsia"/>
          <w:color w:val="auto"/>
          <w:szCs w:val="24"/>
          <w:highlight w:val="none"/>
        </w:rPr>
        <w:t>42.UPS系统的电池满载后备时间不少于60分钟。</w:t>
      </w:r>
    </w:p>
    <w:p>
      <w:pPr>
        <w:tabs>
          <w:tab w:val="left" w:pos="1920"/>
        </w:tabs>
        <w:spacing w:line="360" w:lineRule="auto"/>
        <w:ind w:left="1440" w:leftChars="600" w:right="-180" w:rightChars="-75" w:firstLine="0"/>
        <w:rPr>
          <w:color w:val="auto"/>
          <w:szCs w:val="24"/>
          <w:highlight w:val="none"/>
        </w:rPr>
      </w:pPr>
      <w:r>
        <w:rPr>
          <w:rFonts w:hint="eastAsia"/>
          <w:color w:val="auto"/>
          <w:szCs w:val="24"/>
          <w:highlight w:val="none"/>
        </w:rPr>
        <w:t>43.UPS采用12V免维护铅酸蓄电池，蓄电池浮充设计寿命不低于12年。</w:t>
      </w:r>
    </w:p>
    <w:p>
      <w:pPr>
        <w:tabs>
          <w:tab w:val="left" w:pos="1920"/>
        </w:tabs>
        <w:spacing w:line="360" w:lineRule="auto"/>
        <w:ind w:left="1440" w:leftChars="600" w:right="-180" w:rightChars="-75" w:firstLine="0"/>
        <w:rPr>
          <w:color w:val="auto"/>
          <w:szCs w:val="24"/>
          <w:highlight w:val="none"/>
        </w:rPr>
      </w:pPr>
      <w:r>
        <w:rPr>
          <w:rFonts w:hint="eastAsia"/>
          <w:color w:val="auto"/>
          <w:szCs w:val="24"/>
          <w:highlight w:val="none"/>
        </w:rPr>
        <w:t>44.产品外观要求：蓄电池标志清晰，外观不得有变形、漏液、裂纹及污迹。</w:t>
      </w:r>
    </w:p>
    <w:p>
      <w:pPr>
        <w:tabs>
          <w:tab w:val="left" w:pos="1920"/>
        </w:tabs>
        <w:spacing w:line="360" w:lineRule="auto"/>
        <w:ind w:left="1440" w:leftChars="600" w:right="-180" w:rightChars="-75" w:firstLine="0"/>
        <w:rPr>
          <w:color w:val="auto"/>
          <w:szCs w:val="24"/>
          <w:highlight w:val="none"/>
        </w:rPr>
      </w:pPr>
      <w:r>
        <w:rPr>
          <w:rFonts w:hint="eastAsia"/>
          <w:color w:val="auto"/>
          <w:szCs w:val="24"/>
          <w:highlight w:val="none"/>
        </w:rPr>
        <w:t>45.电池容量保存率：在温度为25℃时蓄电池静置28天后，功率保存率应不低于92%，需提供第三方检测报告。</w:t>
      </w:r>
    </w:p>
    <w:p>
      <w:pPr>
        <w:tabs>
          <w:tab w:val="left" w:pos="1920"/>
        </w:tabs>
        <w:spacing w:line="360" w:lineRule="auto"/>
        <w:ind w:left="1440" w:leftChars="600" w:right="-180" w:rightChars="-75" w:firstLine="0"/>
        <w:rPr>
          <w:color w:val="auto"/>
          <w:szCs w:val="24"/>
          <w:highlight w:val="none"/>
        </w:rPr>
      </w:pPr>
      <w:r>
        <w:rPr>
          <w:rFonts w:hint="eastAsia"/>
          <w:color w:val="auto"/>
          <w:szCs w:val="24"/>
          <w:highlight w:val="none"/>
        </w:rPr>
        <w:t>46. 电池密封反应效率：蓄电池密封反应效率应不低于96%。</w:t>
      </w:r>
    </w:p>
    <w:p>
      <w:pPr>
        <w:tabs>
          <w:tab w:val="left" w:pos="1920"/>
        </w:tabs>
        <w:spacing w:line="360" w:lineRule="auto"/>
        <w:ind w:left="1440" w:leftChars="600" w:right="-180" w:rightChars="-75" w:firstLine="0"/>
        <w:rPr>
          <w:color w:val="auto"/>
          <w:szCs w:val="24"/>
          <w:highlight w:val="none"/>
        </w:rPr>
      </w:pPr>
      <w:r>
        <w:rPr>
          <w:rFonts w:hint="eastAsia"/>
          <w:color w:val="auto"/>
          <w:szCs w:val="24"/>
          <w:highlight w:val="none"/>
        </w:rPr>
        <w:t>47.蓄电池安全阀开阀压力范围：10～35kPa，闭阀压力范围：3～30kPa。</w:t>
      </w:r>
    </w:p>
    <w:p>
      <w:pPr>
        <w:pStyle w:val="8"/>
        <w:ind w:left="1134" w:right="-180" w:rightChars="-75" w:hanging="708"/>
        <w:rPr>
          <w:color w:val="auto"/>
          <w:highlight w:val="none"/>
        </w:rPr>
      </w:pPr>
      <w:r>
        <w:rPr>
          <w:color w:val="auto"/>
          <w:highlight w:val="none"/>
        </w:rPr>
        <w:t>3</w:t>
      </w:r>
      <w:r>
        <w:rPr>
          <w:rFonts w:hint="eastAsia"/>
          <w:color w:val="auto"/>
          <w:highlight w:val="none"/>
        </w:rPr>
        <w:t>）</w:t>
      </w:r>
      <w:r>
        <w:rPr>
          <w:color w:val="auto"/>
          <w:highlight w:val="none"/>
        </w:rPr>
        <w:t>.</w:t>
      </w:r>
      <w:r>
        <w:rPr>
          <w:rFonts w:hint="eastAsia"/>
          <w:color w:val="auto"/>
          <w:highlight w:val="none"/>
        </w:rPr>
        <w:t>配电柜系统技术要求</w:t>
      </w:r>
    </w:p>
    <w:p>
      <w:pPr>
        <w:pStyle w:val="48"/>
        <w:numPr>
          <w:ilvl w:val="255"/>
          <w:numId w:val="0"/>
        </w:numPr>
        <w:spacing w:line="360" w:lineRule="auto"/>
        <w:ind w:left="426" w:right="-180" w:rightChars="-75"/>
        <w:rPr>
          <w:rFonts w:ascii="宋体" w:hAnsi="宋体" w:eastAsia="宋体" w:cs="宋体"/>
          <w:sz w:val="24"/>
          <w:szCs w:val="24"/>
          <w:highlight w:val="none"/>
        </w:rPr>
      </w:pPr>
      <w:r>
        <w:rPr>
          <w:rFonts w:hint="eastAsia" w:ascii="宋体" w:hAnsi="宋体" w:eastAsia="宋体" w:cs="宋体"/>
          <w:sz w:val="24"/>
          <w:szCs w:val="24"/>
          <w:highlight w:val="none"/>
        </w:rPr>
        <w:t>(1)基本要求</w:t>
      </w:r>
    </w:p>
    <w:p>
      <w:pPr>
        <w:pStyle w:val="48"/>
        <w:spacing w:line="360" w:lineRule="auto"/>
        <w:ind w:left="734" w:right="-180" w:rightChars="-75" w:hanging="308" w:firstLineChars="0"/>
        <w:rPr>
          <w:rFonts w:ascii="宋体" w:hAnsi="宋体" w:eastAsia="宋体" w:cs="宋体"/>
          <w:sz w:val="24"/>
          <w:szCs w:val="24"/>
          <w:highlight w:val="none"/>
        </w:rPr>
      </w:pPr>
      <w:r>
        <w:rPr>
          <w:rFonts w:hint="eastAsia" w:ascii="宋体" w:hAnsi="宋体" w:eastAsia="宋体" w:cs="宋体"/>
          <w:sz w:val="24"/>
          <w:szCs w:val="24"/>
          <w:highlight w:val="none"/>
        </w:rPr>
        <w:t>1.投标人需负责提供为使设备达到安全可靠的运行，所有必需的配件及辅助设施，并保证设备在各方面均能达到正常运行的要求。</w:t>
      </w:r>
    </w:p>
    <w:p>
      <w:pPr>
        <w:pStyle w:val="48"/>
        <w:spacing w:line="360" w:lineRule="auto"/>
        <w:ind w:left="734" w:right="-180" w:rightChars="-75" w:hanging="308" w:firstLineChars="0"/>
        <w:rPr>
          <w:rFonts w:ascii="宋体" w:hAnsi="宋体" w:eastAsia="宋体" w:cs="宋体"/>
          <w:sz w:val="24"/>
          <w:szCs w:val="24"/>
          <w:highlight w:val="none"/>
        </w:rPr>
      </w:pPr>
      <w:r>
        <w:rPr>
          <w:rFonts w:hint="eastAsia" w:ascii="宋体" w:hAnsi="宋体" w:eastAsia="宋体" w:cs="宋体"/>
          <w:sz w:val="24"/>
          <w:szCs w:val="24"/>
          <w:highlight w:val="none"/>
        </w:rPr>
        <w:t>2.各类柜体的外形尺寸、颜色应与用户具体订货要求一致。</w:t>
      </w:r>
    </w:p>
    <w:p>
      <w:pPr>
        <w:pStyle w:val="48"/>
        <w:spacing w:line="360" w:lineRule="auto"/>
        <w:ind w:left="734" w:right="-180" w:rightChars="-75" w:hanging="308" w:firstLineChars="0"/>
        <w:rPr>
          <w:rFonts w:ascii="宋体" w:hAnsi="宋体" w:eastAsia="宋体" w:cs="宋体"/>
          <w:sz w:val="24"/>
          <w:szCs w:val="24"/>
          <w:highlight w:val="none"/>
        </w:rPr>
      </w:pPr>
      <w:r>
        <w:rPr>
          <w:rFonts w:hint="eastAsia" w:ascii="宋体" w:hAnsi="宋体" w:eastAsia="宋体" w:cs="宋体"/>
          <w:sz w:val="24"/>
          <w:szCs w:val="24"/>
          <w:highlight w:val="none"/>
        </w:rPr>
        <w:t>3.设备安装运行后应具有标记牌，标记牌上应注明容量、操作特性及序号，所有设备应具有可靠的安全措施，以防止意外和设备损坏。</w:t>
      </w:r>
    </w:p>
    <w:p>
      <w:pPr>
        <w:pStyle w:val="48"/>
        <w:spacing w:line="360" w:lineRule="auto"/>
        <w:ind w:left="734" w:right="-180" w:rightChars="-75" w:hanging="308" w:firstLineChars="0"/>
        <w:rPr>
          <w:rFonts w:ascii="宋体" w:hAnsi="宋体" w:eastAsia="宋体" w:cs="宋体"/>
          <w:sz w:val="24"/>
          <w:szCs w:val="24"/>
          <w:highlight w:val="none"/>
        </w:rPr>
      </w:pPr>
      <w:r>
        <w:rPr>
          <w:rFonts w:hint="eastAsia" w:ascii="宋体" w:hAnsi="宋体" w:eastAsia="宋体" w:cs="宋体"/>
          <w:sz w:val="24"/>
          <w:szCs w:val="24"/>
          <w:highlight w:val="none"/>
        </w:rPr>
        <w:t>4.配电柜主要元器件规格不得低于招标图纸的要求。</w:t>
      </w:r>
    </w:p>
    <w:p>
      <w:pPr>
        <w:pStyle w:val="48"/>
        <w:spacing w:line="360" w:lineRule="auto"/>
        <w:ind w:left="734" w:right="-180" w:rightChars="-75" w:hanging="308" w:firstLineChars="0"/>
        <w:rPr>
          <w:rFonts w:ascii="宋体" w:hAnsi="宋体" w:eastAsia="宋体" w:cs="宋体"/>
          <w:sz w:val="24"/>
          <w:szCs w:val="24"/>
          <w:highlight w:val="none"/>
        </w:rPr>
      </w:pPr>
      <w:r>
        <w:rPr>
          <w:rFonts w:hint="eastAsia" w:ascii="宋体" w:hAnsi="宋体" w:eastAsia="宋体" w:cs="宋体"/>
          <w:sz w:val="24"/>
          <w:szCs w:val="24"/>
          <w:highlight w:val="none"/>
        </w:rPr>
        <w:t>5.设备的结构设计应保持操作，运行安全可靠、维修和检查方便，各电气元件动作时产生的热量、电弧、冲击、振动、磁场或电场不得影响其他电器元件的正常工作。</w:t>
      </w:r>
    </w:p>
    <w:p>
      <w:pPr>
        <w:pStyle w:val="48"/>
        <w:spacing w:line="360" w:lineRule="auto"/>
        <w:ind w:left="734" w:right="-180" w:rightChars="-75" w:hanging="308" w:firstLineChars="0"/>
        <w:rPr>
          <w:rFonts w:ascii="宋体" w:hAnsi="宋体" w:eastAsia="宋体" w:cs="宋体"/>
          <w:sz w:val="24"/>
          <w:szCs w:val="24"/>
          <w:highlight w:val="none"/>
        </w:rPr>
      </w:pPr>
      <w:r>
        <w:rPr>
          <w:rFonts w:hint="eastAsia" w:ascii="宋体" w:hAnsi="宋体" w:eastAsia="宋体" w:cs="宋体"/>
          <w:sz w:val="24"/>
          <w:szCs w:val="24"/>
          <w:highlight w:val="none"/>
        </w:rPr>
        <w:t>6.各部件应设置得当，在安装和维护中需要接触到的所有部件都应该容易接触，内部各部件之间应具有足够的安全间距，保证使用安全。</w:t>
      </w:r>
    </w:p>
    <w:p>
      <w:pPr>
        <w:pStyle w:val="48"/>
        <w:spacing w:line="360" w:lineRule="auto"/>
        <w:ind w:left="734" w:right="-180" w:rightChars="-75" w:hanging="308" w:firstLineChars="0"/>
        <w:rPr>
          <w:rFonts w:ascii="宋体" w:hAnsi="宋体" w:eastAsia="宋体" w:cs="宋体"/>
          <w:sz w:val="24"/>
          <w:szCs w:val="24"/>
          <w:highlight w:val="none"/>
        </w:rPr>
      </w:pPr>
      <w:r>
        <w:rPr>
          <w:rFonts w:hint="eastAsia" w:ascii="宋体" w:hAnsi="宋体" w:eastAsia="宋体" w:cs="宋体"/>
          <w:sz w:val="24"/>
          <w:szCs w:val="24"/>
          <w:highlight w:val="none"/>
        </w:rPr>
        <w:t>7.设备及其附属部件、涂覆层、标志、饰物等均应采用难燃或不燃材料。</w:t>
      </w:r>
    </w:p>
    <w:p>
      <w:pPr>
        <w:pStyle w:val="48"/>
        <w:spacing w:line="360" w:lineRule="auto"/>
        <w:ind w:left="734" w:right="-180" w:rightChars="-75" w:hanging="308" w:firstLineChars="0"/>
        <w:rPr>
          <w:rFonts w:ascii="宋体" w:hAnsi="宋体" w:eastAsia="宋体" w:cs="宋体"/>
          <w:sz w:val="24"/>
          <w:szCs w:val="24"/>
          <w:highlight w:val="none"/>
        </w:rPr>
      </w:pPr>
      <w:r>
        <w:rPr>
          <w:rFonts w:hint="eastAsia" w:ascii="宋体" w:hAnsi="宋体" w:eastAsia="宋体" w:cs="宋体"/>
          <w:sz w:val="24"/>
          <w:szCs w:val="24"/>
          <w:highlight w:val="none"/>
        </w:rPr>
        <w:t>8.配电柜内应有足够的电缆接线空间、接线固定孔位及操作空间。</w:t>
      </w:r>
    </w:p>
    <w:p>
      <w:pPr>
        <w:pStyle w:val="48"/>
        <w:numPr>
          <w:ilvl w:val="255"/>
          <w:numId w:val="0"/>
        </w:numPr>
        <w:spacing w:line="360" w:lineRule="auto"/>
        <w:ind w:left="426" w:right="-180" w:rightChars="-75"/>
        <w:rPr>
          <w:rFonts w:ascii="宋体" w:hAnsi="宋体" w:eastAsia="宋体" w:cs="宋体"/>
          <w:sz w:val="24"/>
          <w:szCs w:val="24"/>
          <w:highlight w:val="none"/>
        </w:rPr>
      </w:pPr>
      <w:r>
        <w:rPr>
          <w:rFonts w:hint="eastAsia" w:ascii="宋体" w:hAnsi="宋体" w:eastAsia="宋体" w:cs="宋体"/>
          <w:sz w:val="24"/>
          <w:szCs w:val="24"/>
          <w:highlight w:val="none"/>
        </w:rPr>
        <w:t>(2)基本参数</w:t>
      </w:r>
    </w:p>
    <w:p>
      <w:pPr>
        <w:pStyle w:val="48"/>
        <w:spacing w:line="360" w:lineRule="auto"/>
        <w:ind w:left="734" w:right="-180" w:rightChars="-75" w:hanging="308" w:firstLineChars="0"/>
        <w:rPr>
          <w:rFonts w:ascii="宋体" w:hAnsi="宋体" w:eastAsia="宋体" w:cs="宋体"/>
          <w:sz w:val="24"/>
          <w:szCs w:val="24"/>
          <w:highlight w:val="none"/>
        </w:rPr>
      </w:pPr>
      <w:r>
        <w:rPr>
          <w:rFonts w:hint="eastAsia" w:ascii="宋体" w:hAnsi="宋体" w:eastAsia="宋体" w:cs="宋体"/>
          <w:sz w:val="24"/>
          <w:szCs w:val="24"/>
          <w:highlight w:val="none"/>
        </w:rPr>
        <w:t>1.环境温度：0-40℃。</w:t>
      </w:r>
    </w:p>
    <w:p>
      <w:pPr>
        <w:pStyle w:val="48"/>
        <w:spacing w:line="360" w:lineRule="auto"/>
        <w:ind w:left="734" w:right="-180" w:rightChars="-75" w:hanging="308" w:firstLineChars="0"/>
        <w:rPr>
          <w:rFonts w:ascii="宋体" w:hAnsi="宋体" w:eastAsia="宋体" w:cs="宋体"/>
          <w:sz w:val="24"/>
          <w:szCs w:val="24"/>
          <w:highlight w:val="none"/>
        </w:rPr>
      </w:pPr>
      <w:r>
        <w:rPr>
          <w:rFonts w:hint="eastAsia" w:ascii="宋体" w:hAnsi="宋体" w:eastAsia="宋体" w:cs="宋体"/>
          <w:sz w:val="24"/>
          <w:szCs w:val="24"/>
          <w:highlight w:val="none"/>
        </w:rPr>
        <w:t>2.相对湿度：≤95%（25℃，无凝露）。</w:t>
      </w:r>
    </w:p>
    <w:p>
      <w:pPr>
        <w:pStyle w:val="48"/>
        <w:spacing w:line="360" w:lineRule="auto"/>
        <w:ind w:left="734" w:right="-180" w:rightChars="-75" w:hanging="308" w:firstLineChars="0"/>
        <w:rPr>
          <w:rFonts w:ascii="宋体" w:hAnsi="宋体" w:eastAsia="宋体" w:cs="宋体"/>
          <w:sz w:val="24"/>
          <w:szCs w:val="24"/>
          <w:highlight w:val="none"/>
        </w:rPr>
      </w:pPr>
      <w:r>
        <w:rPr>
          <w:rFonts w:hint="eastAsia" w:ascii="宋体" w:hAnsi="宋体" w:eastAsia="宋体" w:cs="宋体"/>
          <w:sz w:val="24"/>
          <w:szCs w:val="24"/>
          <w:highlight w:val="none"/>
        </w:rPr>
        <w:t>3.地震烈度：9（柜体应具备抗9级地震烈度的防护性能。提供由信息产业通信设备抗震性能质量监督检验中心出具的《检测报告》）。</w:t>
      </w:r>
    </w:p>
    <w:p>
      <w:pPr>
        <w:pStyle w:val="48"/>
        <w:spacing w:line="360" w:lineRule="auto"/>
        <w:ind w:left="734" w:right="-180" w:rightChars="-75" w:hanging="308" w:firstLineChars="0"/>
        <w:rPr>
          <w:rFonts w:ascii="宋体" w:hAnsi="宋体" w:eastAsia="宋体" w:cs="宋体"/>
          <w:sz w:val="24"/>
          <w:szCs w:val="24"/>
          <w:highlight w:val="none"/>
        </w:rPr>
      </w:pPr>
      <w:r>
        <w:rPr>
          <w:rFonts w:hint="eastAsia" w:ascii="宋体" w:hAnsi="宋体" w:eastAsia="宋体" w:cs="宋体"/>
          <w:sz w:val="24"/>
          <w:szCs w:val="24"/>
          <w:highlight w:val="none"/>
        </w:rPr>
        <w:t>4.无振动和颠簸，垂直倾斜不超过5度。</w:t>
      </w:r>
    </w:p>
    <w:p>
      <w:pPr>
        <w:pStyle w:val="48"/>
        <w:spacing w:line="360" w:lineRule="auto"/>
        <w:ind w:left="734" w:right="-180" w:rightChars="-75" w:hanging="308" w:firstLineChars="0"/>
        <w:rPr>
          <w:rFonts w:ascii="宋体" w:hAnsi="宋体" w:eastAsia="宋体" w:cs="宋体"/>
          <w:sz w:val="24"/>
          <w:szCs w:val="24"/>
          <w:highlight w:val="none"/>
        </w:rPr>
      </w:pPr>
      <w:r>
        <w:rPr>
          <w:rFonts w:hint="eastAsia" w:ascii="宋体" w:hAnsi="宋体" w:eastAsia="宋体" w:cs="宋体"/>
          <w:sz w:val="24"/>
          <w:szCs w:val="24"/>
          <w:highlight w:val="none"/>
        </w:rPr>
        <w:t>5.无导电、爆炸尘埃、无腐蚀金属和破坏绝缘的气体或蒸汽。</w:t>
      </w:r>
    </w:p>
    <w:p>
      <w:pPr>
        <w:pStyle w:val="48"/>
        <w:spacing w:line="360" w:lineRule="auto"/>
        <w:ind w:left="734" w:right="-180" w:rightChars="-75" w:hanging="308" w:firstLineChars="0"/>
        <w:rPr>
          <w:rFonts w:ascii="宋体" w:hAnsi="宋体" w:eastAsia="宋体" w:cs="宋体"/>
          <w:sz w:val="24"/>
          <w:szCs w:val="24"/>
          <w:highlight w:val="none"/>
        </w:rPr>
      </w:pPr>
      <w:bookmarkStart w:id="150" w:name="_Hlk105176353"/>
      <w:r>
        <w:rPr>
          <w:rFonts w:hint="eastAsia" w:ascii="宋体" w:hAnsi="宋体" w:eastAsia="宋体" w:cs="宋体"/>
          <w:sz w:val="24"/>
          <w:szCs w:val="24"/>
          <w:highlight w:val="none"/>
        </w:rPr>
        <w:t>6.额定工作电压： 380V。</w:t>
      </w:r>
    </w:p>
    <w:p>
      <w:pPr>
        <w:pStyle w:val="48"/>
        <w:spacing w:line="360" w:lineRule="auto"/>
        <w:ind w:left="734" w:right="-180" w:rightChars="-75" w:hanging="308" w:firstLineChars="0"/>
        <w:rPr>
          <w:rFonts w:ascii="宋体" w:hAnsi="宋体" w:eastAsia="宋体" w:cs="宋体"/>
          <w:sz w:val="24"/>
          <w:szCs w:val="24"/>
          <w:highlight w:val="none"/>
        </w:rPr>
      </w:pPr>
      <w:r>
        <w:rPr>
          <w:rFonts w:hint="eastAsia" w:ascii="宋体" w:hAnsi="宋体" w:eastAsia="宋体" w:cs="宋体"/>
          <w:sz w:val="24"/>
          <w:szCs w:val="24"/>
          <w:highlight w:val="none"/>
        </w:rPr>
        <w:t>7.额定频率： 50Hz。</w:t>
      </w:r>
    </w:p>
    <w:p>
      <w:pPr>
        <w:pStyle w:val="48"/>
        <w:spacing w:line="360" w:lineRule="auto"/>
        <w:ind w:left="734" w:right="-180" w:rightChars="-75" w:hanging="308" w:firstLineChars="0"/>
        <w:rPr>
          <w:rFonts w:ascii="宋体" w:hAnsi="宋体" w:eastAsia="宋体" w:cs="宋体"/>
          <w:sz w:val="24"/>
          <w:szCs w:val="24"/>
          <w:highlight w:val="none"/>
        </w:rPr>
      </w:pPr>
      <w:r>
        <w:rPr>
          <w:rFonts w:hint="eastAsia" w:ascii="宋体" w:hAnsi="宋体" w:eastAsia="宋体" w:cs="宋体"/>
          <w:sz w:val="24"/>
          <w:szCs w:val="24"/>
          <w:highlight w:val="none"/>
        </w:rPr>
        <w:t>8.相数：三相（三相五线制）。</w:t>
      </w:r>
    </w:p>
    <w:p>
      <w:pPr>
        <w:pStyle w:val="48"/>
        <w:spacing w:line="360" w:lineRule="auto"/>
        <w:ind w:left="734" w:right="-180" w:rightChars="-75" w:hanging="308" w:firstLineChars="0"/>
        <w:rPr>
          <w:rFonts w:ascii="宋体" w:hAnsi="宋体" w:eastAsia="宋体" w:cs="宋体"/>
          <w:sz w:val="24"/>
          <w:szCs w:val="24"/>
          <w:highlight w:val="none"/>
        </w:rPr>
      </w:pPr>
      <w:r>
        <w:rPr>
          <w:rFonts w:hint="eastAsia" w:ascii="宋体" w:hAnsi="宋体" w:eastAsia="宋体" w:cs="宋体"/>
          <w:sz w:val="24"/>
          <w:szCs w:val="24"/>
          <w:highlight w:val="none"/>
        </w:rPr>
        <w:t>9.垂直母线不小于柜内开关容量需求。</w:t>
      </w:r>
    </w:p>
    <w:p>
      <w:pPr>
        <w:pStyle w:val="48"/>
        <w:spacing w:line="360" w:lineRule="auto"/>
        <w:ind w:left="734" w:right="-180" w:rightChars="-75" w:hanging="308" w:firstLineChars="0"/>
        <w:rPr>
          <w:rFonts w:ascii="宋体" w:hAnsi="宋体" w:eastAsia="宋体" w:cs="宋体"/>
          <w:sz w:val="24"/>
          <w:szCs w:val="24"/>
          <w:highlight w:val="none"/>
        </w:rPr>
      </w:pPr>
      <w:r>
        <w:rPr>
          <w:rFonts w:hint="eastAsia" w:ascii="宋体" w:hAnsi="宋体" w:eastAsia="宋体" w:cs="宋体"/>
          <w:sz w:val="24"/>
          <w:szCs w:val="24"/>
          <w:highlight w:val="none"/>
        </w:rPr>
        <w:t>10.额定绝缘电压：≥660V。</w:t>
      </w:r>
    </w:p>
    <w:p>
      <w:pPr>
        <w:pStyle w:val="48"/>
        <w:spacing w:line="360" w:lineRule="auto"/>
        <w:ind w:left="734" w:right="-180" w:rightChars="-75" w:hanging="308" w:firstLineChars="0"/>
        <w:rPr>
          <w:rFonts w:ascii="宋体" w:hAnsi="宋体" w:eastAsia="宋体" w:cs="宋体"/>
          <w:sz w:val="24"/>
          <w:szCs w:val="24"/>
          <w:highlight w:val="none"/>
        </w:rPr>
      </w:pPr>
      <w:r>
        <w:rPr>
          <w:rFonts w:hint="eastAsia" w:ascii="宋体" w:hAnsi="宋体" w:eastAsia="宋体" w:cs="宋体"/>
          <w:sz w:val="24"/>
          <w:szCs w:val="24"/>
          <w:highlight w:val="none"/>
        </w:rPr>
        <w:t>11.工频耐受电压： 2.5kV。</w:t>
      </w:r>
    </w:p>
    <w:p>
      <w:pPr>
        <w:pStyle w:val="48"/>
        <w:spacing w:line="360" w:lineRule="auto"/>
        <w:ind w:left="734" w:right="-180" w:rightChars="-75" w:hanging="308" w:firstLineChars="0"/>
        <w:rPr>
          <w:rFonts w:ascii="宋体" w:hAnsi="宋体" w:eastAsia="宋体" w:cs="宋体"/>
          <w:sz w:val="24"/>
          <w:szCs w:val="24"/>
          <w:highlight w:val="none"/>
        </w:rPr>
      </w:pPr>
      <w:r>
        <w:rPr>
          <w:rFonts w:hint="eastAsia" w:ascii="宋体" w:hAnsi="宋体" w:eastAsia="宋体" w:cs="宋体"/>
          <w:sz w:val="24"/>
          <w:szCs w:val="24"/>
          <w:highlight w:val="none"/>
        </w:rPr>
        <w:t>12.雷电冲击耐受电压： 8kV。</w:t>
      </w:r>
    </w:p>
    <w:p>
      <w:pPr>
        <w:pStyle w:val="48"/>
        <w:spacing w:line="360" w:lineRule="auto"/>
        <w:ind w:left="734" w:right="-180" w:rightChars="-75" w:hanging="308" w:firstLineChars="0"/>
        <w:rPr>
          <w:rFonts w:ascii="宋体" w:hAnsi="宋体" w:eastAsia="宋体" w:cs="宋体"/>
          <w:sz w:val="24"/>
          <w:szCs w:val="24"/>
          <w:highlight w:val="none"/>
        </w:rPr>
      </w:pPr>
      <w:r>
        <w:rPr>
          <w:rFonts w:hint="eastAsia" w:ascii="宋体" w:hAnsi="宋体" w:eastAsia="宋体" w:cs="宋体"/>
          <w:sz w:val="24"/>
          <w:szCs w:val="24"/>
          <w:highlight w:val="none"/>
        </w:rPr>
        <w:t>13.保护电路有效性：0.1欧。</w:t>
      </w:r>
    </w:p>
    <w:p>
      <w:pPr>
        <w:pStyle w:val="48"/>
        <w:spacing w:line="360" w:lineRule="auto"/>
        <w:ind w:left="734" w:right="-180" w:rightChars="-75" w:hanging="308" w:firstLineChars="0"/>
        <w:rPr>
          <w:rFonts w:ascii="宋体" w:hAnsi="宋体" w:eastAsia="宋体" w:cs="宋体"/>
          <w:sz w:val="24"/>
          <w:szCs w:val="24"/>
          <w:highlight w:val="none"/>
        </w:rPr>
      </w:pPr>
      <w:r>
        <w:rPr>
          <w:rFonts w:hint="eastAsia" w:ascii="宋体" w:hAnsi="宋体" w:eastAsia="宋体" w:cs="宋体"/>
          <w:sz w:val="24"/>
          <w:szCs w:val="24"/>
          <w:highlight w:val="none"/>
        </w:rPr>
        <w:t xml:space="preserve">14.投标设备柜体结构要求采用固定分隔式结构，内部分隔型式需达到GB7251.1国家标准所要求的3b分隔类型。 </w:t>
      </w:r>
    </w:p>
    <w:p>
      <w:pPr>
        <w:pStyle w:val="48"/>
        <w:spacing w:line="360" w:lineRule="auto"/>
        <w:ind w:left="734" w:right="-180" w:rightChars="-75" w:hanging="308" w:firstLineChars="0"/>
        <w:rPr>
          <w:rFonts w:ascii="宋体" w:hAnsi="宋体" w:eastAsia="宋体" w:cs="宋体"/>
          <w:sz w:val="24"/>
          <w:szCs w:val="24"/>
          <w:highlight w:val="none"/>
        </w:rPr>
      </w:pPr>
      <w:r>
        <w:rPr>
          <w:rFonts w:hint="eastAsia" w:ascii="宋体" w:hAnsi="宋体" w:eastAsia="宋体" w:cs="宋体"/>
          <w:sz w:val="24"/>
          <w:szCs w:val="24"/>
          <w:highlight w:val="none"/>
        </w:rPr>
        <w:t>15.设备应采用金属框架柜式结构，柜体板材要求为进口覆铝锌板，厚度2.0mm. 门板采用冷轧钢板，厚度1.5mm。宽度大于600mm的机架前、后操作面门板需要加强或设置双扇门，不超过600mm的采用单扇门，需要时可拆卸。</w:t>
      </w:r>
    </w:p>
    <w:p>
      <w:pPr>
        <w:pStyle w:val="48"/>
        <w:spacing w:line="360" w:lineRule="auto"/>
        <w:ind w:left="734" w:right="-180" w:rightChars="-75" w:hanging="308" w:firstLineChars="0"/>
        <w:rPr>
          <w:rFonts w:ascii="宋体" w:hAnsi="宋体" w:eastAsia="宋体" w:cs="宋体"/>
          <w:sz w:val="24"/>
          <w:szCs w:val="24"/>
          <w:highlight w:val="none"/>
        </w:rPr>
      </w:pPr>
      <w:r>
        <w:rPr>
          <w:rFonts w:hint="eastAsia" w:ascii="宋体" w:hAnsi="宋体" w:eastAsia="宋体" w:cs="宋体"/>
          <w:sz w:val="24"/>
          <w:szCs w:val="24"/>
          <w:highlight w:val="none"/>
        </w:rPr>
        <w:t xml:space="preserve">16.为了确保镀层质量，所有结构件必须在原厂喷涂。  </w:t>
      </w:r>
    </w:p>
    <w:p>
      <w:pPr>
        <w:pStyle w:val="48"/>
        <w:spacing w:line="360" w:lineRule="auto"/>
        <w:ind w:left="734" w:right="-180" w:rightChars="-75" w:hanging="308" w:firstLineChars="0"/>
        <w:rPr>
          <w:rFonts w:ascii="宋体" w:hAnsi="宋体" w:eastAsia="宋体" w:cs="宋体"/>
          <w:sz w:val="24"/>
          <w:szCs w:val="24"/>
          <w:highlight w:val="none"/>
        </w:rPr>
      </w:pPr>
      <w:r>
        <w:rPr>
          <w:rFonts w:hint="eastAsia" w:ascii="宋体" w:hAnsi="宋体" w:eastAsia="宋体" w:cs="宋体"/>
          <w:sz w:val="24"/>
          <w:szCs w:val="24"/>
          <w:highlight w:val="none"/>
        </w:rPr>
        <w:t>17.设备的结构设计应保持操作，运行安全可靠、维修和检查方便，各电气元件动作时产生的热量、电弧、冲击、振动、磁场或电场不得影响其他电器元件的正常工作。</w:t>
      </w:r>
    </w:p>
    <w:p>
      <w:pPr>
        <w:pStyle w:val="48"/>
        <w:spacing w:line="360" w:lineRule="auto"/>
        <w:ind w:left="734" w:right="-180" w:rightChars="-75" w:hanging="308" w:firstLineChars="0"/>
        <w:rPr>
          <w:rFonts w:ascii="宋体" w:hAnsi="宋体" w:eastAsia="宋体" w:cs="宋体"/>
          <w:sz w:val="24"/>
          <w:szCs w:val="24"/>
          <w:highlight w:val="none"/>
        </w:rPr>
      </w:pPr>
      <w:r>
        <w:rPr>
          <w:rFonts w:hint="eastAsia" w:ascii="宋体" w:hAnsi="宋体" w:eastAsia="宋体" w:cs="宋体"/>
          <w:sz w:val="24"/>
          <w:szCs w:val="24"/>
          <w:highlight w:val="none"/>
        </w:rPr>
        <w:t>18.应采用全封闭结构，具有侧板、底板、顶板和前后门（单面列柜无后门，但应有背板），机柜的前门后门、左右挡板均可灵活拆卸，在机柜的前门（配门锁）应能观察到设备运行的状况；机柜正面侧需有二次防护面板；前门维护；结构件外形应平整，所有的焊接处应均匀、牢固、无裂缝、无残渣、无明显变形或烧穿等缺陷。产品采用能够耐受一定的机械、电气和热应力的材料制造，同时能耐受正常使用时可能遇到的潮湿的影响。</w:t>
      </w:r>
    </w:p>
    <w:p>
      <w:pPr>
        <w:pStyle w:val="48"/>
        <w:spacing w:line="360" w:lineRule="auto"/>
        <w:ind w:left="734" w:right="-180" w:rightChars="-75" w:hanging="308" w:firstLineChars="0"/>
        <w:rPr>
          <w:rFonts w:ascii="宋体" w:hAnsi="宋体" w:eastAsia="宋体" w:cs="宋体"/>
          <w:sz w:val="24"/>
          <w:szCs w:val="24"/>
          <w:highlight w:val="none"/>
        </w:rPr>
      </w:pPr>
      <w:r>
        <w:rPr>
          <w:rFonts w:hint="eastAsia" w:ascii="宋体" w:hAnsi="宋体" w:eastAsia="宋体" w:cs="宋体"/>
          <w:sz w:val="24"/>
          <w:szCs w:val="24"/>
          <w:highlight w:val="none"/>
        </w:rPr>
        <w:t>19.柜体母线应采用高导电率铜制导体。机架内一、二次连接铜排，铜导线均从正规厂家购买，铜排纯度达到99.97%及以上，并提供《中国有色金属工业产品质量监督检验中心检测报告》证明。</w:t>
      </w:r>
    </w:p>
    <w:p>
      <w:pPr>
        <w:pStyle w:val="48"/>
        <w:spacing w:line="360" w:lineRule="auto"/>
        <w:ind w:left="734" w:right="-180" w:rightChars="-75" w:hanging="308" w:firstLineChars="0"/>
        <w:rPr>
          <w:rFonts w:ascii="宋体" w:hAnsi="宋体" w:eastAsia="宋体" w:cs="宋体"/>
          <w:sz w:val="24"/>
          <w:szCs w:val="24"/>
          <w:highlight w:val="none"/>
        </w:rPr>
      </w:pPr>
      <w:r>
        <w:rPr>
          <w:rFonts w:hint="eastAsia" w:ascii="宋体" w:hAnsi="宋体" w:eastAsia="宋体" w:cs="宋体"/>
          <w:sz w:val="24"/>
          <w:szCs w:val="24"/>
          <w:highlight w:val="none"/>
        </w:rPr>
        <w:t>20.内部结构件和柜门全部由数控机床加工而成，精度高、互换性强</w:t>
      </w:r>
    </w:p>
    <w:p>
      <w:pPr>
        <w:pStyle w:val="48"/>
        <w:spacing w:line="360" w:lineRule="auto"/>
        <w:ind w:left="734" w:right="-180" w:rightChars="-75" w:hanging="308" w:firstLineChars="0"/>
        <w:rPr>
          <w:rFonts w:ascii="宋体" w:hAnsi="宋体" w:eastAsia="宋体" w:cs="宋体"/>
          <w:sz w:val="24"/>
          <w:szCs w:val="24"/>
          <w:highlight w:val="none"/>
        </w:rPr>
      </w:pPr>
      <w:r>
        <w:rPr>
          <w:rFonts w:hint="eastAsia" w:ascii="宋体" w:hAnsi="宋体" w:eastAsia="宋体" w:cs="宋体"/>
          <w:sz w:val="24"/>
          <w:szCs w:val="24"/>
          <w:highlight w:val="none"/>
        </w:rPr>
        <w:t>21.设备电缆的进、出线方式要求可灵活采用上下走线方式，进线孔应留有足够的空间位置，便于引入引出电缆。导线入口及出口处应设计成在导线安装好后，仍能达到规定的防护等级要求。</w:t>
      </w:r>
    </w:p>
    <w:p>
      <w:pPr>
        <w:pStyle w:val="48"/>
        <w:spacing w:line="360" w:lineRule="auto"/>
        <w:ind w:left="734" w:right="-180" w:rightChars="-75" w:hanging="308" w:firstLineChars="0"/>
        <w:rPr>
          <w:rFonts w:ascii="宋体" w:hAnsi="宋体" w:eastAsia="宋体" w:cs="宋体"/>
          <w:sz w:val="24"/>
          <w:szCs w:val="24"/>
          <w:highlight w:val="none"/>
        </w:rPr>
      </w:pPr>
      <w:r>
        <w:rPr>
          <w:rFonts w:hint="eastAsia" w:ascii="宋体" w:hAnsi="宋体" w:eastAsia="宋体" w:cs="宋体"/>
          <w:sz w:val="24"/>
          <w:szCs w:val="24"/>
          <w:highlight w:val="none"/>
        </w:rPr>
        <w:t>22.柜体底部提供开有电缆孔的底板，并带有阻燃特性材料制成的橡皮圈。</w:t>
      </w:r>
    </w:p>
    <w:p>
      <w:pPr>
        <w:pStyle w:val="48"/>
        <w:spacing w:line="360" w:lineRule="auto"/>
        <w:ind w:left="734" w:right="-180" w:rightChars="-75" w:hanging="308" w:firstLineChars="0"/>
        <w:rPr>
          <w:rFonts w:ascii="宋体" w:hAnsi="宋体" w:eastAsia="宋体" w:cs="宋体"/>
          <w:sz w:val="24"/>
          <w:szCs w:val="24"/>
          <w:highlight w:val="none"/>
        </w:rPr>
      </w:pPr>
      <w:r>
        <w:rPr>
          <w:rFonts w:hint="eastAsia" w:ascii="宋体" w:hAnsi="宋体" w:eastAsia="宋体" w:cs="宋体"/>
          <w:sz w:val="24"/>
          <w:szCs w:val="24"/>
          <w:highlight w:val="none"/>
        </w:rPr>
        <w:t>23.各部件应设置得当，在安装和维护中需要接触到的所有部件都应容易接触到。内部各部件之间应具有足够的安全隔距，应具有足够的空间布线，架内电力线可沿机架侧线缆固定条布放。架内铜排的设置应便于线缆连接。机柜前门与机柜边框应可靠连接。</w:t>
      </w:r>
    </w:p>
    <w:p>
      <w:pPr>
        <w:pStyle w:val="48"/>
        <w:spacing w:line="360" w:lineRule="auto"/>
        <w:ind w:left="734" w:right="-180" w:rightChars="-75" w:hanging="308" w:firstLineChars="0"/>
        <w:rPr>
          <w:rFonts w:ascii="宋体" w:hAnsi="宋体" w:eastAsia="宋体" w:cs="宋体"/>
          <w:sz w:val="24"/>
          <w:szCs w:val="24"/>
          <w:highlight w:val="none"/>
        </w:rPr>
      </w:pPr>
      <w:r>
        <w:rPr>
          <w:rFonts w:hint="eastAsia" w:ascii="宋体" w:hAnsi="宋体" w:eastAsia="宋体" w:cs="宋体"/>
          <w:sz w:val="24"/>
          <w:szCs w:val="24"/>
          <w:highlight w:val="none"/>
        </w:rPr>
        <w:t>24.外壳防护等级至少达到IP30。</w:t>
      </w:r>
    </w:p>
    <w:p>
      <w:pPr>
        <w:pStyle w:val="48"/>
        <w:spacing w:line="360" w:lineRule="auto"/>
        <w:ind w:left="734" w:right="-180" w:rightChars="-75" w:hanging="308" w:firstLineChars="0"/>
        <w:rPr>
          <w:rFonts w:ascii="宋体" w:hAnsi="宋体" w:eastAsia="宋体" w:cs="宋体"/>
          <w:sz w:val="24"/>
          <w:szCs w:val="24"/>
          <w:highlight w:val="none"/>
        </w:rPr>
      </w:pPr>
      <w:r>
        <w:rPr>
          <w:rFonts w:hint="eastAsia" w:ascii="宋体" w:hAnsi="宋体" w:eastAsia="宋体" w:cs="宋体"/>
          <w:sz w:val="24"/>
          <w:szCs w:val="24"/>
          <w:highlight w:val="none"/>
        </w:rPr>
        <w:t>25.每个回路的出线均应标注回路名称。</w:t>
      </w:r>
    </w:p>
    <w:p>
      <w:pPr>
        <w:pStyle w:val="48"/>
        <w:spacing w:line="360" w:lineRule="auto"/>
        <w:ind w:left="734" w:right="-180" w:rightChars="-75" w:hanging="308" w:firstLineChars="0"/>
        <w:rPr>
          <w:rFonts w:ascii="宋体" w:hAnsi="宋体" w:eastAsia="宋体" w:cs="宋体"/>
          <w:sz w:val="24"/>
          <w:szCs w:val="24"/>
          <w:highlight w:val="none"/>
        </w:rPr>
      </w:pPr>
      <w:r>
        <w:rPr>
          <w:rFonts w:hint="eastAsia" w:ascii="宋体" w:hAnsi="宋体" w:eastAsia="宋体" w:cs="宋体"/>
          <w:sz w:val="24"/>
          <w:szCs w:val="24"/>
          <w:highlight w:val="none"/>
        </w:rPr>
        <w:t>26.在中线、地线，及连接铜排上需开有模数孔用于电缆连接，安装位置应便于屏体进出线缆的接线维护。</w:t>
      </w:r>
    </w:p>
    <w:p>
      <w:pPr>
        <w:pStyle w:val="48"/>
        <w:spacing w:line="360" w:lineRule="auto"/>
        <w:ind w:left="734" w:right="-180" w:rightChars="-75" w:hanging="308" w:firstLineChars="0"/>
        <w:rPr>
          <w:rFonts w:ascii="宋体" w:hAnsi="宋体" w:eastAsia="宋体" w:cs="宋体"/>
          <w:sz w:val="24"/>
          <w:szCs w:val="24"/>
          <w:highlight w:val="none"/>
        </w:rPr>
      </w:pPr>
      <w:r>
        <w:rPr>
          <w:rFonts w:hint="eastAsia" w:ascii="宋体" w:hAnsi="宋体" w:eastAsia="宋体" w:cs="宋体"/>
          <w:sz w:val="24"/>
          <w:szCs w:val="24"/>
          <w:highlight w:val="none"/>
        </w:rPr>
        <w:t>27.柜内相线铜排应有清晰的相线标识指示。</w:t>
      </w:r>
    </w:p>
    <w:p>
      <w:pPr>
        <w:pStyle w:val="48"/>
        <w:spacing w:line="360" w:lineRule="auto"/>
        <w:ind w:left="734" w:right="-180" w:rightChars="-75" w:hanging="308" w:firstLineChars="0"/>
        <w:rPr>
          <w:rFonts w:ascii="宋体" w:hAnsi="宋体" w:eastAsia="宋体" w:cs="宋体"/>
          <w:sz w:val="24"/>
          <w:szCs w:val="24"/>
          <w:highlight w:val="none"/>
        </w:rPr>
      </w:pPr>
      <w:r>
        <w:rPr>
          <w:rFonts w:hint="eastAsia" w:ascii="宋体" w:hAnsi="宋体" w:eastAsia="宋体" w:cs="宋体"/>
          <w:sz w:val="24"/>
          <w:szCs w:val="24"/>
          <w:highlight w:val="none"/>
        </w:rPr>
        <w:t>28.机架内设有专用接地、接零端子排；外侧设接地螺栓。</w:t>
      </w:r>
    </w:p>
    <w:p>
      <w:pPr>
        <w:pStyle w:val="48"/>
        <w:spacing w:line="360" w:lineRule="auto"/>
        <w:ind w:left="734" w:right="-180" w:rightChars="-75" w:hanging="308" w:firstLineChars="0"/>
        <w:rPr>
          <w:rFonts w:ascii="宋体" w:hAnsi="宋体" w:eastAsia="宋体" w:cs="宋体"/>
          <w:sz w:val="24"/>
          <w:szCs w:val="24"/>
          <w:highlight w:val="none"/>
        </w:rPr>
      </w:pPr>
      <w:r>
        <w:rPr>
          <w:rFonts w:hint="eastAsia" w:ascii="宋体" w:hAnsi="宋体" w:eastAsia="宋体" w:cs="宋体"/>
          <w:sz w:val="24"/>
          <w:szCs w:val="24"/>
          <w:highlight w:val="none"/>
        </w:rPr>
        <w:t>29.柜体应适于现场吊运，进出线方式灵活，方便现场安装。</w:t>
      </w:r>
      <w:bookmarkEnd w:id="150"/>
    </w:p>
    <w:p>
      <w:pPr>
        <w:pStyle w:val="48"/>
        <w:numPr>
          <w:ilvl w:val="255"/>
          <w:numId w:val="0"/>
        </w:numPr>
        <w:spacing w:line="360" w:lineRule="auto"/>
        <w:ind w:left="426" w:right="-180" w:rightChars="-75"/>
        <w:rPr>
          <w:rFonts w:ascii="宋体" w:hAnsi="宋体" w:eastAsia="宋体" w:cs="宋体"/>
          <w:sz w:val="24"/>
          <w:szCs w:val="24"/>
          <w:highlight w:val="none"/>
        </w:rPr>
      </w:pPr>
      <w:r>
        <w:rPr>
          <w:rFonts w:hint="eastAsia" w:ascii="宋体" w:hAnsi="宋体" w:eastAsia="宋体" w:cs="宋体"/>
          <w:sz w:val="24"/>
          <w:szCs w:val="24"/>
          <w:highlight w:val="none"/>
        </w:rPr>
        <w:t>(3)器件要求</w:t>
      </w:r>
    </w:p>
    <w:p>
      <w:pPr>
        <w:pStyle w:val="48"/>
        <w:spacing w:line="360" w:lineRule="auto"/>
        <w:ind w:left="1134" w:right="-180" w:rightChars="-75" w:hanging="708" w:firstLineChars="0"/>
        <w:rPr>
          <w:rFonts w:ascii="宋体" w:hAnsi="宋体" w:eastAsia="宋体" w:cs="宋体"/>
          <w:sz w:val="24"/>
          <w:szCs w:val="24"/>
          <w:highlight w:val="none"/>
        </w:rPr>
      </w:pPr>
      <w:r>
        <w:rPr>
          <w:rFonts w:hint="eastAsia" w:ascii="宋体" w:hAnsi="宋体" w:eastAsia="宋体" w:cs="宋体"/>
          <w:sz w:val="24"/>
          <w:szCs w:val="24"/>
          <w:highlight w:val="none"/>
        </w:rPr>
        <w:t>1.断路器</w:t>
      </w:r>
    </w:p>
    <w:p>
      <w:pPr>
        <w:pStyle w:val="48"/>
        <w:spacing w:line="360" w:lineRule="auto"/>
        <w:ind w:left="734" w:right="-180" w:rightChars="-75" w:hanging="308" w:firstLineChars="0"/>
        <w:rPr>
          <w:rFonts w:hint="default" w:ascii="宋体" w:hAnsi="宋体" w:eastAsia="宋体" w:cs="宋体"/>
          <w:sz w:val="24"/>
          <w:szCs w:val="24"/>
          <w:highlight w:val="none"/>
          <w:lang w:val="en-US" w:eastAsia="zh-CN"/>
        </w:rPr>
      </w:pPr>
      <w:r>
        <w:rPr>
          <w:rFonts w:hint="eastAsia" w:ascii="宋体" w:hAnsi="宋体" w:eastAsia="宋体" w:cs="宋体"/>
          <w:sz w:val="24"/>
          <w:szCs w:val="24"/>
          <w:highlight w:val="none"/>
        </w:rPr>
        <w:t>1)投标设备同品牌断路器且符合以下技术要求，并符合IEC 60947国际标准和GB14048国家标准。</w:t>
      </w:r>
      <w:r>
        <w:rPr>
          <w:rFonts w:hint="eastAsia" w:ascii="宋体" w:hAnsi="宋体" w:eastAsia="宋体" w:cs="宋体"/>
          <w:sz w:val="24"/>
          <w:szCs w:val="24"/>
          <w:highlight w:val="none"/>
          <w:lang w:val="en-US" w:eastAsia="zh-CN"/>
        </w:rPr>
        <w:t>全系列断路器均需提供强制性认证符合性自我声明及型式试验报告，并提供原厂直供证明。</w:t>
      </w:r>
    </w:p>
    <w:p>
      <w:pPr>
        <w:pStyle w:val="48"/>
        <w:spacing w:line="360" w:lineRule="auto"/>
        <w:ind w:left="1134" w:right="-180" w:rightChars="-75" w:hanging="708" w:firstLineChars="0"/>
        <w:rPr>
          <w:rFonts w:ascii="宋体" w:hAnsi="宋体" w:eastAsia="宋体" w:cs="宋体"/>
          <w:sz w:val="24"/>
          <w:szCs w:val="24"/>
          <w:highlight w:val="none"/>
        </w:rPr>
      </w:pPr>
      <w:r>
        <w:rPr>
          <w:rFonts w:hint="eastAsia" w:ascii="宋体" w:hAnsi="宋体" w:eastAsia="宋体" w:cs="宋体"/>
          <w:sz w:val="24"/>
          <w:szCs w:val="24"/>
          <w:highlight w:val="none"/>
        </w:rPr>
        <w:t>2)器件的额定电压，额定电流，回路和极数均应符合图纸要求;</w:t>
      </w:r>
    </w:p>
    <w:p>
      <w:pPr>
        <w:pStyle w:val="48"/>
        <w:spacing w:line="360" w:lineRule="auto"/>
        <w:ind w:left="734" w:right="-180" w:rightChars="-75" w:hanging="308" w:firstLineChars="0"/>
        <w:rPr>
          <w:rFonts w:ascii="宋体" w:hAnsi="宋体" w:eastAsia="宋体" w:cs="宋体"/>
          <w:sz w:val="24"/>
          <w:szCs w:val="24"/>
          <w:highlight w:val="none"/>
        </w:rPr>
      </w:pPr>
      <w:r>
        <w:rPr>
          <w:rFonts w:hint="eastAsia" w:ascii="宋体" w:hAnsi="宋体" w:eastAsia="宋体" w:cs="宋体"/>
          <w:sz w:val="24"/>
          <w:szCs w:val="24"/>
          <w:highlight w:val="none"/>
        </w:rPr>
        <w:t xml:space="preserve">3)如无特殊说明， 1000A以上电流等级采用框架断路器，1000A及以下采用塑壳断路器，63A及以下采用微型断路器； </w:t>
      </w:r>
    </w:p>
    <w:p>
      <w:pPr>
        <w:pStyle w:val="48"/>
        <w:spacing w:line="360" w:lineRule="auto"/>
        <w:ind w:left="734" w:right="-180" w:rightChars="-75" w:hanging="308" w:firstLineChars="0"/>
        <w:rPr>
          <w:rFonts w:ascii="宋体" w:hAnsi="宋体" w:eastAsia="宋体" w:cs="宋体"/>
          <w:sz w:val="24"/>
          <w:szCs w:val="24"/>
          <w:highlight w:val="none"/>
        </w:rPr>
      </w:pPr>
      <w:r>
        <w:rPr>
          <w:rFonts w:hint="eastAsia" w:ascii="宋体" w:hAnsi="宋体" w:eastAsia="宋体" w:cs="宋体"/>
          <w:sz w:val="24"/>
          <w:szCs w:val="24"/>
          <w:highlight w:val="none"/>
        </w:rPr>
        <w:t xml:space="preserve">4)框架断路器采用抽出式结构，连接、试验、抽出的三个位置均可锁定；框架断路器额定短路分断能力不小于65kA； </w:t>
      </w:r>
    </w:p>
    <w:p>
      <w:pPr>
        <w:pStyle w:val="48"/>
        <w:spacing w:line="360" w:lineRule="auto"/>
        <w:ind w:left="734" w:right="-180" w:rightChars="-75" w:hanging="308" w:firstLineChars="0"/>
        <w:rPr>
          <w:rFonts w:ascii="宋体" w:hAnsi="宋体" w:eastAsia="宋体" w:cs="宋体"/>
          <w:sz w:val="24"/>
          <w:szCs w:val="24"/>
          <w:highlight w:val="none"/>
        </w:rPr>
      </w:pPr>
      <w:r>
        <w:rPr>
          <w:rFonts w:hint="eastAsia" w:ascii="宋体" w:hAnsi="宋体" w:eastAsia="宋体" w:cs="宋体"/>
          <w:sz w:val="24"/>
          <w:szCs w:val="24"/>
          <w:highlight w:val="none"/>
        </w:rPr>
        <w:t xml:space="preserve">5)塑壳断路器要求采用电子式脱扣器，具备长延时、短延时、瞬时电流保护的现场整定功能，需配辅助和告警结点，分励脱扣按图纸要求配置。额定短路分断能力不小于50kA； </w:t>
      </w:r>
    </w:p>
    <w:p>
      <w:pPr>
        <w:pStyle w:val="48"/>
        <w:spacing w:line="360" w:lineRule="auto"/>
        <w:ind w:left="1134" w:right="-180" w:rightChars="-75" w:hanging="708" w:firstLineChars="0"/>
        <w:rPr>
          <w:rFonts w:ascii="宋体" w:hAnsi="宋体" w:eastAsia="宋体" w:cs="宋体"/>
          <w:sz w:val="24"/>
          <w:szCs w:val="24"/>
          <w:highlight w:val="none"/>
        </w:rPr>
      </w:pPr>
      <w:r>
        <w:rPr>
          <w:rFonts w:hint="eastAsia" w:ascii="宋体" w:hAnsi="宋体" w:eastAsia="宋体" w:cs="宋体"/>
          <w:sz w:val="24"/>
          <w:szCs w:val="24"/>
          <w:highlight w:val="none"/>
        </w:rPr>
        <w:t>2.智能仪表</w:t>
      </w:r>
    </w:p>
    <w:p>
      <w:pPr>
        <w:pStyle w:val="48"/>
        <w:spacing w:line="360" w:lineRule="auto"/>
        <w:ind w:left="734" w:right="-180" w:rightChars="-75" w:hanging="308" w:firstLineChars="0"/>
        <w:rPr>
          <w:rFonts w:ascii="宋体" w:hAnsi="宋体" w:eastAsia="宋体" w:cs="宋体"/>
          <w:sz w:val="24"/>
          <w:szCs w:val="24"/>
          <w:highlight w:val="none"/>
        </w:rPr>
      </w:pPr>
      <w:r>
        <w:rPr>
          <w:rFonts w:hint="eastAsia" w:ascii="宋体" w:hAnsi="宋体" w:eastAsia="宋体" w:cs="宋体"/>
          <w:sz w:val="24"/>
          <w:szCs w:val="24"/>
          <w:highlight w:val="none"/>
        </w:rPr>
        <w:t>1)配电柜内各进出线回路需按图纸设计要求，对相应回路设置独立的LCD屏显示的智能仪表，用以监测各回路的电气参数。</w:t>
      </w:r>
    </w:p>
    <w:p>
      <w:pPr>
        <w:pStyle w:val="48"/>
        <w:spacing w:line="360" w:lineRule="auto"/>
        <w:ind w:left="734" w:right="-180" w:rightChars="-75" w:hanging="308" w:firstLineChars="0"/>
        <w:rPr>
          <w:rFonts w:ascii="宋体" w:hAnsi="宋体" w:eastAsia="宋体" w:cs="宋体"/>
          <w:sz w:val="24"/>
          <w:szCs w:val="24"/>
          <w:highlight w:val="none"/>
        </w:rPr>
      </w:pPr>
      <w:r>
        <w:rPr>
          <w:rFonts w:hint="eastAsia" w:ascii="宋体" w:hAnsi="宋体" w:eastAsia="宋体" w:cs="宋体"/>
          <w:sz w:val="24"/>
          <w:szCs w:val="24"/>
          <w:highlight w:val="none"/>
        </w:rPr>
        <w:t xml:space="preserve">2)仪表需符合GB/T 17215.322 交流电测量设备标准，并提供所投型号产品的第三方的安全、电磁兼容，以及参数的计量检测等项目的型式试验报告； </w:t>
      </w:r>
    </w:p>
    <w:p>
      <w:pPr>
        <w:pStyle w:val="48"/>
        <w:spacing w:line="360" w:lineRule="auto"/>
        <w:ind w:left="734" w:right="-180" w:rightChars="-75" w:hanging="308" w:firstLineChars="0"/>
        <w:rPr>
          <w:rFonts w:ascii="宋体" w:hAnsi="宋体" w:eastAsia="宋体" w:cs="宋体"/>
          <w:sz w:val="24"/>
          <w:szCs w:val="24"/>
          <w:highlight w:val="none"/>
        </w:rPr>
      </w:pPr>
      <w:r>
        <w:rPr>
          <w:rFonts w:hint="eastAsia" w:ascii="宋体" w:hAnsi="宋体" w:eastAsia="宋体" w:cs="宋体"/>
          <w:sz w:val="24"/>
          <w:szCs w:val="24"/>
          <w:highlight w:val="none"/>
        </w:rPr>
        <w:t>3)仪表采用大屏高亮度背光LCD显示，屏幕至少同时显示5行信息；</w:t>
      </w:r>
    </w:p>
    <w:p>
      <w:pPr>
        <w:pStyle w:val="48"/>
        <w:spacing w:line="360" w:lineRule="auto"/>
        <w:ind w:left="734" w:right="-180" w:rightChars="-75" w:hanging="308" w:firstLineChars="0"/>
        <w:rPr>
          <w:rFonts w:ascii="宋体" w:hAnsi="宋体" w:eastAsia="宋体" w:cs="宋体"/>
          <w:sz w:val="24"/>
          <w:szCs w:val="24"/>
          <w:highlight w:val="none"/>
        </w:rPr>
      </w:pPr>
      <w:r>
        <w:rPr>
          <w:rFonts w:hint="eastAsia" w:ascii="宋体" w:hAnsi="宋体" w:eastAsia="宋体" w:cs="宋体"/>
          <w:sz w:val="24"/>
          <w:szCs w:val="24"/>
          <w:highlight w:val="none"/>
        </w:rPr>
        <w:t>4)能够实时测量单相与三相电流、电压、频率、有功功率、无功功率、视在功率、功率因数、电压、电流3～37次谐波等全电量参数，提供实时工作状态信息；</w:t>
      </w:r>
    </w:p>
    <w:p>
      <w:pPr>
        <w:pStyle w:val="48"/>
        <w:spacing w:line="360" w:lineRule="auto"/>
        <w:ind w:left="734" w:right="-180" w:rightChars="-75" w:hanging="308" w:firstLineChars="0"/>
        <w:rPr>
          <w:rFonts w:ascii="宋体" w:hAnsi="宋体" w:eastAsia="宋体" w:cs="宋体"/>
          <w:sz w:val="24"/>
          <w:szCs w:val="24"/>
          <w:highlight w:val="none"/>
        </w:rPr>
      </w:pPr>
      <w:r>
        <w:rPr>
          <w:rFonts w:hint="eastAsia" w:ascii="宋体" w:hAnsi="宋体" w:eastAsia="宋体" w:cs="宋体"/>
          <w:sz w:val="24"/>
          <w:szCs w:val="24"/>
          <w:highlight w:val="none"/>
        </w:rPr>
        <w:t xml:space="preserve">5)仪表需具有4DI/2DO输入输出触点； </w:t>
      </w:r>
    </w:p>
    <w:p>
      <w:pPr>
        <w:pStyle w:val="48"/>
        <w:spacing w:line="360" w:lineRule="auto"/>
        <w:ind w:left="734" w:right="-180" w:rightChars="-75" w:hanging="308" w:firstLineChars="0"/>
        <w:rPr>
          <w:rFonts w:ascii="宋体" w:hAnsi="宋体" w:eastAsia="宋体" w:cs="宋体"/>
          <w:sz w:val="24"/>
          <w:szCs w:val="24"/>
          <w:highlight w:val="none"/>
        </w:rPr>
      </w:pPr>
      <w:r>
        <w:rPr>
          <w:rFonts w:hint="eastAsia" w:ascii="宋体" w:hAnsi="宋体" w:eastAsia="宋体" w:cs="宋体"/>
          <w:sz w:val="24"/>
          <w:szCs w:val="24"/>
          <w:highlight w:val="none"/>
        </w:rPr>
        <w:t>6)分段有功电能计量功能，能够分别计量尖、峰、平、谷四时段有功电能：各时段区间可设置，并且具备月计量记录功能，可查本月、上月、上上月电能;</w:t>
      </w:r>
    </w:p>
    <w:p>
      <w:pPr>
        <w:pStyle w:val="48"/>
        <w:spacing w:line="360" w:lineRule="auto"/>
        <w:ind w:left="734" w:right="-180" w:rightChars="-75" w:hanging="308" w:firstLineChars="0"/>
        <w:rPr>
          <w:rFonts w:ascii="宋体" w:hAnsi="宋体" w:eastAsia="宋体" w:cs="宋体"/>
          <w:sz w:val="24"/>
          <w:szCs w:val="24"/>
          <w:highlight w:val="none"/>
        </w:rPr>
      </w:pPr>
      <w:r>
        <w:rPr>
          <w:rFonts w:hint="eastAsia" w:ascii="宋体" w:hAnsi="宋体" w:eastAsia="宋体" w:cs="宋体"/>
          <w:sz w:val="24"/>
          <w:szCs w:val="24"/>
          <w:highlight w:val="none"/>
        </w:rPr>
        <w:t>7)具有双向电能计量功能，能够计量正负有功电能及正负无功电能;</w:t>
      </w:r>
    </w:p>
    <w:p>
      <w:pPr>
        <w:pStyle w:val="48"/>
        <w:spacing w:line="360" w:lineRule="auto"/>
        <w:ind w:left="734" w:right="-180" w:rightChars="-75" w:hanging="308" w:firstLineChars="0"/>
        <w:rPr>
          <w:rFonts w:ascii="宋体" w:hAnsi="宋体" w:eastAsia="宋体" w:cs="宋体"/>
          <w:sz w:val="24"/>
          <w:szCs w:val="24"/>
          <w:highlight w:val="none"/>
        </w:rPr>
      </w:pPr>
      <w:r>
        <w:rPr>
          <w:rFonts w:hint="eastAsia" w:ascii="宋体" w:hAnsi="宋体" w:eastAsia="宋体" w:cs="宋体"/>
          <w:sz w:val="24"/>
          <w:szCs w:val="24"/>
          <w:highlight w:val="none"/>
        </w:rPr>
        <w:t>8)完整SOE记录功能，能够完整记录事件信息，包括事件发生时开关量输入输出状态、电压、电流、频率等;</w:t>
      </w:r>
    </w:p>
    <w:p>
      <w:pPr>
        <w:pStyle w:val="48"/>
        <w:spacing w:line="360" w:lineRule="auto"/>
        <w:ind w:left="734" w:right="-180" w:rightChars="-75" w:hanging="308" w:firstLineChars="0"/>
        <w:rPr>
          <w:rFonts w:ascii="宋体" w:hAnsi="宋体" w:eastAsia="宋体" w:cs="宋体"/>
          <w:sz w:val="24"/>
          <w:szCs w:val="24"/>
          <w:highlight w:val="none"/>
        </w:rPr>
      </w:pPr>
      <w:r>
        <w:rPr>
          <w:rFonts w:hint="eastAsia" w:ascii="宋体" w:hAnsi="宋体" w:eastAsia="宋体" w:cs="宋体"/>
          <w:sz w:val="24"/>
          <w:szCs w:val="24"/>
          <w:highlight w:val="none"/>
        </w:rPr>
        <w:t>9)支持RS485通信，实现远程智能化监控管理;</w:t>
      </w:r>
    </w:p>
    <w:p>
      <w:pPr>
        <w:pStyle w:val="48"/>
        <w:spacing w:line="360" w:lineRule="auto"/>
        <w:ind w:left="1134" w:right="-180" w:rightChars="-75" w:hanging="708" w:firstLineChars="0"/>
        <w:rPr>
          <w:rFonts w:ascii="宋体" w:hAnsi="宋体" w:eastAsia="宋体" w:cs="宋体"/>
          <w:sz w:val="24"/>
          <w:szCs w:val="24"/>
          <w:highlight w:val="none"/>
        </w:rPr>
      </w:pPr>
      <w:r>
        <w:rPr>
          <w:rFonts w:hint="eastAsia" w:ascii="宋体" w:hAnsi="宋体" w:eastAsia="宋体" w:cs="宋体"/>
          <w:sz w:val="24"/>
          <w:szCs w:val="24"/>
          <w:highlight w:val="none"/>
        </w:rPr>
        <w:t xml:space="preserve">10)仪表的测量范围和精度要求需满足下表: </w:t>
      </w:r>
    </w:p>
    <w:tbl>
      <w:tblPr>
        <w:tblStyle w:val="18"/>
        <w:tblpPr w:leftFromText="180" w:rightFromText="180" w:vertAnchor="text" w:tblpXSpec="center" w:tblpY="1"/>
        <w:tblOverlap w:val="never"/>
        <w:tblW w:w="8543" w:type="dxa"/>
        <w:tblInd w:w="0" w:type="dxa"/>
        <w:tblLayout w:type="autofit"/>
        <w:tblCellMar>
          <w:top w:w="0" w:type="dxa"/>
          <w:left w:w="0" w:type="dxa"/>
          <w:bottom w:w="0" w:type="dxa"/>
          <w:right w:w="0" w:type="dxa"/>
        </w:tblCellMar>
      </w:tblPr>
      <w:tblGrid>
        <w:gridCol w:w="2317"/>
        <w:gridCol w:w="2635"/>
        <w:gridCol w:w="3591"/>
      </w:tblGrid>
      <w:tr>
        <w:tblPrEx>
          <w:tblCellMar>
            <w:top w:w="0" w:type="dxa"/>
            <w:left w:w="0" w:type="dxa"/>
            <w:bottom w:w="0" w:type="dxa"/>
            <w:right w:w="0" w:type="dxa"/>
          </w:tblCellMar>
        </w:tblPrEx>
        <w:trPr>
          <w:trHeight w:val="412" w:hRule="atLeast"/>
        </w:trPr>
        <w:tc>
          <w:tcPr>
            <w:tcW w:w="2317" w:type="dxa"/>
            <w:vMerge w:val="restart"/>
            <w:tcBorders>
              <w:top w:val="single" w:color="000000" w:sz="8" w:space="0"/>
              <w:left w:val="single" w:color="000000" w:sz="8" w:space="0"/>
              <w:bottom w:val="single" w:color="000000" w:sz="8" w:space="0"/>
              <w:right w:val="single" w:color="000000" w:sz="8" w:space="0"/>
            </w:tcBorders>
            <w:tcMar>
              <w:top w:w="0" w:type="dxa"/>
              <w:left w:w="108" w:type="dxa"/>
              <w:bottom w:w="0" w:type="dxa"/>
              <w:right w:w="108" w:type="dxa"/>
            </w:tcMar>
            <w:vAlign w:val="center"/>
          </w:tcPr>
          <w:p>
            <w:pPr>
              <w:spacing w:line="360" w:lineRule="auto"/>
              <w:ind w:left="1134" w:right="-180" w:rightChars="-75" w:hanging="708"/>
              <w:jc w:val="center"/>
              <w:rPr>
                <w:color w:val="auto"/>
                <w:szCs w:val="24"/>
                <w:highlight w:val="none"/>
              </w:rPr>
            </w:pPr>
            <w:r>
              <w:rPr>
                <w:color w:val="auto"/>
                <w:szCs w:val="24"/>
                <w:highlight w:val="none"/>
              </w:rPr>
              <w:t>电压</w:t>
            </w:r>
          </w:p>
        </w:tc>
        <w:tc>
          <w:tcPr>
            <w:tcW w:w="2635" w:type="dxa"/>
            <w:vMerge w:val="restart"/>
            <w:tcBorders>
              <w:top w:val="single" w:color="000000" w:sz="8" w:space="0"/>
              <w:left w:val="nil"/>
              <w:bottom w:val="single" w:color="000000" w:sz="8" w:space="0"/>
              <w:right w:val="single" w:color="000000" w:sz="8" w:space="0"/>
            </w:tcBorders>
            <w:tcMar>
              <w:top w:w="0" w:type="dxa"/>
              <w:left w:w="108" w:type="dxa"/>
              <w:bottom w:w="0" w:type="dxa"/>
              <w:right w:w="108" w:type="dxa"/>
            </w:tcMar>
            <w:vAlign w:val="center"/>
          </w:tcPr>
          <w:p>
            <w:pPr>
              <w:spacing w:line="360" w:lineRule="auto"/>
              <w:ind w:left="1134" w:right="-180" w:rightChars="-75" w:hanging="708"/>
              <w:rPr>
                <w:color w:val="auto"/>
                <w:szCs w:val="24"/>
                <w:highlight w:val="none"/>
              </w:rPr>
            </w:pPr>
            <w:r>
              <w:rPr>
                <w:color w:val="auto"/>
                <w:szCs w:val="24"/>
                <w:highlight w:val="none"/>
              </w:rPr>
              <w:t>输入电压范围</w:t>
            </w:r>
          </w:p>
        </w:tc>
        <w:tc>
          <w:tcPr>
            <w:tcW w:w="3591" w:type="dxa"/>
            <w:vMerge w:val="restart"/>
            <w:tcBorders>
              <w:top w:val="single" w:color="000000" w:sz="8" w:space="0"/>
              <w:left w:val="nil"/>
              <w:bottom w:val="single" w:color="000000" w:sz="8" w:space="0"/>
              <w:right w:val="single" w:color="000000" w:sz="8" w:space="0"/>
            </w:tcBorders>
            <w:tcMar>
              <w:top w:w="0" w:type="dxa"/>
              <w:left w:w="108" w:type="dxa"/>
              <w:bottom w:w="0" w:type="dxa"/>
              <w:right w:w="108" w:type="dxa"/>
            </w:tcMar>
            <w:vAlign w:val="center"/>
          </w:tcPr>
          <w:p>
            <w:pPr>
              <w:spacing w:line="360" w:lineRule="auto"/>
              <w:ind w:left="1134" w:right="-180" w:rightChars="-75" w:hanging="708"/>
              <w:jc w:val="center"/>
              <w:rPr>
                <w:color w:val="auto"/>
                <w:szCs w:val="24"/>
                <w:highlight w:val="none"/>
              </w:rPr>
            </w:pPr>
            <w:r>
              <w:rPr>
                <w:color w:val="auto"/>
                <w:szCs w:val="24"/>
                <w:highlight w:val="none"/>
              </w:rPr>
              <w:t>线电压30～600V AC</w:t>
            </w:r>
          </w:p>
          <w:p>
            <w:pPr>
              <w:spacing w:line="360" w:lineRule="auto"/>
              <w:ind w:left="1134" w:right="-180" w:rightChars="-75" w:hanging="708"/>
              <w:jc w:val="center"/>
              <w:rPr>
                <w:color w:val="auto"/>
                <w:szCs w:val="24"/>
                <w:highlight w:val="none"/>
              </w:rPr>
            </w:pPr>
            <w:r>
              <w:rPr>
                <w:color w:val="auto"/>
                <w:szCs w:val="24"/>
                <w:highlight w:val="none"/>
              </w:rPr>
              <w:t>相电压20～400V AC</w:t>
            </w:r>
          </w:p>
        </w:tc>
      </w:tr>
      <w:tr>
        <w:tblPrEx>
          <w:tblCellMar>
            <w:top w:w="0" w:type="dxa"/>
            <w:left w:w="0" w:type="dxa"/>
            <w:bottom w:w="0" w:type="dxa"/>
            <w:right w:w="0" w:type="dxa"/>
          </w:tblCellMar>
        </w:tblPrEx>
        <w:trPr>
          <w:trHeight w:val="312" w:hRule="atLeast"/>
        </w:trPr>
        <w:tc>
          <w:tcPr>
            <w:tcW w:w="0" w:type="auto"/>
            <w:vMerge w:val="continue"/>
            <w:tcBorders>
              <w:top w:val="single" w:color="000000" w:sz="8" w:space="0"/>
              <w:left w:val="single" w:color="000000" w:sz="8" w:space="0"/>
              <w:bottom w:val="single" w:color="000000" w:sz="8" w:space="0"/>
              <w:right w:val="single" w:color="000000" w:sz="8" w:space="0"/>
            </w:tcBorders>
            <w:vAlign w:val="center"/>
          </w:tcPr>
          <w:p>
            <w:pPr>
              <w:spacing w:line="360" w:lineRule="auto"/>
              <w:ind w:left="1134" w:right="-180" w:rightChars="-75" w:hanging="708"/>
              <w:jc w:val="center"/>
              <w:rPr>
                <w:color w:val="auto"/>
                <w:szCs w:val="24"/>
                <w:highlight w:val="none"/>
              </w:rPr>
            </w:pPr>
          </w:p>
        </w:tc>
        <w:tc>
          <w:tcPr>
            <w:tcW w:w="2635" w:type="dxa"/>
            <w:vMerge w:val="continue"/>
            <w:tcBorders>
              <w:top w:val="single" w:color="000000" w:sz="8" w:space="0"/>
              <w:left w:val="nil"/>
              <w:bottom w:val="single" w:color="000000" w:sz="8" w:space="0"/>
              <w:right w:val="single" w:color="000000" w:sz="8" w:space="0"/>
            </w:tcBorders>
            <w:vAlign w:val="center"/>
          </w:tcPr>
          <w:p>
            <w:pPr>
              <w:spacing w:line="360" w:lineRule="auto"/>
              <w:ind w:left="1134" w:right="-180" w:rightChars="-75" w:hanging="708"/>
              <w:jc w:val="center"/>
              <w:rPr>
                <w:color w:val="auto"/>
                <w:szCs w:val="24"/>
                <w:highlight w:val="none"/>
              </w:rPr>
            </w:pPr>
          </w:p>
        </w:tc>
        <w:tc>
          <w:tcPr>
            <w:tcW w:w="3591" w:type="dxa"/>
            <w:vMerge w:val="continue"/>
            <w:tcBorders>
              <w:top w:val="single" w:color="000000" w:sz="8" w:space="0"/>
              <w:left w:val="nil"/>
              <w:bottom w:val="single" w:color="000000" w:sz="8" w:space="0"/>
              <w:right w:val="single" w:color="000000" w:sz="8" w:space="0"/>
            </w:tcBorders>
            <w:vAlign w:val="center"/>
          </w:tcPr>
          <w:p>
            <w:pPr>
              <w:spacing w:line="360" w:lineRule="auto"/>
              <w:ind w:left="1134" w:right="-180" w:rightChars="-75" w:hanging="708"/>
              <w:jc w:val="center"/>
              <w:rPr>
                <w:color w:val="auto"/>
                <w:szCs w:val="24"/>
                <w:highlight w:val="none"/>
              </w:rPr>
            </w:pPr>
          </w:p>
        </w:tc>
      </w:tr>
      <w:tr>
        <w:tblPrEx>
          <w:tblCellMar>
            <w:top w:w="0" w:type="dxa"/>
            <w:left w:w="0" w:type="dxa"/>
            <w:bottom w:w="0" w:type="dxa"/>
            <w:right w:w="0" w:type="dxa"/>
          </w:tblCellMar>
        </w:tblPrEx>
        <w:trPr>
          <w:trHeight w:val="197" w:hRule="atLeast"/>
        </w:trPr>
        <w:tc>
          <w:tcPr>
            <w:tcW w:w="0" w:type="auto"/>
            <w:vMerge w:val="continue"/>
            <w:tcBorders>
              <w:top w:val="single" w:color="000000" w:sz="8" w:space="0"/>
              <w:left w:val="single" w:color="000000" w:sz="8" w:space="0"/>
              <w:bottom w:val="single" w:color="000000" w:sz="8" w:space="0"/>
              <w:right w:val="single" w:color="000000" w:sz="8" w:space="0"/>
            </w:tcBorders>
            <w:vAlign w:val="center"/>
          </w:tcPr>
          <w:p>
            <w:pPr>
              <w:spacing w:line="360" w:lineRule="auto"/>
              <w:ind w:left="1134" w:right="-180" w:rightChars="-75" w:hanging="708"/>
              <w:jc w:val="center"/>
              <w:rPr>
                <w:color w:val="auto"/>
                <w:szCs w:val="24"/>
                <w:highlight w:val="none"/>
              </w:rPr>
            </w:pPr>
          </w:p>
        </w:tc>
        <w:tc>
          <w:tcPr>
            <w:tcW w:w="2635" w:type="dxa"/>
            <w:tcBorders>
              <w:top w:val="nil"/>
              <w:left w:val="nil"/>
              <w:bottom w:val="single" w:color="000000" w:sz="8" w:space="0"/>
              <w:right w:val="single" w:color="000000" w:sz="8" w:space="0"/>
            </w:tcBorders>
            <w:tcMar>
              <w:top w:w="0" w:type="dxa"/>
              <w:left w:w="108" w:type="dxa"/>
              <w:bottom w:w="0" w:type="dxa"/>
              <w:right w:w="108" w:type="dxa"/>
            </w:tcMar>
            <w:vAlign w:val="center"/>
          </w:tcPr>
          <w:p>
            <w:pPr>
              <w:spacing w:line="360" w:lineRule="auto"/>
              <w:ind w:left="1134" w:right="-180" w:rightChars="-75" w:hanging="708"/>
              <w:rPr>
                <w:color w:val="auto"/>
                <w:szCs w:val="24"/>
                <w:highlight w:val="none"/>
              </w:rPr>
            </w:pPr>
            <w:r>
              <w:rPr>
                <w:color w:val="auto"/>
                <w:szCs w:val="24"/>
                <w:highlight w:val="none"/>
              </w:rPr>
              <w:t>测量精度</w:t>
            </w:r>
          </w:p>
        </w:tc>
        <w:tc>
          <w:tcPr>
            <w:tcW w:w="3591" w:type="dxa"/>
            <w:tcBorders>
              <w:top w:val="nil"/>
              <w:left w:val="nil"/>
              <w:bottom w:val="single" w:color="000000" w:sz="8" w:space="0"/>
              <w:right w:val="single" w:color="000000" w:sz="8" w:space="0"/>
            </w:tcBorders>
            <w:tcMar>
              <w:top w:w="0" w:type="dxa"/>
              <w:left w:w="108" w:type="dxa"/>
              <w:bottom w:w="0" w:type="dxa"/>
              <w:right w:w="108" w:type="dxa"/>
            </w:tcMar>
            <w:vAlign w:val="center"/>
          </w:tcPr>
          <w:p>
            <w:pPr>
              <w:spacing w:line="360" w:lineRule="auto"/>
              <w:ind w:left="1134" w:right="-180" w:rightChars="-75" w:hanging="708"/>
              <w:jc w:val="center"/>
              <w:rPr>
                <w:color w:val="auto"/>
                <w:szCs w:val="24"/>
                <w:highlight w:val="none"/>
              </w:rPr>
            </w:pPr>
            <w:r>
              <w:rPr>
                <w:color w:val="auto"/>
                <w:szCs w:val="24"/>
                <w:highlight w:val="none"/>
              </w:rPr>
              <w:t>0.2级</w:t>
            </w:r>
          </w:p>
        </w:tc>
      </w:tr>
      <w:tr>
        <w:tblPrEx>
          <w:tblCellMar>
            <w:top w:w="0" w:type="dxa"/>
            <w:left w:w="0" w:type="dxa"/>
            <w:bottom w:w="0" w:type="dxa"/>
            <w:right w:w="0" w:type="dxa"/>
          </w:tblCellMar>
        </w:tblPrEx>
        <w:trPr>
          <w:trHeight w:val="159" w:hRule="atLeast"/>
        </w:trPr>
        <w:tc>
          <w:tcPr>
            <w:tcW w:w="2317" w:type="dxa"/>
            <w:vMerge w:val="restart"/>
            <w:tcBorders>
              <w:top w:val="nil"/>
              <w:left w:val="single" w:color="000000" w:sz="8" w:space="0"/>
              <w:bottom w:val="single" w:color="000000" w:sz="8" w:space="0"/>
              <w:right w:val="single" w:color="000000" w:sz="8" w:space="0"/>
            </w:tcBorders>
            <w:tcMar>
              <w:top w:w="0" w:type="dxa"/>
              <w:left w:w="108" w:type="dxa"/>
              <w:bottom w:w="0" w:type="dxa"/>
              <w:right w:w="108" w:type="dxa"/>
            </w:tcMar>
            <w:vAlign w:val="center"/>
          </w:tcPr>
          <w:p>
            <w:pPr>
              <w:spacing w:line="360" w:lineRule="auto"/>
              <w:ind w:left="1134" w:right="-180" w:rightChars="-75" w:hanging="708"/>
              <w:jc w:val="center"/>
              <w:rPr>
                <w:color w:val="auto"/>
                <w:szCs w:val="24"/>
                <w:highlight w:val="none"/>
              </w:rPr>
            </w:pPr>
            <w:r>
              <w:rPr>
                <w:color w:val="auto"/>
                <w:szCs w:val="24"/>
                <w:highlight w:val="none"/>
              </w:rPr>
              <w:t>电流</w:t>
            </w:r>
          </w:p>
        </w:tc>
        <w:tc>
          <w:tcPr>
            <w:tcW w:w="2635" w:type="dxa"/>
            <w:tcBorders>
              <w:top w:val="nil"/>
              <w:left w:val="nil"/>
              <w:bottom w:val="single" w:color="000000" w:sz="8" w:space="0"/>
              <w:right w:val="single" w:color="000000" w:sz="8" w:space="0"/>
            </w:tcBorders>
            <w:tcMar>
              <w:top w:w="0" w:type="dxa"/>
              <w:left w:w="108" w:type="dxa"/>
              <w:bottom w:w="0" w:type="dxa"/>
              <w:right w:w="108" w:type="dxa"/>
            </w:tcMar>
            <w:vAlign w:val="center"/>
          </w:tcPr>
          <w:p>
            <w:pPr>
              <w:spacing w:line="360" w:lineRule="auto"/>
              <w:ind w:left="1134" w:right="-180" w:rightChars="-75" w:hanging="708"/>
              <w:rPr>
                <w:color w:val="auto"/>
                <w:szCs w:val="24"/>
                <w:highlight w:val="none"/>
              </w:rPr>
            </w:pPr>
            <w:r>
              <w:rPr>
                <w:color w:val="auto"/>
                <w:szCs w:val="24"/>
                <w:highlight w:val="none"/>
              </w:rPr>
              <w:t>输入电流范围</w:t>
            </w:r>
          </w:p>
        </w:tc>
        <w:tc>
          <w:tcPr>
            <w:tcW w:w="3591" w:type="dxa"/>
            <w:tcBorders>
              <w:top w:val="nil"/>
              <w:left w:val="nil"/>
              <w:bottom w:val="single" w:color="000000" w:sz="8" w:space="0"/>
              <w:right w:val="single" w:color="000000" w:sz="8" w:space="0"/>
            </w:tcBorders>
            <w:tcMar>
              <w:top w:w="0" w:type="dxa"/>
              <w:left w:w="108" w:type="dxa"/>
              <w:bottom w:w="0" w:type="dxa"/>
              <w:right w:w="108" w:type="dxa"/>
            </w:tcMar>
            <w:vAlign w:val="center"/>
          </w:tcPr>
          <w:p>
            <w:pPr>
              <w:spacing w:line="360" w:lineRule="auto"/>
              <w:ind w:left="1134" w:right="-180" w:rightChars="-75" w:hanging="708"/>
              <w:jc w:val="center"/>
              <w:rPr>
                <w:color w:val="auto"/>
                <w:szCs w:val="24"/>
                <w:highlight w:val="none"/>
              </w:rPr>
            </w:pPr>
            <w:r>
              <w:rPr>
                <w:color w:val="auto"/>
                <w:szCs w:val="24"/>
                <w:highlight w:val="none"/>
              </w:rPr>
              <w:t>0.01～6A</w:t>
            </w:r>
          </w:p>
        </w:tc>
      </w:tr>
      <w:tr>
        <w:tblPrEx>
          <w:tblCellMar>
            <w:top w:w="0" w:type="dxa"/>
            <w:left w:w="0" w:type="dxa"/>
            <w:bottom w:w="0" w:type="dxa"/>
            <w:right w:w="0" w:type="dxa"/>
          </w:tblCellMar>
        </w:tblPrEx>
        <w:trPr>
          <w:trHeight w:val="263" w:hRule="atLeast"/>
        </w:trPr>
        <w:tc>
          <w:tcPr>
            <w:tcW w:w="0" w:type="auto"/>
            <w:vMerge w:val="continue"/>
            <w:tcBorders>
              <w:top w:val="nil"/>
              <w:left w:val="single" w:color="000000" w:sz="8" w:space="0"/>
              <w:bottom w:val="single" w:color="000000" w:sz="8" w:space="0"/>
              <w:right w:val="single" w:color="000000" w:sz="8" w:space="0"/>
            </w:tcBorders>
            <w:vAlign w:val="center"/>
          </w:tcPr>
          <w:p>
            <w:pPr>
              <w:spacing w:line="360" w:lineRule="auto"/>
              <w:ind w:left="1134" w:right="-180" w:rightChars="-75" w:hanging="708"/>
              <w:jc w:val="center"/>
              <w:rPr>
                <w:color w:val="auto"/>
                <w:szCs w:val="24"/>
                <w:highlight w:val="none"/>
              </w:rPr>
            </w:pPr>
          </w:p>
        </w:tc>
        <w:tc>
          <w:tcPr>
            <w:tcW w:w="2635" w:type="dxa"/>
            <w:tcBorders>
              <w:top w:val="nil"/>
              <w:left w:val="nil"/>
              <w:bottom w:val="single" w:color="000000" w:sz="8" w:space="0"/>
              <w:right w:val="single" w:color="000000" w:sz="8" w:space="0"/>
            </w:tcBorders>
            <w:tcMar>
              <w:top w:w="0" w:type="dxa"/>
              <w:left w:w="108" w:type="dxa"/>
              <w:bottom w:w="0" w:type="dxa"/>
              <w:right w:w="108" w:type="dxa"/>
            </w:tcMar>
            <w:vAlign w:val="center"/>
          </w:tcPr>
          <w:p>
            <w:pPr>
              <w:spacing w:line="360" w:lineRule="auto"/>
              <w:ind w:left="1134" w:right="-180" w:rightChars="-75" w:hanging="708"/>
              <w:rPr>
                <w:color w:val="auto"/>
                <w:szCs w:val="24"/>
                <w:highlight w:val="none"/>
              </w:rPr>
            </w:pPr>
            <w:r>
              <w:rPr>
                <w:color w:val="auto"/>
                <w:szCs w:val="24"/>
                <w:highlight w:val="none"/>
              </w:rPr>
              <w:t>测量精度</w:t>
            </w:r>
          </w:p>
        </w:tc>
        <w:tc>
          <w:tcPr>
            <w:tcW w:w="3591" w:type="dxa"/>
            <w:tcBorders>
              <w:top w:val="nil"/>
              <w:left w:val="nil"/>
              <w:bottom w:val="single" w:color="000000" w:sz="8" w:space="0"/>
              <w:right w:val="single" w:color="000000" w:sz="8" w:space="0"/>
            </w:tcBorders>
            <w:tcMar>
              <w:top w:w="0" w:type="dxa"/>
              <w:left w:w="108" w:type="dxa"/>
              <w:bottom w:w="0" w:type="dxa"/>
              <w:right w:w="108" w:type="dxa"/>
            </w:tcMar>
            <w:vAlign w:val="center"/>
          </w:tcPr>
          <w:p>
            <w:pPr>
              <w:spacing w:line="360" w:lineRule="auto"/>
              <w:ind w:left="1134" w:right="-180" w:rightChars="-75" w:hanging="708"/>
              <w:jc w:val="center"/>
              <w:rPr>
                <w:color w:val="auto"/>
                <w:szCs w:val="24"/>
                <w:highlight w:val="none"/>
              </w:rPr>
            </w:pPr>
            <w:r>
              <w:rPr>
                <w:color w:val="auto"/>
                <w:szCs w:val="24"/>
                <w:highlight w:val="none"/>
              </w:rPr>
              <w:t>0.2级</w:t>
            </w:r>
          </w:p>
        </w:tc>
      </w:tr>
      <w:tr>
        <w:tblPrEx>
          <w:tblCellMar>
            <w:top w:w="0" w:type="dxa"/>
            <w:left w:w="0" w:type="dxa"/>
            <w:bottom w:w="0" w:type="dxa"/>
            <w:right w:w="0" w:type="dxa"/>
          </w:tblCellMar>
        </w:tblPrEx>
        <w:trPr>
          <w:trHeight w:val="274" w:hRule="atLeast"/>
        </w:trPr>
        <w:tc>
          <w:tcPr>
            <w:tcW w:w="2317" w:type="dxa"/>
            <w:vMerge w:val="restart"/>
            <w:tcBorders>
              <w:top w:val="nil"/>
              <w:left w:val="single" w:color="000000" w:sz="8" w:space="0"/>
              <w:bottom w:val="single" w:color="000000" w:sz="8" w:space="0"/>
              <w:right w:val="single" w:color="000000" w:sz="8" w:space="0"/>
            </w:tcBorders>
            <w:tcMar>
              <w:top w:w="0" w:type="dxa"/>
              <w:left w:w="108" w:type="dxa"/>
              <w:bottom w:w="0" w:type="dxa"/>
              <w:right w:w="108" w:type="dxa"/>
            </w:tcMar>
            <w:vAlign w:val="center"/>
          </w:tcPr>
          <w:p>
            <w:pPr>
              <w:spacing w:line="360" w:lineRule="auto"/>
              <w:ind w:left="1134" w:right="-180" w:rightChars="-75" w:hanging="708"/>
              <w:jc w:val="center"/>
              <w:rPr>
                <w:color w:val="auto"/>
                <w:szCs w:val="24"/>
                <w:highlight w:val="none"/>
              </w:rPr>
            </w:pPr>
            <w:r>
              <w:rPr>
                <w:color w:val="auto"/>
                <w:szCs w:val="24"/>
                <w:highlight w:val="none"/>
              </w:rPr>
              <w:t>功率</w:t>
            </w:r>
          </w:p>
        </w:tc>
        <w:tc>
          <w:tcPr>
            <w:tcW w:w="2635" w:type="dxa"/>
            <w:tcBorders>
              <w:top w:val="nil"/>
              <w:left w:val="nil"/>
              <w:bottom w:val="single" w:color="000000" w:sz="8" w:space="0"/>
              <w:right w:val="single" w:color="000000" w:sz="8" w:space="0"/>
            </w:tcBorders>
            <w:tcMar>
              <w:top w:w="0" w:type="dxa"/>
              <w:left w:w="108" w:type="dxa"/>
              <w:bottom w:w="0" w:type="dxa"/>
              <w:right w:w="108" w:type="dxa"/>
            </w:tcMar>
            <w:vAlign w:val="center"/>
          </w:tcPr>
          <w:p>
            <w:pPr>
              <w:spacing w:line="360" w:lineRule="auto"/>
              <w:ind w:left="1134" w:right="-180" w:rightChars="-75" w:hanging="708"/>
              <w:rPr>
                <w:color w:val="auto"/>
                <w:szCs w:val="24"/>
                <w:highlight w:val="none"/>
              </w:rPr>
            </w:pPr>
            <w:r>
              <w:rPr>
                <w:color w:val="auto"/>
                <w:szCs w:val="24"/>
                <w:highlight w:val="none"/>
              </w:rPr>
              <w:t>单相功率</w:t>
            </w:r>
          </w:p>
        </w:tc>
        <w:tc>
          <w:tcPr>
            <w:tcW w:w="3591" w:type="dxa"/>
            <w:tcBorders>
              <w:top w:val="nil"/>
              <w:left w:val="nil"/>
              <w:bottom w:val="single" w:color="000000" w:sz="8" w:space="0"/>
              <w:right w:val="single" w:color="000000" w:sz="8" w:space="0"/>
            </w:tcBorders>
            <w:tcMar>
              <w:top w:w="0" w:type="dxa"/>
              <w:left w:w="108" w:type="dxa"/>
              <w:bottom w:w="0" w:type="dxa"/>
              <w:right w:w="108" w:type="dxa"/>
            </w:tcMar>
            <w:vAlign w:val="center"/>
          </w:tcPr>
          <w:p>
            <w:pPr>
              <w:spacing w:line="360" w:lineRule="auto"/>
              <w:ind w:left="1134" w:right="-180" w:rightChars="-75" w:hanging="708"/>
              <w:jc w:val="center"/>
              <w:rPr>
                <w:color w:val="auto"/>
                <w:szCs w:val="24"/>
                <w:highlight w:val="none"/>
              </w:rPr>
            </w:pPr>
            <w:r>
              <w:rPr>
                <w:color w:val="auto"/>
                <w:szCs w:val="24"/>
                <w:highlight w:val="none"/>
              </w:rPr>
              <w:t>0～2400W/VAR/VA</w:t>
            </w:r>
          </w:p>
        </w:tc>
      </w:tr>
      <w:tr>
        <w:tblPrEx>
          <w:tblCellMar>
            <w:top w:w="0" w:type="dxa"/>
            <w:left w:w="0" w:type="dxa"/>
            <w:bottom w:w="0" w:type="dxa"/>
            <w:right w:w="0" w:type="dxa"/>
          </w:tblCellMar>
        </w:tblPrEx>
        <w:trPr>
          <w:trHeight w:val="274" w:hRule="atLeast"/>
        </w:trPr>
        <w:tc>
          <w:tcPr>
            <w:tcW w:w="0" w:type="auto"/>
            <w:vMerge w:val="continue"/>
            <w:tcBorders>
              <w:top w:val="nil"/>
              <w:left w:val="single" w:color="000000" w:sz="8" w:space="0"/>
              <w:bottom w:val="single" w:color="000000" w:sz="8" w:space="0"/>
              <w:right w:val="single" w:color="000000" w:sz="8" w:space="0"/>
            </w:tcBorders>
            <w:vAlign w:val="center"/>
          </w:tcPr>
          <w:p>
            <w:pPr>
              <w:spacing w:line="360" w:lineRule="auto"/>
              <w:ind w:left="1134" w:right="-180" w:rightChars="-75" w:hanging="708"/>
              <w:jc w:val="center"/>
              <w:rPr>
                <w:color w:val="auto"/>
                <w:szCs w:val="24"/>
                <w:highlight w:val="none"/>
              </w:rPr>
            </w:pPr>
          </w:p>
        </w:tc>
        <w:tc>
          <w:tcPr>
            <w:tcW w:w="2635" w:type="dxa"/>
            <w:tcBorders>
              <w:top w:val="nil"/>
              <w:left w:val="nil"/>
              <w:bottom w:val="single" w:color="000000" w:sz="8" w:space="0"/>
              <w:right w:val="single" w:color="000000" w:sz="8" w:space="0"/>
            </w:tcBorders>
            <w:tcMar>
              <w:top w:w="0" w:type="dxa"/>
              <w:left w:w="108" w:type="dxa"/>
              <w:bottom w:w="0" w:type="dxa"/>
              <w:right w:w="108" w:type="dxa"/>
            </w:tcMar>
            <w:vAlign w:val="center"/>
          </w:tcPr>
          <w:p>
            <w:pPr>
              <w:spacing w:line="360" w:lineRule="auto"/>
              <w:ind w:left="1134" w:right="-180" w:rightChars="-75" w:hanging="708"/>
              <w:rPr>
                <w:color w:val="auto"/>
                <w:szCs w:val="24"/>
                <w:highlight w:val="none"/>
              </w:rPr>
            </w:pPr>
            <w:r>
              <w:rPr>
                <w:color w:val="auto"/>
                <w:szCs w:val="24"/>
                <w:highlight w:val="none"/>
              </w:rPr>
              <w:t>总功率</w:t>
            </w:r>
          </w:p>
        </w:tc>
        <w:tc>
          <w:tcPr>
            <w:tcW w:w="3591" w:type="dxa"/>
            <w:tcBorders>
              <w:top w:val="nil"/>
              <w:left w:val="nil"/>
              <w:bottom w:val="single" w:color="000000" w:sz="8" w:space="0"/>
              <w:right w:val="single" w:color="000000" w:sz="8" w:space="0"/>
            </w:tcBorders>
            <w:tcMar>
              <w:top w:w="0" w:type="dxa"/>
              <w:left w:w="108" w:type="dxa"/>
              <w:bottom w:w="0" w:type="dxa"/>
              <w:right w:w="108" w:type="dxa"/>
            </w:tcMar>
            <w:vAlign w:val="center"/>
          </w:tcPr>
          <w:p>
            <w:pPr>
              <w:spacing w:line="360" w:lineRule="auto"/>
              <w:ind w:left="1134" w:right="-180" w:rightChars="-75" w:hanging="708"/>
              <w:jc w:val="center"/>
              <w:rPr>
                <w:color w:val="auto"/>
                <w:szCs w:val="24"/>
                <w:highlight w:val="none"/>
              </w:rPr>
            </w:pPr>
            <w:r>
              <w:rPr>
                <w:color w:val="auto"/>
                <w:szCs w:val="24"/>
                <w:highlight w:val="none"/>
              </w:rPr>
              <w:t>0~7200W/VAR/VA</w:t>
            </w:r>
          </w:p>
        </w:tc>
      </w:tr>
      <w:tr>
        <w:tblPrEx>
          <w:tblCellMar>
            <w:top w:w="0" w:type="dxa"/>
            <w:left w:w="0" w:type="dxa"/>
            <w:bottom w:w="0" w:type="dxa"/>
            <w:right w:w="0" w:type="dxa"/>
          </w:tblCellMar>
        </w:tblPrEx>
        <w:trPr>
          <w:trHeight w:val="237" w:hRule="atLeast"/>
        </w:trPr>
        <w:tc>
          <w:tcPr>
            <w:tcW w:w="0" w:type="auto"/>
            <w:vMerge w:val="continue"/>
            <w:tcBorders>
              <w:top w:val="nil"/>
              <w:left w:val="single" w:color="000000" w:sz="8" w:space="0"/>
              <w:bottom w:val="single" w:color="000000" w:sz="8" w:space="0"/>
              <w:right w:val="single" w:color="000000" w:sz="8" w:space="0"/>
            </w:tcBorders>
            <w:vAlign w:val="center"/>
          </w:tcPr>
          <w:p>
            <w:pPr>
              <w:spacing w:line="360" w:lineRule="auto"/>
              <w:ind w:left="1134" w:right="-180" w:rightChars="-75" w:hanging="708"/>
              <w:jc w:val="center"/>
              <w:rPr>
                <w:color w:val="auto"/>
                <w:szCs w:val="24"/>
                <w:highlight w:val="none"/>
              </w:rPr>
            </w:pPr>
          </w:p>
        </w:tc>
        <w:tc>
          <w:tcPr>
            <w:tcW w:w="2635" w:type="dxa"/>
            <w:tcBorders>
              <w:top w:val="nil"/>
              <w:left w:val="nil"/>
              <w:bottom w:val="single" w:color="000000" w:sz="8" w:space="0"/>
              <w:right w:val="single" w:color="000000" w:sz="8" w:space="0"/>
            </w:tcBorders>
            <w:tcMar>
              <w:top w:w="0" w:type="dxa"/>
              <w:left w:w="108" w:type="dxa"/>
              <w:bottom w:w="0" w:type="dxa"/>
              <w:right w:w="108" w:type="dxa"/>
            </w:tcMar>
            <w:vAlign w:val="center"/>
          </w:tcPr>
          <w:p>
            <w:pPr>
              <w:spacing w:line="360" w:lineRule="auto"/>
              <w:ind w:left="1134" w:right="-180" w:rightChars="-75" w:hanging="708"/>
              <w:rPr>
                <w:color w:val="auto"/>
                <w:szCs w:val="24"/>
                <w:highlight w:val="none"/>
              </w:rPr>
            </w:pPr>
            <w:r>
              <w:rPr>
                <w:color w:val="auto"/>
                <w:szCs w:val="24"/>
                <w:highlight w:val="none"/>
              </w:rPr>
              <w:t>测量精度</w:t>
            </w:r>
          </w:p>
        </w:tc>
        <w:tc>
          <w:tcPr>
            <w:tcW w:w="3591" w:type="dxa"/>
            <w:tcBorders>
              <w:top w:val="nil"/>
              <w:left w:val="nil"/>
              <w:bottom w:val="single" w:color="000000" w:sz="8" w:space="0"/>
              <w:right w:val="single" w:color="000000" w:sz="8" w:space="0"/>
            </w:tcBorders>
            <w:tcMar>
              <w:top w:w="0" w:type="dxa"/>
              <w:left w:w="108" w:type="dxa"/>
              <w:bottom w:w="0" w:type="dxa"/>
              <w:right w:w="108" w:type="dxa"/>
            </w:tcMar>
            <w:vAlign w:val="center"/>
          </w:tcPr>
          <w:p>
            <w:pPr>
              <w:spacing w:line="360" w:lineRule="auto"/>
              <w:ind w:left="1134" w:right="-180" w:rightChars="-75" w:hanging="708"/>
              <w:jc w:val="center"/>
              <w:rPr>
                <w:color w:val="auto"/>
                <w:szCs w:val="24"/>
                <w:highlight w:val="none"/>
              </w:rPr>
            </w:pPr>
            <w:r>
              <w:rPr>
                <w:color w:val="auto"/>
                <w:szCs w:val="24"/>
                <w:highlight w:val="none"/>
              </w:rPr>
              <w:t>0.5级</w:t>
            </w:r>
          </w:p>
        </w:tc>
      </w:tr>
      <w:tr>
        <w:tblPrEx>
          <w:tblCellMar>
            <w:top w:w="0" w:type="dxa"/>
            <w:left w:w="0" w:type="dxa"/>
            <w:bottom w:w="0" w:type="dxa"/>
            <w:right w:w="0" w:type="dxa"/>
          </w:tblCellMar>
        </w:tblPrEx>
        <w:trPr>
          <w:trHeight w:val="198" w:hRule="atLeast"/>
        </w:trPr>
        <w:tc>
          <w:tcPr>
            <w:tcW w:w="0" w:type="auto"/>
            <w:vMerge w:val="restart"/>
            <w:tcBorders>
              <w:top w:val="nil"/>
              <w:left w:val="single" w:color="000000" w:sz="8" w:space="0"/>
              <w:bottom w:val="single" w:color="000000" w:sz="8" w:space="0"/>
              <w:right w:val="single" w:color="000000" w:sz="8" w:space="0"/>
            </w:tcBorders>
            <w:tcMar>
              <w:top w:w="0" w:type="dxa"/>
              <w:left w:w="108" w:type="dxa"/>
              <w:bottom w:w="0" w:type="dxa"/>
              <w:right w:w="108" w:type="dxa"/>
            </w:tcMar>
            <w:vAlign w:val="center"/>
          </w:tcPr>
          <w:p>
            <w:pPr>
              <w:spacing w:line="360" w:lineRule="auto"/>
              <w:ind w:left="1134" w:right="-180" w:rightChars="-75" w:hanging="708"/>
              <w:jc w:val="center"/>
              <w:rPr>
                <w:color w:val="auto"/>
                <w:szCs w:val="24"/>
                <w:highlight w:val="none"/>
              </w:rPr>
            </w:pPr>
            <w:r>
              <w:rPr>
                <w:color w:val="auto"/>
                <w:szCs w:val="24"/>
                <w:highlight w:val="none"/>
              </w:rPr>
              <w:t>功率因数</w:t>
            </w:r>
          </w:p>
        </w:tc>
        <w:tc>
          <w:tcPr>
            <w:tcW w:w="2635" w:type="dxa"/>
            <w:tcBorders>
              <w:top w:val="nil"/>
              <w:left w:val="nil"/>
              <w:bottom w:val="single" w:color="000000" w:sz="8" w:space="0"/>
              <w:right w:val="single" w:color="000000" w:sz="8" w:space="0"/>
            </w:tcBorders>
            <w:tcMar>
              <w:top w:w="0" w:type="dxa"/>
              <w:left w:w="108" w:type="dxa"/>
              <w:bottom w:w="0" w:type="dxa"/>
              <w:right w:w="108" w:type="dxa"/>
            </w:tcMar>
            <w:vAlign w:val="center"/>
          </w:tcPr>
          <w:p>
            <w:pPr>
              <w:spacing w:line="360" w:lineRule="auto"/>
              <w:ind w:left="1134" w:right="-180" w:rightChars="-75" w:hanging="708"/>
              <w:rPr>
                <w:color w:val="auto"/>
                <w:szCs w:val="24"/>
                <w:highlight w:val="none"/>
              </w:rPr>
            </w:pPr>
            <w:r>
              <w:rPr>
                <w:color w:val="auto"/>
                <w:szCs w:val="24"/>
                <w:highlight w:val="none"/>
              </w:rPr>
              <w:t>测量范围</w:t>
            </w:r>
          </w:p>
        </w:tc>
        <w:tc>
          <w:tcPr>
            <w:tcW w:w="3591" w:type="dxa"/>
            <w:tcBorders>
              <w:top w:val="nil"/>
              <w:left w:val="nil"/>
              <w:bottom w:val="single" w:color="000000" w:sz="8" w:space="0"/>
              <w:right w:val="single" w:color="000000" w:sz="8" w:space="0"/>
            </w:tcBorders>
            <w:tcMar>
              <w:top w:w="0" w:type="dxa"/>
              <w:left w:w="108" w:type="dxa"/>
              <w:bottom w:w="0" w:type="dxa"/>
              <w:right w:w="108" w:type="dxa"/>
            </w:tcMar>
            <w:vAlign w:val="center"/>
          </w:tcPr>
          <w:p>
            <w:pPr>
              <w:spacing w:line="360" w:lineRule="auto"/>
              <w:ind w:left="1134" w:right="-180" w:rightChars="-75" w:hanging="708"/>
              <w:jc w:val="center"/>
              <w:rPr>
                <w:color w:val="auto"/>
                <w:szCs w:val="24"/>
                <w:highlight w:val="none"/>
              </w:rPr>
            </w:pPr>
            <w:r>
              <w:rPr>
                <w:color w:val="auto"/>
                <w:szCs w:val="24"/>
                <w:highlight w:val="none"/>
              </w:rPr>
              <w:t>-1～1</w:t>
            </w:r>
          </w:p>
        </w:tc>
      </w:tr>
      <w:tr>
        <w:tblPrEx>
          <w:tblCellMar>
            <w:top w:w="0" w:type="dxa"/>
            <w:left w:w="0" w:type="dxa"/>
            <w:bottom w:w="0" w:type="dxa"/>
            <w:right w:w="0" w:type="dxa"/>
          </w:tblCellMar>
        </w:tblPrEx>
        <w:trPr>
          <w:trHeight w:val="160" w:hRule="atLeast"/>
        </w:trPr>
        <w:tc>
          <w:tcPr>
            <w:tcW w:w="0" w:type="auto"/>
            <w:vMerge w:val="continue"/>
            <w:tcBorders>
              <w:top w:val="nil"/>
              <w:left w:val="single" w:color="000000" w:sz="8" w:space="0"/>
              <w:bottom w:val="single" w:color="000000" w:sz="8" w:space="0"/>
              <w:right w:val="single" w:color="000000" w:sz="8" w:space="0"/>
            </w:tcBorders>
            <w:vAlign w:val="center"/>
          </w:tcPr>
          <w:p>
            <w:pPr>
              <w:spacing w:line="360" w:lineRule="auto"/>
              <w:ind w:left="1134" w:right="-180" w:rightChars="-75" w:hanging="708"/>
              <w:jc w:val="center"/>
              <w:rPr>
                <w:color w:val="auto"/>
                <w:szCs w:val="24"/>
                <w:highlight w:val="none"/>
              </w:rPr>
            </w:pPr>
          </w:p>
        </w:tc>
        <w:tc>
          <w:tcPr>
            <w:tcW w:w="2635" w:type="dxa"/>
            <w:tcBorders>
              <w:top w:val="nil"/>
              <w:left w:val="nil"/>
              <w:bottom w:val="single" w:color="000000" w:sz="8" w:space="0"/>
              <w:right w:val="single" w:color="000000" w:sz="8" w:space="0"/>
            </w:tcBorders>
            <w:tcMar>
              <w:top w:w="0" w:type="dxa"/>
              <w:left w:w="108" w:type="dxa"/>
              <w:bottom w:w="0" w:type="dxa"/>
              <w:right w:w="108" w:type="dxa"/>
            </w:tcMar>
            <w:vAlign w:val="center"/>
          </w:tcPr>
          <w:p>
            <w:pPr>
              <w:spacing w:line="360" w:lineRule="auto"/>
              <w:ind w:left="1134" w:right="-180" w:rightChars="-75" w:hanging="708"/>
              <w:rPr>
                <w:color w:val="auto"/>
                <w:szCs w:val="24"/>
                <w:highlight w:val="none"/>
              </w:rPr>
            </w:pPr>
            <w:r>
              <w:rPr>
                <w:color w:val="auto"/>
                <w:szCs w:val="24"/>
                <w:highlight w:val="none"/>
              </w:rPr>
              <w:t>测量精度</w:t>
            </w:r>
          </w:p>
        </w:tc>
        <w:tc>
          <w:tcPr>
            <w:tcW w:w="3591" w:type="dxa"/>
            <w:tcBorders>
              <w:top w:val="nil"/>
              <w:left w:val="nil"/>
              <w:bottom w:val="single" w:color="000000" w:sz="8" w:space="0"/>
              <w:right w:val="single" w:color="000000" w:sz="8" w:space="0"/>
            </w:tcBorders>
            <w:tcMar>
              <w:top w:w="0" w:type="dxa"/>
              <w:left w:w="108" w:type="dxa"/>
              <w:bottom w:w="0" w:type="dxa"/>
              <w:right w:w="108" w:type="dxa"/>
            </w:tcMar>
            <w:vAlign w:val="center"/>
          </w:tcPr>
          <w:p>
            <w:pPr>
              <w:spacing w:line="360" w:lineRule="auto"/>
              <w:ind w:left="1134" w:right="-180" w:rightChars="-75" w:hanging="708"/>
              <w:jc w:val="center"/>
              <w:rPr>
                <w:color w:val="auto"/>
                <w:szCs w:val="24"/>
                <w:highlight w:val="none"/>
              </w:rPr>
            </w:pPr>
            <w:r>
              <w:rPr>
                <w:color w:val="auto"/>
                <w:szCs w:val="24"/>
                <w:highlight w:val="none"/>
              </w:rPr>
              <w:t>0.5级</w:t>
            </w:r>
          </w:p>
        </w:tc>
      </w:tr>
      <w:tr>
        <w:tblPrEx>
          <w:tblCellMar>
            <w:top w:w="0" w:type="dxa"/>
            <w:left w:w="0" w:type="dxa"/>
            <w:bottom w:w="0" w:type="dxa"/>
            <w:right w:w="0" w:type="dxa"/>
          </w:tblCellMar>
        </w:tblPrEx>
        <w:trPr>
          <w:trHeight w:val="264" w:hRule="atLeast"/>
        </w:trPr>
        <w:tc>
          <w:tcPr>
            <w:tcW w:w="0" w:type="auto"/>
            <w:tcBorders>
              <w:top w:val="nil"/>
              <w:left w:val="single" w:color="000000" w:sz="8" w:space="0"/>
              <w:bottom w:val="single" w:color="000000" w:sz="8" w:space="0"/>
              <w:right w:val="single" w:color="000000" w:sz="8" w:space="0"/>
            </w:tcBorders>
            <w:tcMar>
              <w:top w:w="0" w:type="dxa"/>
              <w:left w:w="108" w:type="dxa"/>
              <w:bottom w:w="0" w:type="dxa"/>
              <w:right w:w="108" w:type="dxa"/>
            </w:tcMar>
            <w:vAlign w:val="center"/>
          </w:tcPr>
          <w:p>
            <w:pPr>
              <w:spacing w:line="360" w:lineRule="auto"/>
              <w:ind w:left="1134" w:right="-180" w:rightChars="-75" w:hanging="708"/>
              <w:jc w:val="center"/>
              <w:rPr>
                <w:color w:val="auto"/>
                <w:szCs w:val="24"/>
                <w:highlight w:val="none"/>
              </w:rPr>
            </w:pPr>
            <w:r>
              <w:rPr>
                <w:color w:val="auto"/>
                <w:szCs w:val="24"/>
                <w:highlight w:val="none"/>
              </w:rPr>
              <w:t>电能</w:t>
            </w:r>
          </w:p>
        </w:tc>
        <w:tc>
          <w:tcPr>
            <w:tcW w:w="2635" w:type="dxa"/>
            <w:tcBorders>
              <w:top w:val="nil"/>
              <w:left w:val="nil"/>
              <w:bottom w:val="single" w:color="000000" w:sz="8" w:space="0"/>
              <w:right w:val="single" w:color="000000" w:sz="8" w:space="0"/>
            </w:tcBorders>
            <w:tcMar>
              <w:top w:w="0" w:type="dxa"/>
              <w:left w:w="108" w:type="dxa"/>
              <w:bottom w:w="0" w:type="dxa"/>
              <w:right w:w="108" w:type="dxa"/>
            </w:tcMar>
            <w:vAlign w:val="center"/>
          </w:tcPr>
          <w:p>
            <w:pPr>
              <w:spacing w:line="360" w:lineRule="auto"/>
              <w:ind w:left="1134" w:right="-180" w:rightChars="-75" w:hanging="708"/>
              <w:rPr>
                <w:color w:val="auto"/>
                <w:szCs w:val="24"/>
                <w:highlight w:val="none"/>
              </w:rPr>
            </w:pPr>
            <w:r>
              <w:rPr>
                <w:color w:val="auto"/>
                <w:szCs w:val="24"/>
                <w:highlight w:val="none"/>
              </w:rPr>
              <w:t>测量精度</w:t>
            </w:r>
          </w:p>
        </w:tc>
        <w:tc>
          <w:tcPr>
            <w:tcW w:w="3591" w:type="dxa"/>
            <w:tcBorders>
              <w:top w:val="nil"/>
              <w:left w:val="nil"/>
              <w:bottom w:val="single" w:color="000000" w:sz="8" w:space="0"/>
              <w:right w:val="single" w:color="000000" w:sz="8" w:space="0"/>
            </w:tcBorders>
            <w:tcMar>
              <w:top w:w="0" w:type="dxa"/>
              <w:left w:w="108" w:type="dxa"/>
              <w:bottom w:w="0" w:type="dxa"/>
              <w:right w:w="108" w:type="dxa"/>
            </w:tcMar>
            <w:vAlign w:val="center"/>
          </w:tcPr>
          <w:p>
            <w:pPr>
              <w:spacing w:line="360" w:lineRule="auto"/>
              <w:ind w:left="1134" w:right="-180" w:rightChars="-75" w:hanging="708"/>
              <w:jc w:val="center"/>
              <w:rPr>
                <w:color w:val="auto"/>
                <w:szCs w:val="24"/>
                <w:highlight w:val="none"/>
              </w:rPr>
            </w:pPr>
            <w:r>
              <w:rPr>
                <w:color w:val="auto"/>
                <w:szCs w:val="24"/>
                <w:highlight w:val="none"/>
              </w:rPr>
              <w:t>0.5S</w:t>
            </w:r>
          </w:p>
        </w:tc>
      </w:tr>
    </w:tbl>
    <w:p>
      <w:pPr>
        <w:pStyle w:val="48"/>
        <w:spacing w:line="360" w:lineRule="auto"/>
        <w:ind w:left="1134" w:right="-180" w:rightChars="-75" w:hanging="708" w:firstLineChars="0"/>
        <w:rPr>
          <w:rFonts w:ascii="宋体" w:hAnsi="宋体" w:eastAsia="宋体" w:cs="宋体"/>
          <w:sz w:val="24"/>
          <w:szCs w:val="24"/>
          <w:highlight w:val="none"/>
        </w:rPr>
      </w:pPr>
    </w:p>
    <w:p>
      <w:pPr>
        <w:pStyle w:val="48"/>
        <w:spacing w:line="360" w:lineRule="auto"/>
        <w:ind w:left="1134" w:right="-180" w:rightChars="-75" w:hanging="708" w:firstLineChars="0"/>
        <w:rPr>
          <w:rFonts w:hint="eastAsia" w:ascii="宋体" w:hAnsi="宋体" w:eastAsia="宋体" w:cs="宋体"/>
          <w:sz w:val="24"/>
          <w:szCs w:val="24"/>
          <w:highlight w:val="none"/>
        </w:rPr>
      </w:pPr>
      <w:r>
        <w:rPr>
          <w:rFonts w:hint="eastAsia" w:ascii="宋体" w:hAnsi="宋体" w:eastAsia="宋体" w:cs="宋体"/>
          <w:sz w:val="24"/>
          <w:szCs w:val="24"/>
          <w:highlight w:val="none"/>
        </w:rPr>
        <w:t>3.SPD（电涌保护器）</w:t>
      </w:r>
    </w:p>
    <w:p>
      <w:pPr>
        <w:pStyle w:val="48"/>
        <w:spacing w:line="360" w:lineRule="auto"/>
        <w:ind w:left="1134" w:right="-180" w:rightChars="-75" w:hanging="708" w:firstLineChars="0"/>
        <w:rPr>
          <w:rFonts w:ascii="宋体" w:hAnsi="宋体" w:eastAsia="宋体" w:cs="宋体"/>
          <w:sz w:val="24"/>
          <w:szCs w:val="24"/>
          <w:highlight w:val="none"/>
        </w:rPr>
      </w:pPr>
      <w:r>
        <w:rPr>
          <w:rFonts w:hint="eastAsia" w:ascii="宋体" w:hAnsi="宋体" w:eastAsia="宋体" w:cs="宋体"/>
          <w:sz w:val="24"/>
          <w:szCs w:val="24"/>
          <w:highlight w:val="none"/>
        </w:rPr>
        <w:t>1)配电柜内置瞬态电压浪涌抑制器SPD（容量以图纸为准）;</w:t>
      </w:r>
    </w:p>
    <w:p>
      <w:pPr>
        <w:pStyle w:val="48"/>
        <w:spacing w:line="360" w:lineRule="auto"/>
        <w:ind w:left="1134" w:right="-180" w:rightChars="-75" w:hanging="708" w:firstLineChars="0"/>
        <w:rPr>
          <w:rFonts w:ascii="宋体" w:hAnsi="宋体" w:eastAsia="宋体" w:cs="宋体"/>
          <w:sz w:val="24"/>
          <w:szCs w:val="24"/>
          <w:highlight w:val="none"/>
        </w:rPr>
      </w:pPr>
      <w:r>
        <w:rPr>
          <w:rFonts w:hint="eastAsia" w:ascii="宋体" w:hAnsi="宋体" w:eastAsia="宋体" w:cs="宋体"/>
          <w:sz w:val="24"/>
          <w:szCs w:val="24"/>
          <w:highlight w:val="none"/>
        </w:rPr>
        <w:t xml:space="preserve">2)相关元器件需提供原厂直供证明; </w:t>
      </w:r>
    </w:p>
    <w:p>
      <w:pPr>
        <w:pStyle w:val="48"/>
        <w:spacing w:line="360" w:lineRule="auto"/>
        <w:ind w:left="1134" w:right="-180" w:rightChars="-75" w:hanging="708" w:firstLineChars="0"/>
        <w:rPr>
          <w:rFonts w:ascii="宋体" w:hAnsi="宋体" w:eastAsia="宋体" w:cs="宋体"/>
          <w:sz w:val="24"/>
          <w:szCs w:val="24"/>
          <w:highlight w:val="none"/>
        </w:rPr>
      </w:pPr>
      <w:r>
        <w:rPr>
          <w:rFonts w:hint="eastAsia" w:ascii="宋体" w:hAnsi="宋体" w:eastAsia="宋体" w:cs="宋体"/>
          <w:sz w:val="24"/>
          <w:szCs w:val="24"/>
          <w:highlight w:val="none"/>
        </w:rPr>
        <w:t>3)标称工作电压需为三相，380Vac，50Hz，最大持续运行电压385V;</w:t>
      </w:r>
    </w:p>
    <w:p>
      <w:pPr>
        <w:pStyle w:val="48"/>
        <w:spacing w:line="360" w:lineRule="auto"/>
        <w:ind w:left="1134" w:right="-180" w:rightChars="-75" w:hanging="708" w:firstLineChars="0"/>
        <w:rPr>
          <w:rFonts w:ascii="宋体" w:hAnsi="宋体" w:eastAsia="宋体" w:cs="宋体"/>
          <w:sz w:val="24"/>
          <w:szCs w:val="24"/>
          <w:highlight w:val="none"/>
        </w:rPr>
      </w:pPr>
      <w:r>
        <w:rPr>
          <w:rFonts w:hint="eastAsia" w:ascii="宋体" w:hAnsi="宋体" w:eastAsia="宋体" w:cs="宋体"/>
          <w:sz w:val="24"/>
          <w:szCs w:val="24"/>
          <w:highlight w:val="none"/>
        </w:rPr>
        <w:t>4)各相防护采用压敏电阻技术，防雷单元需内置热脱扣装置;</w:t>
      </w:r>
    </w:p>
    <w:p>
      <w:pPr>
        <w:pStyle w:val="48"/>
        <w:spacing w:line="360" w:lineRule="auto"/>
        <w:ind w:left="1134" w:right="-180" w:rightChars="-75" w:hanging="708" w:firstLineChars="0"/>
        <w:rPr>
          <w:rFonts w:ascii="宋体" w:hAnsi="宋体" w:eastAsia="宋体" w:cs="宋体"/>
          <w:sz w:val="24"/>
          <w:szCs w:val="24"/>
          <w:highlight w:val="none"/>
        </w:rPr>
      </w:pPr>
      <w:r>
        <w:rPr>
          <w:rFonts w:hint="eastAsia" w:ascii="宋体" w:hAnsi="宋体" w:eastAsia="宋体" w:cs="宋体"/>
          <w:sz w:val="24"/>
          <w:szCs w:val="24"/>
          <w:highlight w:val="none"/>
        </w:rPr>
        <w:t>5)响应时间≤25ns;</w:t>
      </w:r>
    </w:p>
    <w:p>
      <w:pPr>
        <w:pStyle w:val="48"/>
        <w:spacing w:line="360" w:lineRule="auto"/>
        <w:ind w:left="1134" w:right="-180" w:rightChars="-75" w:hanging="708" w:firstLineChars="0"/>
        <w:rPr>
          <w:rFonts w:ascii="宋体" w:hAnsi="宋体" w:eastAsia="宋体" w:cs="宋体"/>
          <w:sz w:val="24"/>
          <w:szCs w:val="24"/>
          <w:highlight w:val="none"/>
        </w:rPr>
      </w:pPr>
      <w:r>
        <w:rPr>
          <w:rFonts w:hint="eastAsia" w:ascii="宋体" w:hAnsi="宋体" w:eastAsia="宋体" w:cs="宋体"/>
          <w:sz w:val="24"/>
          <w:szCs w:val="24"/>
          <w:highlight w:val="none"/>
        </w:rPr>
        <w:t>6)残留电压≤2500V，对设备进行最有效的过电压防护;</w:t>
      </w:r>
    </w:p>
    <w:p>
      <w:pPr>
        <w:pStyle w:val="48"/>
        <w:spacing w:line="360" w:lineRule="auto"/>
        <w:ind w:left="1134" w:right="-180" w:rightChars="-75" w:hanging="708" w:firstLineChars="0"/>
        <w:rPr>
          <w:rFonts w:ascii="宋体" w:hAnsi="宋体" w:eastAsia="宋体" w:cs="宋体"/>
          <w:sz w:val="24"/>
          <w:szCs w:val="24"/>
          <w:highlight w:val="none"/>
        </w:rPr>
      </w:pPr>
      <w:r>
        <w:rPr>
          <w:rFonts w:hint="eastAsia" w:ascii="宋体" w:hAnsi="宋体" w:eastAsia="宋体" w:cs="宋体"/>
          <w:sz w:val="24"/>
          <w:szCs w:val="24"/>
          <w:highlight w:val="none"/>
        </w:rPr>
        <w:t>7)要求有实时劣化失效状态指示窗口，对保护设备的状态进行监控;</w:t>
      </w:r>
    </w:p>
    <w:p>
      <w:pPr>
        <w:pStyle w:val="48"/>
        <w:spacing w:line="360" w:lineRule="auto"/>
        <w:ind w:left="1134" w:right="-180" w:rightChars="-75" w:hanging="708" w:firstLineChars="0"/>
        <w:rPr>
          <w:rFonts w:ascii="宋体" w:hAnsi="宋体" w:eastAsia="宋体" w:cs="宋体"/>
          <w:sz w:val="24"/>
          <w:szCs w:val="24"/>
          <w:highlight w:val="none"/>
        </w:rPr>
      </w:pPr>
      <w:r>
        <w:rPr>
          <w:rFonts w:hint="eastAsia" w:ascii="宋体" w:hAnsi="宋体" w:eastAsia="宋体" w:cs="宋体"/>
          <w:sz w:val="24"/>
          <w:szCs w:val="24"/>
          <w:highlight w:val="none"/>
        </w:rPr>
        <w:t>8)具备告警状态干节点功能</w:t>
      </w:r>
    </w:p>
    <w:p>
      <w:pPr>
        <w:pStyle w:val="48"/>
        <w:spacing w:line="360" w:lineRule="auto"/>
        <w:ind w:left="1134" w:right="-180" w:rightChars="-75" w:hanging="708" w:firstLineChars="0"/>
        <w:rPr>
          <w:rFonts w:ascii="宋体" w:hAnsi="宋体" w:eastAsia="宋体" w:cs="宋体"/>
          <w:sz w:val="24"/>
          <w:szCs w:val="24"/>
          <w:highlight w:val="none"/>
        </w:rPr>
      </w:pPr>
      <w:r>
        <w:rPr>
          <w:rFonts w:hint="eastAsia" w:ascii="宋体" w:hAnsi="宋体" w:eastAsia="宋体" w:cs="宋体"/>
          <w:sz w:val="24"/>
          <w:szCs w:val="24"/>
          <w:highlight w:val="none"/>
        </w:rPr>
        <w:t>4.其他器件</w:t>
      </w:r>
    </w:p>
    <w:p>
      <w:pPr>
        <w:pStyle w:val="48"/>
        <w:spacing w:line="360" w:lineRule="auto"/>
        <w:ind w:left="734" w:right="-180" w:rightChars="-75" w:hanging="308" w:firstLineChars="0"/>
        <w:rPr>
          <w:rFonts w:ascii="宋体" w:hAnsi="宋体" w:eastAsia="宋体" w:cs="宋体"/>
          <w:sz w:val="24"/>
          <w:szCs w:val="24"/>
          <w:highlight w:val="none"/>
        </w:rPr>
      </w:pPr>
      <w:r>
        <w:rPr>
          <w:rFonts w:hint="eastAsia" w:ascii="宋体" w:hAnsi="宋体" w:eastAsia="宋体" w:cs="宋体"/>
          <w:sz w:val="24"/>
          <w:szCs w:val="24"/>
          <w:highlight w:val="none"/>
        </w:rPr>
        <w:t>1)其他元器件选用国产优质产品，质量良好、符合设计、外观完好且附件齐全。安装整齐，固定牢固电器元件的安装遵守原件制造厂的规定，电器元件安装时特别注意因发热而互相影响，发热元件应安装在散热良好的位置，各元器件能单独拆装更换而不影响其他电器及导线束的固定;</w:t>
      </w:r>
    </w:p>
    <w:p>
      <w:pPr>
        <w:pStyle w:val="48"/>
        <w:spacing w:line="360" w:lineRule="auto"/>
        <w:ind w:left="734" w:right="-180" w:rightChars="-75" w:hanging="308" w:firstLineChars="0"/>
        <w:rPr>
          <w:rFonts w:ascii="宋体" w:hAnsi="宋体" w:eastAsia="宋体" w:cs="宋体"/>
          <w:sz w:val="24"/>
          <w:szCs w:val="24"/>
          <w:highlight w:val="none"/>
        </w:rPr>
      </w:pPr>
      <w:r>
        <w:rPr>
          <w:rFonts w:hint="eastAsia" w:ascii="宋体" w:hAnsi="宋体" w:eastAsia="宋体" w:cs="宋体"/>
          <w:sz w:val="24"/>
          <w:szCs w:val="24"/>
          <w:highlight w:val="none"/>
        </w:rPr>
        <w:t>2)机架内电气元器件间二次连接线均为铜质多股镀锡导线，绝缘电压不低于660V，连接线应无伤痕，导线二端均有标记，导线颜色符合标准;</w:t>
      </w:r>
    </w:p>
    <w:p>
      <w:pPr>
        <w:pStyle w:val="48"/>
        <w:spacing w:line="360" w:lineRule="auto"/>
        <w:ind w:left="734" w:right="-180" w:rightChars="-75" w:hanging="308" w:firstLineChars="0"/>
        <w:rPr>
          <w:rFonts w:ascii="宋体" w:hAnsi="宋体" w:eastAsia="宋体" w:cs="宋体"/>
          <w:sz w:val="24"/>
          <w:szCs w:val="24"/>
          <w:highlight w:val="none"/>
        </w:rPr>
      </w:pPr>
      <w:r>
        <w:rPr>
          <w:rFonts w:hint="eastAsia" w:ascii="宋体" w:hAnsi="宋体" w:eastAsia="宋体" w:cs="宋体"/>
          <w:sz w:val="24"/>
          <w:szCs w:val="24"/>
          <w:highlight w:val="none"/>
        </w:rPr>
        <w:t>3)机架内保护导体应有裸露的连接保护导体的端子;</w:t>
      </w:r>
    </w:p>
    <w:p>
      <w:pPr>
        <w:pStyle w:val="48"/>
        <w:spacing w:line="360" w:lineRule="auto"/>
        <w:ind w:left="734" w:right="-180" w:rightChars="-75" w:hanging="308" w:firstLineChars="0"/>
        <w:rPr>
          <w:rFonts w:ascii="宋体" w:hAnsi="宋体" w:eastAsia="宋体" w:cs="宋体"/>
          <w:sz w:val="24"/>
          <w:szCs w:val="24"/>
          <w:highlight w:val="none"/>
        </w:rPr>
      </w:pPr>
      <w:r>
        <w:rPr>
          <w:rFonts w:hint="eastAsia" w:ascii="宋体" w:hAnsi="宋体" w:eastAsia="宋体" w:cs="宋体"/>
          <w:sz w:val="24"/>
          <w:szCs w:val="24"/>
          <w:highlight w:val="none"/>
        </w:rPr>
        <w:t>4)裸露电源线、铜柱或接头应做绝缘处理。</w:t>
      </w:r>
    </w:p>
    <w:p>
      <w:pPr>
        <w:pStyle w:val="48"/>
        <w:numPr>
          <w:ilvl w:val="255"/>
          <w:numId w:val="0"/>
        </w:numPr>
        <w:spacing w:line="360" w:lineRule="auto"/>
        <w:ind w:left="426" w:right="-180" w:rightChars="-75"/>
        <w:rPr>
          <w:rFonts w:ascii="宋体" w:hAnsi="宋体" w:eastAsia="宋体" w:cs="宋体"/>
          <w:sz w:val="24"/>
          <w:szCs w:val="24"/>
          <w:highlight w:val="none"/>
        </w:rPr>
      </w:pPr>
      <w:r>
        <w:rPr>
          <w:rFonts w:hint="eastAsia" w:ascii="宋体" w:hAnsi="宋体" w:eastAsia="宋体" w:cs="宋体"/>
          <w:sz w:val="24"/>
          <w:szCs w:val="24"/>
          <w:highlight w:val="none"/>
        </w:rPr>
        <w:t>(4)一体化方案要求</w:t>
      </w:r>
    </w:p>
    <w:p>
      <w:pPr>
        <w:pStyle w:val="48"/>
        <w:spacing w:line="360" w:lineRule="auto"/>
        <w:ind w:left="734" w:right="-180" w:rightChars="-75" w:hanging="308" w:firstLineChars="0"/>
        <w:rPr>
          <w:rFonts w:ascii="宋体" w:hAnsi="宋体" w:eastAsia="宋体" w:cs="宋体"/>
          <w:sz w:val="24"/>
          <w:szCs w:val="24"/>
          <w:highlight w:val="none"/>
        </w:rPr>
      </w:pPr>
      <w:r>
        <w:rPr>
          <w:rFonts w:hint="eastAsia" w:ascii="宋体" w:hAnsi="宋体" w:eastAsia="宋体" w:cs="宋体"/>
          <w:sz w:val="24"/>
          <w:szCs w:val="24"/>
          <w:highlight w:val="none"/>
        </w:rPr>
        <w:t>1)因机房配电室空间有限，所投标一体化供配电系统中UPS与配电柜需为同一品牌，一体式设计；低压配电系统（含UPS输入柜、UPS输出柜）、UPS主机，需提供产品清单及型号及有效的检验报告，检验报告指具有CMA或CNAS或CAL资质的第三方权威检测机构出具的检验报告扫描件或复印件，并加盖原厂盖章。</w:t>
      </w:r>
    </w:p>
    <w:p>
      <w:pPr>
        <w:pStyle w:val="48"/>
        <w:spacing w:line="360" w:lineRule="auto"/>
        <w:ind w:left="1134" w:right="-180" w:rightChars="-75" w:hanging="708" w:firstLineChars="0"/>
        <w:rPr>
          <w:rFonts w:ascii="宋体" w:hAnsi="宋体" w:eastAsia="宋体" w:cs="宋体"/>
          <w:sz w:val="24"/>
          <w:szCs w:val="24"/>
          <w:highlight w:val="none"/>
        </w:rPr>
      </w:pPr>
      <w:r>
        <w:rPr>
          <w:rFonts w:hint="eastAsia" w:ascii="宋体" w:hAnsi="宋体" w:eastAsia="宋体" w:cs="宋体"/>
          <w:sz w:val="24"/>
          <w:szCs w:val="24"/>
          <w:highlight w:val="none"/>
        </w:rPr>
        <w:t>2) UPS与配电柜系统采用内部铜排连接，在工厂内预制好，不接受现场电缆的连接方式。</w:t>
      </w:r>
    </w:p>
    <w:p>
      <w:pPr>
        <w:pStyle w:val="48"/>
        <w:numPr>
          <w:ilvl w:val="255"/>
          <w:numId w:val="0"/>
        </w:numPr>
        <w:spacing w:line="360" w:lineRule="auto"/>
        <w:ind w:left="426" w:right="-180" w:rightChars="-75"/>
        <w:rPr>
          <w:rFonts w:ascii="宋体" w:hAnsi="宋体" w:eastAsia="宋体" w:cs="宋体"/>
          <w:sz w:val="24"/>
          <w:szCs w:val="24"/>
          <w:highlight w:val="none"/>
        </w:rPr>
      </w:pPr>
      <w:r>
        <w:rPr>
          <w:rFonts w:hint="eastAsia" w:ascii="宋体" w:hAnsi="宋体" w:eastAsia="宋体" w:cs="宋体"/>
          <w:sz w:val="24"/>
          <w:szCs w:val="24"/>
          <w:highlight w:val="none"/>
        </w:rPr>
        <w:t xml:space="preserve">(5)智能监控管理系统要求 </w:t>
      </w:r>
    </w:p>
    <w:p>
      <w:pPr>
        <w:pStyle w:val="48"/>
        <w:numPr>
          <w:ilvl w:val="0"/>
          <w:numId w:val="72"/>
        </w:numPr>
        <w:spacing w:line="360" w:lineRule="auto"/>
        <w:ind w:left="734" w:right="-180" w:rightChars="-75" w:hanging="308" w:firstLineChars="0"/>
        <w:rPr>
          <w:rFonts w:ascii="宋体" w:hAnsi="宋体" w:eastAsia="宋体" w:cs="宋体"/>
          <w:sz w:val="24"/>
          <w:szCs w:val="24"/>
          <w:highlight w:val="none"/>
        </w:rPr>
      </w:pPr>
      <w:r>
        <w:rPr>
          <w:rFonts w:hint="eastAsia" w:ascii="宋体" w:hAnsi="宋体" w:eastAsia="宋体" w:cs="宋体"/>
          <w:sz w:val="24"/>
          <w:szCs w:val="24"/>
          <w:highlight w:val="none"/>
        </w:rPr>
        <w:t>一体化供配电系统内需配置配电监控系统，采用一线品牌智能配电管理系统。能够实时监测系统中各分支回路、UPS的运行参数和状态。</w:t>
      </w:r>
    </w:p>
    <w:p>
      <w:pPr>
        <w:pStyle w:val="48"/>
        <w:numPr>
          <w:ilvl w:val="0"/>
          <w:numId w:val="72"/>
        </w:numPr>
        <w:spacing w:line="360" w:lineRule="auto"/>
        <w:ind w:left="734" w:right="-180" w:rightChars="-75" w:hanging="308" w:firstLineChars="0"/>
        <w:rPr>
          <w:rFonts w:ascii="宋体" w:hAnsi="宋体" w:eastAsia="宋体" w:cs="宋体"/>
          <w:sz w:val="24"/>
          <w:szCs w:val="24"/>
          <w:highlight w:val="none"/>
        </w:rPr>
      </w:pPr>
      <w:r>
        <w:rPr>
          <w:rFonts w:hint="eastAsia" w:ascii="宋体" w:hAnsi="宋体" w:eastAsia="宋体" w:cs="宋体"/>
          <w:sz w:val="24"/>
          <w:szCs w:val="24"/>
          <w:highlight w:val="none"/>
        </w:rPr>
        <w:t xml:space="preserve">需具有13寸及以上彩色触摸屏. </w:t>
      </w:r>
    </w:p>
    <w:p>
      <w:pPr>
        <w:pStyle w:val="48"/>
        <w:numPr>
          <w:ilvl w:val="0"/>
          <w:numId w:val="72"/>
        </w:numPr>
        <w:spacing w:line="360" w:lineRule="auto"/>
        <w:ind w:left="734" w:right="-180" w:rightChars="-75" w:hanging="308" w:firstLineChars="0"/>
        <w:rPr>
          <w:rFonts w:ascii="宋体" w:hAnsi="宋体" w:eastAsia="宋体" w:cs="宋体"/>
          <w:sz w:val="24"/>
          <w:szCs w:val="24"/>
          <w:highlight w:val="none"/>
        </w:rPr>
      </w:pPr>
      <w:r>
        <w:rPr>
          <w:rFonts w:hint="eastAsia" w:ascii="宋体" w:hAnsi="宋体" w:eastAsia="宋体" w:cs="宋体"/>
          <w:sz w:val="24"/>
          <w:szCs w:val="24"/>
          <w:highlight w:val="none"/>
        </w:rPr>
        <w:t xml:space="preserve">有整个配电系统的单线图显示方式，系统中所涉及到的分支回路、UPS都能够在单线图中体现，能够实时显示系统中电流流向及运行状况，需提供实物产品照片进行佐证。 </w:t>
      </w:r>
    </w:p>
    <w:p>
      <w:pPr>
        <w:pStyle w:val="48"/>
        <w:numPr>
          <w:ilvl w:val="0"/>
          <w:numId w:val="72"/>
        </w:numPr>
        <w:spacing w:line="360" w:lineRule="auto"/>
        <w:ind w:left="734" w:right="-180" w:rightChars="-75" w:hanging="308" w:firstLineChars="0"/>
        <w:rPr>
          <w:rFonts w:ascii="宋体" w:hAnsi="宋体" w:eastAsia="宋体" w:cs="宋体"/>
          <w:sz w:val="24"/>
          <w:szCs w:val="24"/>
          <w:highlight w:val="none"/>
        </w:rPr>
      </w:pPr>
      <w:r>
        <w:rPr>
          <w:rFonts w:hint="eastAsia" w:ascii="宋体" w:hAnsi="宋体" w:eastAsia="宋体" w:cs="宋体"/>
          <w:sz w:val="24"/>
          <w:szCs w:val="24"/>
          <w:highlight w:val="none"/>
        </w:rPr>
        <w:t xml:space="preserve">配电柜可支持能够检测系统中各分支回路和UPS的实时运行参数，配电分支回路监测参量包括但不限于：电压、电流、频率、谐波、电量、功率因数，有功功率，无功功率等 ，UPS监测参量包括但不限于： </w:t>
      </w:r>
    </w:p>
    <w:p>
      <w:pPr>
        <w:pStyle w:val="48"/>
        <w:numPr>
          <w:ilvl w:val="0"/>
          <w:numId w:val="72"/>
        </w:numPr>
        <w:spacing w:line="360" w:lineRule="auto"/>
        <w:ind w:left="734" w:right="-180" w:rightChars="-75" w:hanging="308" w:firstLineChars="0"/>
        <w:rPr>
          <w:rFonts w:ascii="宋体" w:hAnsi="宋体" w:eastAsia="宋体" w:cs="宋体"/>
          <w:sz w:val="24"/>
          <w:szCs w:val="24"/>
          <w:highlight w:val="none"/>
        </w:rPr>
      </w:pPr>
      <w:r>
        <w:rPr>
          <w:rFonts w:hint="eastAsia" w:ascii="宋体" w:hAnsi="宋体" w:eastAsia="宋体" w:cs="宋体"/>
          <w:sz w:val="24"/>
          <w:szCs w:val="24"/>
          <w:highlight w:val="none"/>
        </w:rPr>
        <w:t>配电柜可支持具有设备列表功能，能够在设备列表中查询到各设备的运行状况及电参量。</w:t>
      </w:r>
    </w:p>
    <w:p>
      <w:pPr>
        <w:pStyle w:val="48"/>
        <w:numPr>
          <w:ilvl w:val="0"/>
          <w:numId w:val="72"/>
        </w:numPr>
        <w:spacing w:line="360" w:lineRule="auto"/>
        <w:ind w:left="734" w:right="-180" w:rightChars="-75" w:hanging="308" w:firstLineChars="0"/>
        <w:rPr>
          <w:rFonts w:ascii="宋体" w:hAnsi="宋体" w:eastAsia="宋体" w:cs="宋体"/>
          <w:sz w:val="24"/>
          <w:szCs w:val="24"/>
          <w:highlight w:val="none"/>
        </w:rPr>
      </w:pPr>
      <w:r>
        <w:rPr>
          <w:rFonts w:hint="eastAsia" w:ascii="宋体" w:hAnsi="宋体" w:eastAsia="宋体" w:cs="宋体"/>
          <w:sz w:val="24"/>
          <w:szCs w:val="24"/>
          <w:highlight w:val="none"/>
        </w:rPr>
        <w:t>配电柜可支持具有电源跟踪记录功能，能够实时掌握电源波形状况，当发生故障时能够将故障波形记录下来，需提供相关的录波截图证明文件。</w:t>
      </w:r>
    </w:p>
    <w:p>
      <w:pPr>
        <w:pStyle w:val="48"/>
        <w:numPr>
          <w:ilvl w:val="0"/>
          <w:numId w:val="72"/>
        </w:numPr>
        <w:spacing w:line="360" w:lineRule="auto"/>
        <w:ind w:left="734" w:right="-180" w:rightChars="-75" w:hanging="308" w:firstLineChars="0"/>
        <w:rPr>
          <w:rFonts w:ascii="宋体" w:hAnsi="宋体" w:eastAsia="宋体" w:cs="宋体"/>
          <w:sz w:val="24"/>
          <w:szCs w:val="24"/>
          <w:highlight w:val="none"/>
        </w:rPr>
      </w:pPr>
      <w:r>
        <w:rPr>
          <w:rFonts w:hint="eastAsia" w:ascii="宋体" w:hAnsi="宋体" w:eastAsia="宋体" w:cs="宋体"/>
          <w:sz w:val="24"/>
          <w:szCs w:val="24"/>
          <w:highlight w:val="none"/>
        </w:rPr>
        <w:t>配电柜可支持具有系统中关键连接点的温度检测功能，在出现温度异常变化或者温度超限的情况下能够发出告警信号。</w:t>
      </w:r>
    </w:p>
    <w:p>
      <w:pPr>
        <w:pStyle w:val="48"/>
        <w:numPr>
          <w:ilvl w:val="0"/>
          <w:numId w:val="72"/>
        </w:numPr>
        <w:spacing w:line="360" w:lineRule="auto"/>
        <w:ind w:left="734" w:right="-180" w:rightChars="-75" w:hanging="308" w:firstLineChars="0"/>
        <w:rPr>
          <w:rFonts w:ascii="宋体" w:hAnsi="宋体" w:eastAsia="宋体" w:cs="宋体"/>
          <w:sz w:val="24"/>
          <w:szCs w:val="24"/>
          <w:highlight w:val="none"/>
        </w:rPr>
      </w:pPr>
      <w:r>
        <w:rPr>
          <w:rFonts w:hint="eastAsia" w:ascii="宋体" w:hAnsi="宋体" w:eastAsia="宋体" w:cs="宋体"/>
          <w:sz w:val="24"/>
          <w:szCs w:val="24"/>
          <w:highlight w:val="none"/>
        </w:rPr>
        <w:t>配电柜可支持具有丰富的事件告警记录功能，并能与故障实际位置进行匹配，能够快速定位故障位置，显示系统当前事件信息、事件类型、事件发生时间和结束时间、以及故障波形等，并支持按条件过滤查看，支持20000条事件记录功能。</w:t>
      </w:r>
    </w:p>
    <w:p>
      <w:pPr>
        <w:pStyle w:val="48"/>
        <w:numPr>
          <w:ilvl w:val="0"/>
          <w:numId w:val="72"/>
        </w:numPr>
        <w:spacing w:line="360" w:lineRule="auto"/>
        <w:ind w:left="734" w:right="-180" w:rightChars="-75" w:hanging="308" w:firstLineChars="0"/>
        <w:rPr>
          <w:rFonts w:ascii="宋体" w:hAnsi="宋体" w:eastAsia="宋体" w:cs="宋体"/>
          <w:sz w:val="24"/>
          <w:szCs w:val="24"/>
          <w:highlight w:val="none"/>
        </w:rPr>
      </w:pPr>
      <w:r>
        <w:rPr>
          <w:rFonts w:hint="eastAsia" w:ascii="宋体" w:hAnsi="宋体" w:eastAsia="宋体" w:cs="宋体"/>
          <w:sz w:val="24"/>
          <w:szCs w:val="24"/>
          <w:highlight w:val="none"/>
        </w:rPr>
        <w:t>配电柜可支持需具有分析报告功能，能够提供分支路的能耗记录报告，操作记录报告等，也可根据需要进行非标定制</w:t>
      </w:r>
    </w:p>
    <w:p>
      <w:pPr>
        <w:pStyle w:val="48"/>
        <w:numPr>
          <w:ilvl w:val="0"/>
          <w:numId w:val="72"/>
        </w:numPr>
        <w:spacing w:line="360" w:lineRule="auto"/>
        <w:ind w:left="734" w:right="-180" w:rightChars="-75" w:hanging="308" w:firstLineChars="0"/>
        <w:rPr>
          <w:rFonts w:ascii="宋体" w:hAnsi="宋体" w:eastAsia="宋体" w:cs="宋体"/>
          <w:sz w:val="24"/>
          <w:szCs w:val="24"/>
          <w:highlight w:val="none"/>
        </w:rPr>
      </w:pPr>
      <w:r>
        <w:rPr>
          <w:rFonts w:hint="eastAsia" w:ascii="宋体" w:hAnsi="宋体" w:eastAsia="宋体" w:cs="宋体"/>
          <w:sz w:val="24"/>
          <w:szCs w:val="24"/>
          <w:highlight w:val="none"/>
        </w:rPr>
        <w:t>配电柜可支持具有CB整定分析功能，能设置和展示各个断路器的特性曲线，对上下级断路器特性曲线进行比较和匹配分析，展示匹配的异常区域，且当上下级断路器匹配异常，发出告警，重新设置整定参数。</w:t>
      </w:r>
    </w:p>
    <w:p>
      <w:pPr>
        <w:pStyle w:val="48"/>
        <w:numPr>
          <w:ilvl w:val="0"/>
          <w:numId w:val="72"/>
        </w:numPr>
        <w:spacing w:line="360" w:lineRule="auto"/>
        <w:ind w:left="734" w:right="-180" w:rightChars="-75" w:hanging="308" w:firstLineChars="0"/>
        <w:rPr>
          <w:rFonts w:ascii="宋体" w:hAnsi="宋体" w:eastAsia="宋体" w:cs="宋体"/>
          <w:sz w:val="24"/>
          <w:szCs w:val="24"/>
          <w:highlight w:val="none"/>
        </w:rPr>
      </w:pPr>
      <w:r>
        <w:rPr>
          <w:rFonts w:hint="eastAsia" w:ascii="宋体" w:hAnsi="宋体" w:eastAsia="宋体" w:cs="宋体"/>
          <w:sz w:val="24"/>
          <w:szCs w:val="24"/>
          <w:highlight w:val="none"/>
        </w:rPr>
        <w:t xml:space="preserve">具有RS485或者网口功能，需配合动环监控厂家完成后续动环监控需求，需免费提供通讯协议。系统内的二次线在工厂预制好，通过一个接口能够将系统中的所有数据信息上传。 </w:t>
      </w:r>
    </w:p>
    <w:p>
      <w:pPr>
        <w:pStyle w:val="48"/>
        <w:numPr>
          <w:ilvl w:val="0"/>
          <w:numId w:val="72"/>
        </w:numPr>
        <w:spacing w:line="360" w:lineRule="auto"/>
        <w:ind w:left="734" w:right="-180" w:rightChars="-75" w:hanging="308" w:firstLineChars="0"/>
        <w:rPr>
          <w:rFonts w:ascii="宋体" w:hAnsi="宋体" w:eastAsia="宋体" w:cs="宋体"/>
          <w:sz w:val="24"/>
          <w:szCs w:val="24"/>
          <w:highlight w:val="none"/>
        </w:rPr>
      </w:pPr>
      <w:r>
        <w:rPr>
          <w:rFonts w:hint="eastAsia" w:ascii="宋体" w:hAnsi="宋体" w:eastAsia="宋体" w:cs="宋体"/>
          <w:sz w:val="24"/>
          <w:szCs w:val="24"/>
          <w:highlight w:val="none"/>
        </w:rPr>
        <w:t>具有参数设定功能，能够在本地对参数进行设置。</w:t>
      </w:r>
    </w:p>
    <w:p>
      <w:pPr>
        <w:pStyle w:val="48"/>
        <w:numPr>
          <w:ilvl w:val="0"/>
          <w:numId w:val="72"/>
        </w:numPr>
        <w:spacing w:line="360" w:lineRule="auto"/>
        <w:ind w:left="734" w:right="-180" w:rightChars="-75" w:hanging="308" w:firstLineChars="0"/>
        <w:rPr>
          <w:rFonts w:ascii="宋体" w:hAnsi="宋体" w:eastAsia="宋体" w:cs="宋体"/>
          <w:sz w:val="24"/>
          <w:szCs w:val="24"/>
          <w:highlight w:val="none"/>
        </w:rPr>
      </w:pPr>
      <w:r>
        <w:rPr>
          <w:rFonts w:hint="eastAsia" w:ascii="宋体" w:hAnsi="宋体" w:eastAsia="宋体" w:cs="宋体"/>
          <w:sz w:val="24"/>
          <w:szCs w:val="24"/>
          <w:highlight w:val="none"/>
        </w:rPr>
        <w:t>要求配电柜以及UPS整体高度统一，不超过2200mm。</w:t>
      </w:r>
    </w:p>
    <w:p>
      <w:pPr>
        <w:pStyle w:val="48"/>
        <w:numPr>
          <w:ilvl w:val="0"/>
          <w:numId w:val="72"/>
        </w:numPr>
        <w:spacing w:line="360" w:lineRule="auto"/>
        <w:ind w:left="734" w:right="-180" w:rightChars="-75" w:hanging="308" w:firstLineChars="0"/>
        <w:rPr>
          <w:rFonts w:ascii="宋体" w:hAnsi="宋体" w:eastAsia="宋体" w:cs="宋体"/>
          <w:sz w:val="24"/>
          <w:szCs w:val="24"/>
          <w:highlight w:val="none"/>
        </w:rPr>
      </w:pPr>
      <w:r>
        <w:rPr>
          <w:rFonts w:hint="eastAsia" w:ascii="宋体" w:hAnsi="宋体" w:eastAsia="宋体" w:cs="宋体"/>
          <w:sz w:val="24"/>
          <w:szCs w:val="24"/>
          <w:highlight w:val="none"/>
        </w:rPr>
        <w:t>要求每台UPS必须单独配置UPS输入输出柜。</w:t>
      </w:r>
    </w:p>
    <w:p>
      <w:pPr>
        <w:pStyle w:val="48"/>
        <w:numPr>
          <w:ilvl w:val="255"/>
          <w:numId w:val="0"/>
        </w:numPr>
        <w:spacing w:line="360" w:lineRule="auto"/>
        <w:ind w:left="426" w:right="-180" w:rightChars="-75" w:firstLine="480" w:firstLineChars="200"/>
        <w:rPr>
          <w:rFonts w:ascii="宋体" w:hAnsi="宋体" w:eastAsia="宋体" w:cs="宋体"/>
          <w:sz w:val="24"/>
          <w:szCs w:val="24"/>
          <w:highlight w:val="none"/>
        </w:rPr>
      </w:pPr>
      <w:r>
        <w:rPr>
          <w:rFonts w:hint="eastAsia" w:ascii="宋体" w:hAnsi="宋体" w:eastAsia="宋体" w:cs="宋体"/>
          <w:sz w:val="24"/>
          <w:szCs w:val="24"/>
          <w:highlight w:val="none"/>
        </w:rPr>
        <w:t>本项目拟提供的设备的生产制造厂商一体化安装实施方案（含输入柜、输出柜、主机等，柜内铜排集成一体化安装实施方案）在近三年内需有不小于5个非自用的应用案例；须提供合同关键页证明材料复印件（合同签字盖章页、合同采购内容页（证明为一体化安装实施方案）及合同金额页等）。</w:t>
      </w:r>
    </w:p>
    <w:p>
      <w:pPr>
        <w:pStyle w:val="48"/>
        <w:numPr>
          <w:ilvl w:val="255"/>
          <w:numId w:val="0"/>
        </w:numPr>
        <w:spacing w:line="360" w:lineRule="auto"/>
        <w:ind w:left="426" w:right="-180" w:rightChars="-75"/>
        <w:rPr>
          <w:rFonts w:ascii="宋体" w:hAnsi="宋体" w:eastAsia="宋体" w:cs="宋体"/>
          <w:sz w:val="24"/>
          <w:szCs w:val="24"/>
          <w:highlight w:val="none"/>
        </w:rPr>
      </w:pPr>
      <w:r>
        <w:rPr>
          <w:rFonts w:hint="eastAsia" w:ascii="宋体" w:hAnsi="宋体" w:eastAsia="宋体" w:cs="宋体"/>
          <w:sz w:val="24"/>
          <w:szCs w:val="24"/>
          <w:highlight w:val="none"/>
        </w:rPr>
        <w:t>其他要求</w:t>
      </w:r>
    </w:p>
    <w:p>
      <w:pPr>
        <w:pStyle w:val="48"/>
        <w:spacing w:line="360" w:lineRule="auto"/>
        <w:ind w:left="494" w:right="-180" w:rightChars="-75" w:hanging="68" w:firstLineChars="0"/>
        <w:rPr>
          <w:rFonts w:ascii="宋体" w:hAnsi="宋体" w:eastAsia="宋体" w:cs="宋体"/>
          <w:sz w:val="24"/>
          <w:szCs w:val="24"/>
          <w:highlight w:val="none"/>
        </w:rPr>
      </w:pPr>
      <w:r>
        <w:rPr>
          <w:rFonts w:hint="eastAsia" w:ascii="宋体" w:hAnsi="宋体" w:eastAsia="宋体" w:cs="宋体"/>
          <w:sz w:val="24"/>
          <w:szCs w:val="24"/>
          <w:highlight w:val="none"/>
        </w:rPr>
        <w:t>1)投标设备需为国际知名电气企业原厂品牌柜型，原厂生产制造。产品符合GB7251.1国家标准，强制性认证产品符合性自我声明及型式试验报告。</w:t>
      </w:r>
      <w:bookmarkStart w:id="151" w:name="_Hlk10462569"/>
      <w:r>
        <w:rPr>
          <w:rFonts w:hint="eastAsia" w:ascii="宋体" w:hAnsi="宋体" w:eastAsia="宋体" w:cs="宋体"/>
          <w:sz w:val="24"/>
          <w:szCs w:val="24"/>
          <w:highlight w:val="none"/>
        </w:rPr>
        <w:t>为保证投标设备质量和供货一致性，投标设备要求全部在规定的制造商原厂生产制造。</w:t>
      </w:r>
      <w:bookmarkEnd w:id="151"/>
    </w:p>
    <w:p>
      <w:pPr>
        <w:pStyle w:val="48"/>
        <w:spacing w:line="360" w:lineRule="auto"/>
        <w:ind w:left="48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 xml:space="preserve">2)产品同时需符合IEC/EN61439-2国际标准。 </w:t>
      </w:r>
    </w:p>
    <w:p>
      <w:pPr>
        <w:pStyle w:val="48"/>
        <w:spacing w:line="360" w:lineRule="auto"/>
        <w:ind w:left="48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 xml:space="preserve">3)投标设备的生产制造单位需按照质量管理体系要求运作，具备ISO9001， ISO14001，及ISO45001证书； </w:t>
      </w:r>
    </w:p>
    <w:p>
      <w:pPr>
        <w:pStyle w:val="48"/>
        <w:spacing w:line="360" w:lineRule="auto"/>
        <w:ind w:left="48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 xml:space="preserve">4)为保证投标产品质量，重要的低压器件，如断路器、智能仪表、电容器、电抗器、无功补偿控制器、浪涌保护器等除自有品牌外。 </w:t>
      </w:r>
    </w:p>
    <w:p>
      <w:pPr>
        <w:pStyle w:val="48"/>
        <w:spacing w:line="360" w:lineRule="auto"/>
        <w:ind w:left="48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 xml:space="preserve">5)投标设备具有自主知识产权，技术领先，在业界具有良好口碑，至少需提供三项本产品技术专利证明文件，供评标时参考；  </w:t>
      </w:r>
    </w:p>
    <w:p>
      <w:pPr>
        <w:pStyle w:val="48"/>
        <w:spacing w:line="360" w:lineRule="auto"/>
        <w:ind w:left="48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6)投标人提供的一切资料均应以中文为准，如果因为语言误差造成的损失由投标人负责；</w:t>
      </w:r>
    </w:p>
    <w:p>
      <w:pPr>
        <w:pStyle w:val="8"/>
        <w:ind w:left="1134" w:right="-180" w:rightChars="-75" w:hanging="708"/>
        <w:rPr>
          <w:highlight w:val="none"/>
        </w:rPr>
      </w:pPr>
      <w:r>
        <w:rPr>
          <w:highlight w:val="none"/>
        </w:rPr>
        <w:t>4</w:t>
      </w:r>
      <w:r>
        <w:rPr>
          <w:rFonts w:hint="eastAsia"/>
          <w:highlight w:val="none"/>
        </w:rPr>
        <w:t>）. LED灯具</w:t>
      </w:r>
    </w:p>
    <w:p>
      <w:pPr>
        <w:spacing w:line="360" w:lineRule="auto"/>
        <w:ind w:left="254" w:right="-180" w:rightChars="-75" w:firstLine="465" w:firstLineChars="194"/>
        <w:rPr>
          <w:color w:val="auto"/>
          <w:szCs w:val="24"/>
          <w:highlight w:val="none"/>
        </w:rPr>
      </w:pPr>
      <w:r>
        <w:rPr>
          <w:rFonts w:hint="eastAsia"/>
          <w:color w:val="auto"/>
          <w:szCs w:val="24"/>
          <w:highlight w:val="none"/>
        </w:rPr>
        <w:t>本项目设计选用的灯具技术参数如下：</w:t>
      </w:r>
    </w:p>
    <w:p>
      <w:pPr>
        <w:spacing w:line="360" w:lineRule="auto"/>
        <w:ind w:left="254" w:right="-180" w:rightChars="-75" w:firstLine="465" w:firstLineChars="194"/>
        <w:rPr>
          <w:color w:val="auto"/>
          <w:szCs w:val="24"/>
          <w:highlight w:val="none"/>
        </w:rPr>
      </w:pPr>
      <w:r>
        <w:rPr>
          <w:rFonts w:hint="eastAsia"/>
          <w:color w:val="auto"/>
          <w:szCs w:val="24"/>
          <w:highlight w:val="none"/>
        </w:rPr>
        <w:t>灯具规格满足图纸及清单要求，采用LED光源，光效大于90流明/瓦，显色指数不小于80。</w:t>
      </w:r>
    </w:p>
    <w:p>
      <w:pPr>
        <w:spacing w:line="360" w:lineRule="auto"/>
        <w:ind w:left="254" w:right="-180" w:rightChars="-75" w:firstLine="465" w:firstLineChars="194"/>
        <w:rPr>
          <w:color w:val="auto"/>
          <w:szCs w:val="24"/>
          <w:highlight w:val="none"/>
        </w:rPr>
      </w:pPr>
      <w:r>
        <w:rPr>
          <w:rFonts w:hint="eastAsia"/>
          <w:color w:val="auto"/>
          <w:szCs w:val="24"/>
          <w:highlight w:val="none"/>
        </w:rPr>
        <w:t>灯具适合在220V±6%、50Hz±2%、单相交流电的条件下工作。</w:t>
      </w:r>
    </w:p>
    <w:p>
      <w:pPr>
        <w:spacing w:line="360" w:lineRule="auto"/>
        <w:ind w:left="254" w:right="-180" w:rightChars="-75" w:firstLine="465" w:firstLineChars="194"/>
        <w:rPr>
          <w:color w:val="auto"/>
          <w:szCs w:val="24"/>
          <w:highlight w:val="none"/>
        </w:rPr>
      </w:pPr>
      <w:r>
        <w:rPr>
          <w:rFonts w:hint="eastAsia"/>
          <w:color w:val="auto"/>
          <w:szCs w:val="24"/>
          <w:highlight w:val="none"/>
        </w:rPr>
        <w:t>灯具在制造和测试上都符合GB50259规范，其生产过程符合ISO9000相应的质量标准，提供检验合格证，照明器根据IEC60598-2的要求标记。</w:t>
      </w:r>
    </w:p>
    <w:p>
      <w:pPr>
        <w:spacing w:line="360" w:lineRule="auto"/>
        <w:ind w:left="254" w:right="-180" w:rightChars="-75" w:firstLine="465" w:firstLineChars="194"/>
        <w:rPr>
          <w:color w:val="auto"/>
          <w:szCs w:val="24"/>
          <w:highlight w:val="none"/>
        </w:rPr>
      </w:pPr>
      <w:r>
        <w:rPr>
          <w:rFonts w:hint="eastAsia"/>
          <w:color w:val="auto"/>
          <w:szCs w:val="24"/>
          <w:highlight w:val="none"/>
        </w:rPr>
        <w:t>灯具全套提供，包括可与适当颜色代码的电缆互连的控制装置、灯座、电缆接线盒等。照明器内的所有组件是同一生产厂家的产品，以确保兼容性。所有类似的设备零件是可以互换的。</w:t>
      </w:r>
    </w:p>
    <w:p>
      <w:pPr>
        <w:pStyle w:val="8"/>
        <w:ind w:left="1134" w:right="-180" w:rightChars="-75" w:hanging="708"/>
        <w:rPr>
          <w:highlight w:val="none"/>
        </w:rPr>
      </w:pPr>
      <w:r>
        <w:rPr>
          <w:highlight w:val="none"/>
        </w:rPr>
        <w:t>5</w:t>
      </w:r>
      <w:r>
        <w:rPr>
          <w:rFonts w:hint="eastAsia"/>
          <w:highlight w:val="none"/>
        </w:rPr>
        <w:t>）.开关、插座</w:t>
      </w:r>
    </w:p>
    <w:p>
      <w:pPr>
        <w:spacing w:line="360" w:lineRule="auto"/>
        <w:ind w:left="410" w:leftChars="171" w:right="-180" w:rightChars="-75" w:firstLine="307" w:firstLineChars="128"/>
        <w:rPr>
          <w:color w:val="auto"/>
          <w:szCs w:val="24"/>
          <w:highlight w:val="none"/>
        </w:rPr>
      </w:pPr>
      <w:r>
        <w:rPr>
          <w:rFonts w:hint="eastAsia"/>
          <w:color w:val="auto"/>
          <w:szCs w:val="24"/>
          <w:highlight w:val="none"/>
        </w:rPr>
        <w:t>本工程选用的墙面开关、插座技术参数如下：</w:t>
      </w:r>
    </w:p>
    <w:p>
      <w:pPr>
        <w:spacing w:line="360" w:lineRule="auto"/>
        <w:ind w:left="410" w:leftChars="171" w:right="-180" w:rightChars="-75" w:firstLine="307" w:firstLineChars="128"/>
        <w:rPr>
          <w:color w:val="auto"/>
          <w:szCs w:val="24"/>
          <w:highlight w:val="none"/>
        </w:rPr>
      </w:pPr>
      <w:r>
        <w:rPr>
          <w:rFonts w:hint="eastAsia"/>
          <w:color w:val="auto"/>
          <w:szCs w:val="24"/>
          <w:highlight w:val="none"/>
        </w:rPr>
        <w:t>1.</w:t>
      </w:r>
      <w:r>
        <w:rPr>
          <w:rFonts w:hint="eastAsia"/>
          <w:color w:val="auto"/>
          <w:szCs w:val="24"/>
          <w:highlight w:val="none"/>
        </w:rPr>
        <w:tab/>
      </w:r>
      <w:r>
        <w:rPr>
          <w:rFonts w:hint="eastAsia"/>
          <w:color w:val="auto"/>
          <w:szCs w:val="24"/>
          <w:highlight w:val="none"/>
        </w:rPr>
        <w:t>墙面开关</w:t>
      </w:r>
    </w:p>
    <w:p>
      <w:pPr>
        <w:spacing w:line="360" w:lineRule="auto"/>
        <w:ind w:left="410" w:leftChars="171" w:right="-180" w:rightChars="-75" w:firstLine="307" w:firstLineChars="128"/>
        <w:rPr>
          <w:color w:val="auto"/>
          <w:szCs w:val="24"/>
          <w:highlight w:val="none"/>
        </w:rPr>
      </w:pPr>
      <w:r>
        <w:rPr>
          <w:rFonts w:hint="eastAsia"/>
          <w:color w:val="auto"/>
          <w:szCs w:val="24"/>
          <w:highlight w:val="none"/>
        </w:rPr>
        <w:t>额定电压：250V</w:t>
      </w:r>
    </w:p>
    <w:p>
      <w:pPr>
        <w:spacing w:line="360" w:lineRule="auto"/>
        <w:ind w:left="410" w:leftChars="171" w:right="-180" w:rightChars="-75" w:firstLine="307" w:firstLineChars="128"/>
        <w:rPr>
          <w:color w:val="auto"/>
          <w:szCs w:val="24"/>
          <w:highlight w:val="none"/>
        </w:rPr>
      </w:pPr>
      <w:r>
        <w:rPr>
          <w:rFonts w:hint="eastAsia"/>
          <w:color w:val="auto"/>
          <w:szCs w:val="24"/>
          <w:highlight w:val="none"/>
        </w:rPr>
        <w:t>额定电流：10A</w:t>
      </w:r>
    </w:p>
    <w:p>
      <w:pPr>
        <w:spacing w:line="360" w:lineRule="auto"/>
        <w:ind w:left="410" w:leftChars="171" w:right="-180" w:rightChars="-75" w:firstLine="307" w:firstLineChars="128"/>
        <w:rPr>
          <w:color w:val="auto"/>
          <w:szCs w:val="24"/>
          <w:highlight w:val="none"/>
        </w:rPr>
      </w:pPr>
      <w:r>
        <w:rPr>
          <w:rFonts w:hint="eastAsia"/>
          <w:color w:val="auto"/>
          <w:szCs w:val="24"/>
          <w:highlight w:val="none"/>
        </w:rPr>
        <w:t>开关寿命：≥80000次</w:t>
      </w:r>
    </w:p>
    <w:p>
      <w:pPr>
        <w:spacing w:line="360" w:lineRule="auto"/>
        <w:ind w:left="410" w:leftChars="171" w:right="-180" w:rightChars="-75" w:firstLine="307" w:firstLineChars="128"/>
        <w:rPr>
          <w:color w:val="auto"/>
          <w:szCs w:val="24"/>
          <w:highlight w:val="none"/>
        </w:rPr>
      </w:pPr>
      <w:r>
        <w:rPr>
          <w:rFonts w:hint="eastAsia"/>
          <w:color w:val="auto"/>
          <w:szCs w:val="24"/>
          <w:highlight w:val="none"/>
        </w:rPr>
        <w:t>爬电距离：≥3mm</w:t>
      </w:r>
    </w:p>
    <w:p>
      <w:pPr>
        <w:spacing w:line="360" w:lineRule="auto"/>
        <w:ind w:left="410" w:leftChars="171" w:right="-180" w:rightChars="-75" w:firstLine="307" w:firstLineChars="128"/>
        <w:rPr>
          <w:color w:val="auto"/>
          <w:szCs w:val="24"/>
          <w:highlight w:val="none"/>
        </w:rPr>
      </w:pPr>
      <w:r>
        <w:rPr>
          <w:rFonts w:hint="eastAsia"/>
          <w:color w:val="auto"/>
          <w:szCs w:val="24"/>
          <w:highlight w:val="none"/>
        </w:rPr>
        <w:t>电气间隙：分隔的带电部件之间≥1.2mm，带电部件与其他部件之间≥3mm。</w:t>
      </w:r>
    </w:p>
    <w:p>
      <w:pPr>
        <w:spacing w:line="360" w:lineRule="auto"/>
        <w:ind w:left="410" w:leftChars="171" w:right="-180" w:rightChars="-75" w:firstLine="307" w:firstLineChars="128"/>
        <w:rPr>
          <w:color w:val="auto"/>
          <w:szCs w:val="24"/>
          <w:highlight w:val="none"/>
        </w:rPr>
      </w:pPr>
      <w:r>
        <w:rPr>
          <w:rFonts w:hint="eastAsia"/>
          <w:color w:val="auto"/>
          <w:szCs w:val="24"/>
          <w:highlight w:val="none"/>
        </w:rPr>
        <w:t>2.</w:t>
      </w:r>
      <w:r>
        <w:rPr>
          <w:rFonts w:hint="eastAsia"/>
          <w:color w:val="auto"/>
          <w:szCs w:val="24"/>
          <w:highlight w:val="none"/>
        </w:rPr>
        <w:tab/>
      </w:r>
      <w:r>
        <w:rPr>
          <w:rFonts w:hint="eastAsia"/>
          <w:color w:val="auto"/>
          <w:szCs w:val="24"/>
          <w:highlight w:val="none"/>
        </w:rPr>
        <w:t>墙面插座</w:t>
      </w:r>
    </w:p>
    <w:p>
      <w:pPr>
        <w:spacing w:line="360" w:lineRule="auto"/>
        <w:ind w:left="410" w:leftChars="171" w:right="-180" w:rightChars="-75" w:firstLine="307" w:firstLineChars="128"/>
        <w:rPr>
          <w:color w:val="auto"/>
          <w:szCs w:val="24"/>
          <w:highlight w:val="none"/>
        </w:rPr>
      </w:pPr>
      <w:r>
        <w:rPr>
          <w:rFonts w:hint="eastAsia"/>
          <w:color w:val="auto"/>
          <w:szCs w:val="24"/>
          <w:highlight w:val="none"/>
        </w:rPr>
        <w:t>额定电压：250V</w:t>
      </w:r>
    </w:p>
    <w:p>
      <w:pPr>
        <w:spacing w:line="360" w:lineRule="auto"/>
        <w:ind w:left="410" w:leftChars="171" w:right="-180" w:rightChars="-75" w:firstLine="307" w:firstLineChars="128"/>
        <w:rPr>
          <w:color w:val="auto"/>
          <w:szCs w:val="24"/>
          <w:highlight w:val="none"/>
        </w:rPr>
      </w:pPr>
      <w:r>
        <w:rPr>
          <w:rFonts w:hint="eastAsia"/>
          <w:color w:val="auto"/>
          <w:szCs w:val="24"/>
          <w:highlight w:val="none"/>
        </w:rPr>
        <w:t>额定电流：10A、16A</w:t>
      </w:r>
    </w:p>
    <w:p>
      <w:pPr>
        <w:spacing w:line="360" w:lineRule="auto"/>
        <w:ind w:left="410" w:leftChars="171" w:right="-180" w:rightChars="-75" w:firstLine="307" w:firstLineChars="128"/>
        <w:rPr>
          <w:color w:val="auto"/>
          <w:szCs w:val="24"/>
          <w:highlight w:val="none"/>
        </w:rPr>
      </w:pPr>
      <w:r>
        <w:rPr>
          <w:rFonts w:hint="eastAsia"/>
          <w:color w:val="auto"/>
          <w:szCs w:val="24"/>
          <w:highlight w:val="none"/>
        </w:rPr>
        <w:t>插拔次数：≥10000次</w:t>
      </w:r>
    </w:p>
    <w:p>
      <w:pPr>
        <w:spacing w:line="360" w:lineRule="auto"/>
        <w:ind w:left="410" w:leftChars="171" w:right="-180" w:rightChars="-75" w:firstLine="307" w:firstLineChars="128"/>
        <w:rPr>
          <w:color w:val="auto"/>
          <w:szCs w:val="24"/>
          <w:highlight w:val="none"/>
        </w:rPr>
      </w:pPr>
      <w:r>
        <w:rPr>
          <w:rFonts w:hint="eastAsia"/>
          <w:color w:val="auto"/>
          <w:szCs w:val="24"/>
          <w:highlight w:val="none"/>
        </w:rPr>
        <w:t>爬电距离：≥3mm</w:t>
      </w:r>
    </w:p>
    <w:p>
      <w:pPr>
        <w:spacing w:line="360" w:lineRule="auto"/>
        <w:ind w:left="410" w:leftChars="171" w:right="-180" w:rightChars="-75" w:firstLine="307" w:firstLineChars="128"/>
        <w:rPr>
          <w:color w:val="auto"/>
          <w:szCs w:val="24"/>
          <w:highlight w:val="none"/>
        </w:rPr>
      </w:pPr>
      <w:r>
        <w:rPr>
          <w:rFonts w:hint="eastAsia"/>
          <w:color w:val="auto"/>
          <w:szCs w:val="24"/>
          <w:highlight w:val="none"/>
        </w:rPr>
        <w:t>电气间隙：≥3mm</w:t>
      </w:r>
    </w:p>
    <w:p>
      <w:pPr>
        <w:pStyle w:val="8"/>
        <w:ind w:left="1134" w:right="-180" w:rightChars="-75" w:hanging="708"/>
        <w:rPr>
          <w:highlight w:val="none"/>
        </w:rPr>
      </w:pPr>
      <w:r>
        <w:rPr>
          <w:highlight w:val="none"/>
        </w:rPr>
        <w:t>6</w:t>
      </w:r>
      <w:r>
        <w:rPr>
          <w:rFonts w:hint="eastAsia"/>
          <w:highlight w:val="none"/>
        </w:rPr>
        <w:t>）.电缆</w:t>
      </w:r>
    </w:p>
    <w:p>
      <w:pPr>
        <w:spacing w:line="360" w:lineRule="auto"/>
        <w:ind w:left="708" w:leftChars="295" w:right="-180" w:rightChars="-75" w:firstLine="10"/>
        <w:rPr>
          <w:color w:val="auto"/>
          <w:szCs w:val="24"/>
          <w:highlight w:val="none"/>
        </w:rPr>
      </w:pPr>
      <w:r>
        <w:rPr>
          <w:rFonts w:hint="eastAsia"/>
          <w:color w:val="auto"/>
          <w:szCs w:val="24"/>
          <w:highlight w:val="none"/>
        </w:rPr>
        <w:t>本工程用电力电缆，技术参数如下：</w:t>
      </w:r>
    </w:p>
    <w:p>
      <w:pPr>
        <w:widowControl w:val="0"/>
        <w:numPr>
          <w:ilvl w:val="0"/>
          <w:numId w:val="73"/>
        </w:numPr>
        <w:spacing w:after="0" w:line="360" w:lineRule="auto"/>
        <w:ind w:left="708" w:leftChars="295" w:right="-180" w:rightChars="-75" w:firstLine="10"/>
        <w:jc w:val="both"/>
        <w:rPr>
          <w:color w:val="auto"/>
          <w:szCs w:val="24"/>
          <w:highlight w:val="none"/>
        </w:rPr>
      </w:pPr>
      <w:r>
        <w:rPr>
          <w:rFonts w:hint="eastAsia"/>
          <w:color w:val="auto"/>
          <w:szCs w:val="24"/>
          <w:highlight w:val="none"/>
        </w:rPr>
        <w:t>满足以下规范</w:t>
      </w:r>
    </w:p>
    <w:tbl>
      <w:tblPr>
        <w:tblStyle w:val="18"/>
        <w:tblW w:w="92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487"/>
        <w:gridCol w:w="571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2" w:hRule="atLeast"/>
          <w:tblHeader/>
          <w:jc w:val="center"/>
        </w:trPr>
        <w:tc>
          <w:tcPr>
            <w:tcW w:w="3487" w:type="dxa"/>
            <w:vAlign w:val="center"/>
          </w:tcPr>
          <w:p>
            <w:pPr>
              <w:pStyle w:val="54"/>
              <w:ind w:left="1134" w:right="-180" w:rightChars="-75" w:hanging="708"/>
              <w:rPr>
                <w:rFonts w:ascii="宋体" w:hAnsi="宋体" w:cs="宋体"/>
                <w:sz w:val="24"/>
                <w:szCs w:val="24"/>
                <w:highlight w:val="none"/>
              </w:rPr>
            </w:pPr>
            <w:r>
              <w:rPr>
                <w:rFonts w:hint="eastAsia" w:ascii="宋体" w:hAnsi="宋体" w:cs="宋体"/>
                <w:sz w:val="24"/>
                <w:szCs w:val="24"/>
                <w:highlight w:val="none"/>
              </w:rPr>
              <w:t>标准号</w:t>
            </w:r>
          </w:p>
        </w:tc>
        <w:tc>
          <w:tcPr>
            <w:tcW w:w="5718" w:type="dxa"/>
            <w:vAlign w:val="center"/>
          </w:tcPr>
          <w:p>
            <w:pPr>
              <w:pStyle w:val="54"/>
              <w:ind w:left="1134" w:right="-180" w:rightChars="-75" w:hanging="708"/>
              <w:rPr>
                <w:rFonts w:ascii="宋体" w:hAnsi="宋体" w:cs="宋体"/>
                <w:sz w:val="24"/>
                <w:szCs w:val="24"/>
                <w:highlight w:val="none"/>
              </w:rPr>
            </w:pPr>
            <w:r>
              <w:rPr>
                <w:rFonts w:hint="eastAsia" w:ascii="宋体" w:hAnsi="宋体" w:cs="宋体"/>
                <w:sz w:val="24"/>
                <w:szCs w:val="24"/>
                <w:highlight w:val="none"/>
              </w:rPr>
              <w:t>标准名称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2" w:hRule="atLeast"/>
          <w:jc w:val="center"/>
        </w:trPr>
        <w:tc>
          <w:tcPr>
            <w:tcW w:w="3487" w:type="dxa"/>
            <w:vAlign w:val="center"/>
          </w:tcPr>
          <w:p>
            <w:pPr>
              <w:pStyle w:val="54"/>
              <w:ind w:left="1134" w:right="-180" w:rightChars="-75" w:hanging="708"/>
              <w:rPr>
                <w:rFonts w:ascii="宋体" w:hAnsi="宋体" w:cs="宋体"/>
                <w:sz w:val="24"/>
                <w:szCs w:val="24"/>
                <w:highlight w:val="none"/>
              </w:rPr>
            </w:pPr>
            <w:r>
              <w:rPr>
                <w:rFonts w:hint="eastAsia" w:ascii="宋体" w:hAnsi="宋体" w:cs="宋体"/>
                <w:sz w:val="24"/>
                <w:szCs w:val="24"/>
                <w:highlight w:val="none"/>
              </w:rPr>
              <w:t>GB/T2951-2008</w:t>
            </w:r>
          </w:p>
        </w:tc>
        <w:tc>
          <w:tcPr>
            <w:tcW w:w="5718" w:type="dxa"/>
            <w:vAlign w:val="center"/>
          </w:tcPr>
          <w:p>
            <w:pPr>
              <w:pStyle w:val="54"/>
              <w:ind w:left="0" w:right="221" w:rightChars="92" w:firstLine="66"/>
              <w:rPr>
                <w:rFonts w:ascii="宋体" w:hAnsi="宋体" w:cs="宋体"/>
                <w:sz w:val="24"/>
                <w:szCs w:val="24"/>
                <w:highlight w:val="none"/>
              </w:rPr>
            </w:pPr>
            <w:r>
              <w:rPr>
                <w:rFonts w:hint="eastAsia" w:ascii="宋体" w:hAnsi="宋体" w:cs="宋体"/>
                <w:sz w:val="24"/>
                <w:szCs w:val="24"/>
                <w:highlight w:val="none"/>
              </w:rPr>
              <w:t>电缆绝缘和护套材料通用试验方法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2" w:hRule="atLeast"/>
          <w:jc w:val="center"/>
        </w:trPr>
        <w:tc>
          <w:tcPr>
            <w:tcW w:w="3487" w:type="dxa"/>
            <w:vAlign w:val="center"/>
          </w:tcPr>
          <w:p>
            <w:pPr>
              <w:pStyle w:val="54"/>
              <w:ind w:left="1134" w:right="-180" w:rightChars="-75" w:hanging="708"/>
              <w:rPr>
                <w:rFonts w:ascii="宋体" w:hAnsi="宋体" w:cs="宋体"/>
                <w:sz w:val="24"/>
                <w:szCs w:val="24"/>
                <w:highlight w:val="none"/>
              </w:rPr>
            </w:pPr>
            <w:r>
              <w:rPr>
                <w:rFonts w:hint="eastAsia" w:ascii="宋体" w:hAnsi="宋体" w:cs="宋体"/>
                <w:sz w:val="24"/>
                <w:szCs w:val="24"/>
                <w:highlight w:val="none"/>
              </w:rPr>
              <w:t>GB/T3048-2008</w:t>
            </w:r>
          </w:p>
        </w:tc>
        <w:tc>
          <w:tcPr>
            <w:tcW w:w="5718" w:type="dxa"/>
            <w:vAlign w:val="center"/>
          </w:tcPr>
          <w:p>
            <w:pPr>
              <w:pStyle w:val="54"/>
              <w:ind w:left="0" w:right="221" w:rightChars="92" w:firstLine="66"/>
              <w:rPr>
                <w:rFonts w:ascii="宋体" w:hAnsi="宋体" w:cs="宋体"/>
                <w:sz w:val="24"/>
                <w:szCs w:val="24"/>
                <w:highlight w:val="none"/>
              </w:rPr>
            </w:pPr>
            <w:r>
              <w:rPr>
                <w:rFonts w:hint="eastAsia" w:ascii="宋体" w:hAnsi="宋体" w:cs="宋体"/>
                <w:sz w:val="24"/>
                <w:szCs w:val="24"/>
                <w:highlight w:val="none"/>
              </w:rPr>
              <w:t>电线电缆电性能试验方法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2" w:hRule="atLeast"/>
          <w:jc w:val="center"/>
        </w:trPr>
        <w:tc>
          <w:tcPr>
            <w:tcW w:w="3487" w:type="dxa"/>
            <w:vAlign w:val="center"/>
          </w:tcPr>
          <w:p>
            <w:pPr>
              <w:pStyle w:val="54"/>
              <w:ind w:left="1134" w:right="-180" w:rightChars="-75" w:hanging="708"/>
              <w:rPr>
                <w:rFonts w:ascii="宋体" w:hAnsi="宋体" w:cs="宋体"/>
                <w:sz w:val="24"/>
                <w:szCs w:val="24"/>
                <w:highlight w:val="none"/>
              </w:rPr>
            </w:pPr>
            <w:r>
              <w:rPr>
                <w:rFonts w:hint="eastAsia" w:ascii="宋体" w:hAnsi="宋体" w:cs="宋体"/>
                <w:sz w:val="24"/>
                <w:szCs w:val="24"/>
                <w:highlight w:val="none"/>
              </w:rPr>
              <w:t>GB/T3953-2009</w:t>
            </w:r>
          </w:p>
        </w:tc>
        <w:tc>
          <w:tcPr>
            <w:tcW w:w="5718" w:type="dxa"/>
            <w:vAlign w:val="center"/>
          </w:tcPr>
          <w:p>
            <w:pPr>
              <w:pStyle w:val="54"/>
              <w:ind w:left="0" w:right="221" w:rightChars="92" w:firstLine="66"/>
              <w:rPr>
                <w:rFonts w:ascii="宋体" w:hAnsi="宋体" w:cs="宋体"/>
                <w:sz w:val="24"/>
                <w:szCs w:val="24"/>
                <w:highlight w:val="none"/>
              </w:rPr>
            </w:pPr>
            <w:r>
              <w:rPr>
                <w:rFonts w:hint="eastAsia" w:ascii="宋体" w:hAnsi="宋体" w:cs="宋体"/>
                <w:sz w:val="24"/>
                <w:szCs w:val="24"/>
                <w:highlight w:val="none"/>
              </w:rPr>
              <w:t>电工圆铜线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2" w:hRule="atLeast"/>
          <w:jc w:val="center"/>
        </w:trPr>
        <w:tc>
          <w:tcPr>
            <w:tcW w:w="3487" w:type="dxa"/>
            <w:vAlign w:val="center"/>
          </w:tcPr>
          <w:p>
            <w:pPr>
              <w:pStyle w:val="54"/>
              <w:ind w:left="1134" w:right="-180" w:rightChars="-75" w:hanging="708"/>
              <w:rPr>
                <w:rFonts w:ascii="宋体" w:hAnsi="宋体" w:cs="宋体"/>
                <w:sz w:val="24"/>
                <w:szCs w:val="24"/>
                <w:highlight w:val="none"/>
              </w:rPr>
            </w:pPr>
            <w:r>
              <w:rPr>
                <w:rFonts w:hint="eastAsia" w:ascii="宋体" w:hAnsi="宋体" w:cs="宋体"/>
                <w:sz w:val="24"/>
                <w:szCs w:val="24"/>
                <w:highlight w:val="none"/>
              </w:rPr>
              <w:t>GB/T3956-2008</w:t>
            </w:r>
          </w:p>
        </w:tc>
        <w:tc>
          <w:tcPr>
            <w:tcW w:w="5718" w:type="dxa"/>
            <w:vAlign w:val="center"/>
          </w:tcPr>
          <w:p>
            <w:pPr>
              <w:pStyle w:val="54"/>
              <w:ind w:left="0" w:right="221" w:rightChars="92" w:firstLine="66"/>
              <w:rPr>
                <w:rFonts w:ascii="宋体" w:hAnsi="宋体" w:cs="宋体"/>
                <w:sz w:val="24"/>
                <w:szCs w:val="24"/>
                <w:highlight w:val="none"/>
              </w:rPr>
            </w:pPr>
            <w:r>
              <w:rPr>
                <w:rFonts w:hint="eastAsia" w:ascii="宋体" w:hAnsi="宋体" w:cs="宋体"/>
                <w:sz w:val="24"/>
                <w:szCs w:val="24"/>
                <w:highlight w:val="none"/>
              </w:rPr>
              <w:t>电缆的导体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2" w:hRule="atLeast"/>
          <w:jc w:val="center"/>
        </w:trPr>
        <w:tc>
          <w:tcPr>
            <w:tcW w:w="3487" w:type="dxa"/>
            <w:vAlign w:val="center"/>
          </w:tcPr>
          <w:p>
            <w:pPr>
              <w:pStyle w:val="54"/>
              <w:ind w:left="1134" w:right="-180" w:rightChars="-75" w:hanging="708"/>
              <w:rPr>
                <w:rFonts w:ascii="宋体" w:hAnsi="宋体" w:cs="宋体"/>
                <w:sz w:val="24"/>
                <w:szCs w:val="24"/>
                <w:highlight w:val="none"/>
              </w:rPr>
            </w:pPr>
            <w:r>
              <w:rPr>
                <w:rFonts w:hint="eastAsia" w:ascii="宋体" w:hAnsi="宋体" w:cs="宋体"/>
                <w:sz w:val="24"/>
                <w:szCs w:val="24"/>
                <w:highlight w:val="none"/>
              </w:rPr>
              <w:t>GB/T6995-2008</w:t>
            </w:r>
          </w:p>
        </w:tc>
        <w:tc>
          <w:tcPr>
            <w:tcW w:w="5718" w:type="dxa"/>
            <w:vAlign w:val="center"/>
          </w:tcPr>
          <w:p>
            <w:pPr>
              <w:pStyle w:val="54"/>
              <w:ind w:left="0" w:right="221" w:rightChars="92" w:firstLine="66"/>
              <w:rPr>
                <w:rFonts w:ascii="宋体" w:hAnsi="宋体" w:cs="宋体"/>
                <w:sz w:val="24"/>
                <w:szCs w:val="24"/>
                <w:highlight w:val="none"/>
              </w:rPr>
            </w:pPr>
            <w:r>
              <w:rPr>
                <w:rFonts w:hint="eastAsia" w:ascii="宋体" w:hAnsi="宋体" w:cs="宋体"/>
                <w:sz w:val="24"/>
                <w:szCs w:val="24"/>
                <w:highlight w:val="none"/>
              </w:rPr>
              <w:t>电线电缆识别标志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2" w:hRule="atLeast"/>
          <w:jc w:val="center"/>
        </w:trPr>
        <w:tc>
          <w:tcPr>
            <w:tcW w:w="3487" w:type="dxa"/>
            <w:vAlign w:val="center"/>
          </w:tcPr>
          <w:p>
            <w:pPr>
              <w:pStyle w:val="54"/>
              <w:ind w:left="1134" w:right="-180" w:rightChars="-75" w:hanging="708"/>
              <w:rPr>
                <w:rFonts w:ascii="宋体" w:hAnsi="宋体" w:cs="宋体"/>
                <w:sz w:val="24"/>
                <w:szCs w:val="24"/>
                <w:highlight w:val="none"/>
              </w:rPr>
            </w:pPr>
            <w:r>
              <w:rPr>
                <w:rFonts w:hint="eastAsia" w:ascii="宋体" w:hAnsi="宋体" w:cs="宋体"/>
                <w:sz w:val="24"/>
                <w:szCs w:val="24"/>
                <w:highlight w:val="none"/>
              </w:rPr>
              <w:t>JB/T8137-1999</w:t>
            </w:r>
          </w:p>
        </w:tc>
        <w:tc>
          <w:tcPr>
            <w:tcW w:w="5718" w:type="dxa"/>
            <w:vAlign w:val="center"/>
          </w:tcPr>
          <w:p>
            <w:pPr>
              <w:pStyle w:val="54"/>
              <w:ind w:left="0" w:right="221" w:rightChars="92" w:firstLine="66"/>
              <w:rPr>
                <w:rFonts w:ascii="宋体" w:hAnsi="宋体" w:cs="宋体"/>
                <w:sz w:val="24"/>
                <w:szCs w:val="24"/>
                <w:highlight w:val="none"/>
              </w:rPr>
            </w:pPr>
            <w:r>
              <w:rPr>
                <w:rFonts w:hint="eastAsia" w:ascii="宋体" w:hAnsi="宋体" w:cs="宋体"/>
                <w:sz w:val="24"/>
                <w:szCs w:val="24"/>
                <w:highlight w:val="none"/>
              </w:rPr>
              <w:t>电线电缆交货盘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1" w:hRule="atLeast"/>
          <w:jc w:val="center"/>
        </w:trPr>
        <w:tc>
          <w:tcPr>
            <w:tcW w:w="3487" w:type="dxa"/>
            <w:vAlign w:val="center"/>
          </w:tcPr>
          <w:p>
            <w:pPr>
              <w:pStyle w:val="54"/>
              <w:ind w:left="1134" w:right="-180" w:rightChars="-75" w:hanging="708"/>
              <w:rPr>
                <w:rFonts w:ascii="宋体" w:hAnsi="宋体" w:cs="宋体"/>
                <w:sz w:val="24"/>
                <w:szCs w:val="24"/>
                <w:highlight w:val="none"/>
              </w:rPr>
            </w:pPr>
            <w:r>
              <w:rPr>
                <w:rFonts w:hint="eastAsia" w:ascii="宋体" w:hAnsi="宋体" w:cs="宋体"/>
                <w:sz w:val="24"/>
                <w:szCs w:val="24"/>
                <w:highlight w:val="none"/>
              </w:rPr>
              <w:t>GB/T12706.1-2008</w:t>
            </w:r>
          </w:p>
        </w:tc>
        <w:tc>
          <w:tcPr>
            <w:tcW w:w="5718" w:type="dxa"/>
            <w:vAlign w:val="center"/>
          </w:tcPr>
          <w:p>
            <w:pPr>
              <w:pStyle w:val="54"/>
              <w:ind w:left="0" w:right="221" w:rightChars="92" w:firstLine="66"/>
              <w:rPr>
                <w:rFonts w:ascii="宋体" w:hAnsi="宋体" w:cs="宋体"/>
                <w:sz w:val="24"/>
                <w:szCs w:val="24"/>
                <w:highlight w:val="none"/>
              </w:rPr>
            </w:pPr>
            <w:r>
              <w:rPr>
                <w:rFonts w:hint="eastAsia" w:ascii="宋体" w:hAnsi="宋体" w:cs="宋体"/>
                <w:sz w:val="24"/>
                <w:szCs w:val="24"/>
                <w:highlight w:val="none"/>
              </w:rPr>
              <w:t>额定电压1KV（U米=1.2KV）到35KV（U米=40.5KV）挤包绝缘电力电缆及附件第一部分额定电压1KV（U米=1.2KV）和3KV（U米=3.6KV）电缆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0" w:hRule="atLeast"/>
          <w:jc w:val="center"/>
        </w:trPr>
        <w:tc>
          <w:tcPr>
            <w:tcW w:w="3487" w:type="dxa"/>
            <w:vAlign w:val="center"/>
          </w:tcPr>
          <w:p>
            <w:pPr>
              <w:pStyle w:val="54"/>
              <w:ind w:left="1134" w:right="-180" w:rightChars="-75" w:hanging="708"/>
              <w:rPr>
                <w:rFonts w:ascii="宋体" w:hAnsi="宋体" w:cs="宋体"/>
                <w:sz w:val="24"/>
                <w:szCs w:val="24"/>
                <w:highlight w:val="none"/>
              </w:rPr>
            </w:pPr>
            <w:r>
              <w:rPr>
                <w:rFonts w:hint="eastAsia" w:ascii="宋体" w:hAnsi="宋体" w:cs="宋体"/>
                <w:sz w:val="24"/>
                <w:szCs w:val="24"/>
                <w:highlight w:val="none"/>
              </w:rPr>
              <w:t>IEC60502</w:t>
            </w:r>
          </w:p>
        </w:tc>
        <w:tc>
          <w:tcPr>
            <w:tcW w:w="5718" w:type="dxa"/>
            <w:vAlign w:val="center"/>
          </w:tcPr>
          <w:p>
            <w:pPr>
              <w:pStyle w:val="54"/>
              <w:ind w:left="0" w:right="221" w:rightChars="92" w:firstLine="66"/>
              <w:rPr>
                <w:rFonts w:ascii="宋体" w:hAnsi="宋体" w:cs="宋体"/>
                <w:sz w:val="24"/>
                <w:szCs w:val="24"/>
                <w:highlight w:val="none"/>
              </w:rPr>
            </w:pPr>
            <w:r>
              <w:rPr>
                <w:rFonts w:hint="eastAsia" w:ascii="宋体" w:hAnsi="宋体" w:cs="宋体"/>
                <w:sz w:val="24"/>
                <w:szCs w:val="24"/>
                <w:highlight w:val="none"/>
              </w:rPr>
              <w:t>额定电压1KV（U米=1.2KV）到30KV（U米=36KV）挤包绝缘电力电缆及附件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3" w:hRule="atLeast"/>
          <w:jc w:val="center"/>
        </w:trPr>
        <w:tc>
          <w:tcPr>
            <w:tcW w:w="3487" w:type="dxa"/>
            <w:vAlign w:val="center"/>
          </w:tcPr>
          <w:p>
            <w:pPr>
              <w:pStyle w:val="54"/>
              <w:ind w:left="1134" w:right="-180" w:rightChars="-75" w:hanging="708"/>
              <w:rPr>
                <w:rFonts w:ascii="宋体" w:hAnsi="宋体" w:cs="宋体"/>
                <w:sz w:val="24"/>
                <w:szCs w:val="24"/>
                <w:highlight w:val="none"/>
              </w:rPr>
            </w:pPr>
            <w:r>
              <w:rPr>
                <w:rFonts w:hint="eastAsia" w:ascii="宋体" w:hAnsi="宋体" w:cs="宋体"/>
                <w:sz w:val="24"/>
                <w:szCs w:val="24"/>
                <w:highlight w:val="none"/>
              </w:rPr>
              <w:t>GA306-2001</w:t>
            </w:r>
          </w:p>
        </w:tc>
        <w:tc>
          <w:tcPr>
            <w:tcW w:w="5718" w:type="dxa"/>
            <w:vAlign w:val="center"/>
          </w:tcPr>
          <w:p>
            <w:pPr>
              <w:pStyle w:val="54"/>
              <w:ind w:left="0" w:right="221" w:rightChars="92" w:firstLine="66"/>
              <w:rPr>
                <w:rFonts w:ascii="宋体" w:hAnsi="宋体" w:cs="宋体"/>
                <w:sz w:val="24"/>
                <w:szCs w:val="24"/>
                <w:highlight w:val="none"/>
              </w:rPr>
            </w:pPr>
            <w:r>
              <w:rPr>
                <w:rFonts w:hint="eastAsia" w:ascii="宋体" w:hAnsi="宋体" w:cs="宋体"/>
                <w:sz w:val="24"/>
                <w:szCs w:val="24"/>
                <w:highlight w:val="none"/>
              </w:rPr>
              <w:t>阻燃及耐火电缆，塑料绝缘阻燃及耐火电缆分级和要求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2" w:hRule="atLeast"/>
          <w:jc w:val="center"/>
        </w:trPr>
        <w:tc>
          <w:tcPr>
            <w:tcW w:w="3487" w:type="dxa"/>
            <w:vAlign w:val="center"/>
          </w:tcPr>
          <w:p>
            <w:pPr>
              <w:pStyle w:val="54"/>
              <w:ind w:left="1134" w:right="-180" w:rightChars="-75" w:hanging="708"/>
              <w:rPr>
                <w:rFonts w:ascii="宋体" w:hAnsi="宋体" w:cs="宋体"/>
                <w:sz w:val="24"/>
                <w:szCs w:val="24"/>
                <w:highlight w:val="none"/>
              </w:rPr>
            </w:pPr>
            <w:r>
              <w:rPr>
                <w:rFonts w:hint="eastAsia" w:ascii="宋体" w:hAnsi="宋体" w:cs="宋体"/>
                <w:sz w:val="24"/>
                <w:szCs w:val="24"/>
                <w:highlight w:val="none"/>
              </w:rPr>
              <w:t>GB/T18380-2001</w:t>
            </w:r>
          </w:p>
        </w:tc>
        <w:tc>
          <w:tcPr>
            <w:tcW w:w="5718" w:type="dxa"/>
            <w:vAlign w:val="center"/>
          </w:tcPr>
          <w:p>
            <w:pPr>
              <w:pStyle w:val="54"/>
              <w:ind w:left="0" w:right="221" w:rightChars="92" w:firstLine="66"/>
              <w:rPr>
                <w:rFonts w:ascii="宋体" w:hAnsi="宋体" w:cs="宋体"/>
                <w:sz w:val="24"/>
                <w:szCs w:val="24"/>
                <w:highlight w:val="none"/>
              </w:rPr>
            </w:pPr>
            <w:r>
              <w:rPr>
                <w:rFonts w:hint="eastAsia" w:ascii="宋体" w:hAnsi="宋体" w:cs="宋体"/>
                <w:sz w:val="24"/>
                <w:szCs w:val="24"/>
                <w:highlight w:val="none"/>
              </w:rPr>
              <w:t>电缆在火焰条件下的燃烧试验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2" w:hRule="atLeast"/>
          <w:jc w:val="center"/>
        </w:trPr>
        <w:tc>
          <w:tcPr>
            <w:tcW w:w="3487" w:type="dxa"/>
            <w:vAlign w:val="center"/>
          </w:tcPr>
          <w:p>
            <w:pPr>
              <w:pStyle w:val="54"/>
              <w:ind w:left="1134" w:right="-180" w:rightChars="-75" w:hanging="708"/>
              <w:rPr>
                <w:rFonts w:ascii="宋体" w:hAnsi="宋体" w:cs="宋体"/>
                <w:sz w:val="24"/>
                <w:szCs w:val="24"/>
                <w:highlight w:val="none"/>
              </w:rPr>
            </w:pPr>
            <w:r>
              <w:rPr>
                <w:rFonts w:hint="eastAsia" w:ascii="宋体" w:hAnsi="宋体" w:cs="宋体"/>
                <w:sz w:val="24"/>
                <w:szCs w:val="24"/>
                <w:highlight w:val="none"/>
              </w:rPr>
              <w:t>GB/T 12666</w:t>
            </w:r>
          </w:p>
        </w:tc>
        <w:tc>
          <w:tcPr>
            <w:tcW w:w="5718" w:type="dxa"/>
            <w:vAlign w:val="center"/>
          </w:tcPr>
          <w:p>
            <w:pPr>
              <w:pStyle w:val="54"/>
              <w:ind w:left="0" w:right="221" w:rightChars="92" w:firstLine="66"/>
              <w:rPr>
                <w:rFonts w:ascii="宋体" w:hAnsi="宋体" w:cs="宋体"/>
                <w:sz w:val="24"/>
                <w:szCs w:val="24"/>
                <w:highlight w:val="none"/>
              </w:rPr>
            </w:pPr>
            <w:r>
              <w:rPr>
                <w:rFonts w:hint="eastAsia" w:ascii="宋体" w:hAnsi="宋体" w:cs="宋体"/>
                <w:sz w:val="24"/>
                <w:szCs w:val="24"/>
                <w:highlight w:val="none"/>
              </w:rPr>
              <w:t>成束电线电缆燃烧试验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7" w:hRule="atLeast"/>
          <w:jc w:val="center"/>
        </w:trPr>
        <w:tc>
          <w:tcPr>
            <w:tcW w:w="3487" w:type="dxa"/>
            <w:vAlign w:val="center"/>
          </w:tcPr>
          <w:p>
            <w:pPr>
              <w:pStyle w:val="54"/>
              <w:ind w:left="1134" w:right="-180" w:rightChars="-75" w:hanging="708"/>
              <w:rPr>
                <w:rFonts w:ascii="宋体" w:hAnsi="宋体" w:cs="宋体"/>
                <w:sz w:val="24"/>
                <w:szCs w:val="24"/>
                <w:highlight w:val="none"/>
              </w:rPr>
            </w:pPr>
            <w:r>
              <w:rPr>
                <w:rFonts w:hint="eastAsia" w:ascii="宋体" w:hAnsi="宋体" w:cs="宋体"/>
                <w:sz w:val="24"/>
                <w:szCs w:val="24"/>
                <w:highlight w:val="none"/>
              </w:rPr>
              <w:t>GB/T19666-2005</w:t>
            </w:r>
          </w:p>
        </w:tc>
        <w:tc>
          <w:tcPr>
            <w:tcW w:w="5718" w:type="dxa"/>
            <w:vAlign w:val="center"/>
          </w:tcPr>
          <w:p>
            <w:pPr>
              <w:pStyle w:val="54"/>
              <w:ind w:left="0" w:right="221" w:rightChars="92" w:firstLine="66"/>
              <w:rPr>
                <w:rFonts w:ascii="宋体" w:hAnsi="宋体" w:cs="宋体"/>
                <w:sz w:val="24"/>
                <w:szCs w:val="24"/>
                <w:highlight w:val="none"/>
              </w:rPr>
            </w:pPr>
            <w:r>
              <w:rPr>
                <w:rFonts w:hint="eastAsia" w:ascii="宋体" w:hAnsi="宋体" w:cs="宋体"/>
                <w:sz w:val="24"/>
                <w:szCs w:val="24"/>
                <w:highlight w:val="none"/>
              </w:rPr>
              <w:t>阻燃和耐火电线电缆通则</w:t>
            </w:r>
          </w:p>
        </w:tc>
      </w:tr>
    </w:tbl>
    <w:p>
      <w:pPr>
        <w:widowControl w:val="0"/>
        <w:numPr>
          <w:ilvl w:val="0"/>
          <w:numId w:val="73"/>
        </w:numPr>
        <w:spacing w:after="0" w:line="360" w:lineRule="auto"/>
        <w:ind w:left="1134" w:right="-180" w:rightChars="-75" w:hanging="708"/>
        <w:jc w:val="both"/>
        <w:rPr>
          <w:color w:val="auto"/>
          <w:szCs w:val="24"/>
          <w:highlight w:val="none"/>
          <w:lang w:eastAsia="zh-TW"/>
        </w:rPr>
      </w:pPr>
      <w:r>
        <w:rPr>
          <w:rFonts w:hint="eastAsia"/>
          <w:color w:val="auto"/>
          <w:szCs w:val="24"/>
          <w:highlight w:val="none"/>
          <w:lang w:eastAsia="zh-TW"/>
        </w:rPr>
        <w:t>技术参数</w:t>
      </w:r>
    </w:p>
    <w:tbl>
      <w:tblPr>
        <w:tblStyle w:val="18"/>
        <w:tblW w:w="914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98"/>
        <w:gridCol w:w="4132"/>
        <w:gridCol w:w="1453"/>
        <w:gridCol w:w="246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6" w:hRule="atLeast"/>
          <w:jc w:val="center"/>
        </w:trPr>
        <w:tc>
          <w:tcPr>
            <w:tcW w:w="1098" w:type="dxa"/>
            <w:vAlign w:val="center"/>
          </w:tcPr>
          <w:p>
            <w:pPr>
              <w:pStyle w:val="54"/>
              <w:ind w:left="974" w:right="-180" w:rightChars="-75" w:hanging="974"/>
              <w:rPr>
                <w:rFonts w:ascii="宋体" w:hAnsi="宋体" w:cs="宋体"/>
                <w:sz w:val="24"/>
                <w:szCs w:val="24"/>
                <w:highlight w:val="none"/>
              </w:rPr>
            </w:pPr>
            <w:r>
              <w:rPr>
                <w:rFonts w:hint="eastAsia" w:ascii="宋体" w:hAnsi="宋体" w:cs="宋体"/>
                <w:sz w:val="24"/>
                <w:szCs w:val="24"/>
                <w:highlight w:val="none"/>
              </w:rPr>
              <w:t>序号</w:t>
            </w:r>
          </w:p>
        </w:tc>
        <w:tc>
          <w:tcPr>
            <w:tcW w:w="4132" w:type="dxa"/>
            <w:vAlign w:val="center"/>
          </w:tcPr>
          <w:p>
            <w:pPr>
              <w:pStyle w:val="54"/>
              <w:ind w:left="494" w:right="-180" w:rightChars="-75" w:hanging="68"/>
              <w:rPr>
                <w:rFonts w:ascii="宋体" w:hAnsi="宋体" w:cs="宋体"/>
                <w:sz w:val="24"/>
                <w:szCs w:val="24"/>
                <w:highlight w:val="none"/>
              </w:rPr>
            </w:pPr>
            <w:r>
              <w:rPr>
                <w:rFonts w:hint="eastAsia" w:ascii="宋体" w:hAnsi="宋体" w:cs="宋体"/>
                <w:sz w:val="24"/>
                <w:szCs w:val="24"/>
                <w:highlight w:val="none"/>
              </w:rPr>
              <w:t>项目</w:t>
            </w:r>
          </w:p>
        </w:tc>
        <w:tc>
          <w:tcPr>
            <w:tcW w:w="1453" w:type="dxa"/>
            <w:vAlign w:val="center"/>
          </w:tcPr>
          <w:p>
            <w:pPr>
              <w:pStyle w:val="54"/>
              <w:ind w:left="1134" w:right="-180" w:rightChars="-75" w:hanging="1134"/>
              <w:rPr>
                <w:rFonts w:ascii="宋体" w:hAnsi="宋体" w:cs="宋体"/>
                <w:sz w:val="24"/>
                <w:szCs w:val="24"/>
                <w:highlight w:val="none"/>
              </w:rPr>
            </w:pPr>
            <w:r>
              <w:rPr>
                <w:rFonts w:hint="eastAsia" w:ascii="宋体" w:hAnsi="宋体" w:cs="宋体"/>
                <w:sz w:val="24"/>
                <w:szCs w:val="24"/>
                <w:highlight w:val="none"/>
              </w:rPr>
              <w:t>参数</w:t>
            </w:r>
          </w:p>
        </w:tc>
        <w:tc>
          <w:tcPr>
            <w:tcW w:w="2465" w:type="dxa"/>
            <w:vAlign w:val="center"/>
          </w:tcPr>
          <w:p>
            <w:pPr>
              <w:pStyle w:val="54"/>
              <w:ind w:left="14" w:right="-180" w:rightChars="-75" w:hanging="14"/>
              <w:rPr>
                <w:rFonts w:ascii="宋体" w:hAnsi="宋体" w:cs="宋体"/>
                <w:sz w:val="24"/>
                <w:szCs w:val="24"/>
                <w:highlight w:val="none"/>
              </w:rPr>
            </w:pPr>
            <w:r>
              <w:rPr>
                <w:rFonts w:hint="eastAsia" w:ascii="宋体" w:hAnsi="宋体" w:cs="宋体"/>
                <w:sz w:val="24"/>
                <w:szCs w:val="24"/>
                <w:highlight w:val="none"/>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6" w:hRule="atLeast"/>
          <w:jc w:val="center"/>
        </w:trPr>
        <w:tc>
          <w:tcPr>
            <w:tcW w:w="1098" w:type="dxa"/>
            <w:vAlign w:val="center"/>
          </w:tcPr>
          <w:p>
            <w:pPr>
              <w:pStyle w:val="54"/>
              <w:ind w:left="974" w:right="-180" w:rightChars="-75" w:hanging="974"/>
              <w:rPr>
                <w:rFonts w:ascii="宋体" w:hAnsi="宋体" w:cs="宋体"/>
                <w:sz w:val="24"/>
                <w:szCs w:val="24"/>
                <w:highlight w:val="none"/>
              </w:rPr>
            </w:pPr>
            <w:r>
              <w:rPr>
                <w:rFonts w:hint="eastAsia" w:ascii="宋体" w:hAnsi="宋体" w:cs="宋体"/>
                <w:sz w:val="24"/>
                <w:szCs w:val="24"/>
                <w:highlight w:val="none"/>
              </w:rPr>
              <w:t>1</w:t>
            </w:r>
          </w:p>
        </w:tc>
        <w:tc>
          <w:tcPr>
            <w:tcW w:w="4132" w:type="dxa"/>
            <w:vAlign w:val="center"/>
          </w:tcPr>
          <w:p>
            <w:pPr>
              <w:pStyle w:val="54"/>
              <w:ind w:left="494" w:right="-180" w:rightChars="-75" w:hanging="68"/>
              <w:rPr>
                <w:rFonts w:ascii="宋体" w:hAnsi="宋体" w:cs="宋体"/>
                <w:sz w:val="24"/>
                <w:szCs w:val="24"/>
                <w:highlight w:val="none"/>
              </w:rPr>
            </w:pPr>
            <w:r>
              <w:rPr>
                <w:rFonts w:hint="eastAsia" w:ascii="宋体" w:hAnsi="宋体" w:cs="宋体"/>
                <w:sz w:val="24"/>
                <w:szCs w:val="24"/>
                <w:highlight w:val="none"/>
              </w:rPr>
              <w:t>额定工作电压U0/U（kV）</w:t>
            </w:r>
          </w:p>
        </w:tc>
        <w:tc>
          <w:tcPr>
            <w:tcW w:w="1453" w:type="dxa"/>
            <w:vAlign w:val="center"/>
          </w:tcPr>
          <w:p>
            <w:pPr>
              <w:pStyle w:val="54"/>
              <w:ind w:left="1134" w:right="-180" w:rightChars="-75" w:hanging="1134"/>
              <w:rPr>
                <w:rFonts w:ascii="宋体" w:hAnsi="宋体" w:cs="宋体"/>
                <w:sz w:val="24"/>
                <w:szCs w:val="24"/>
                <w:highlight w:val="none"/>
              </w:rPr>
            </w:pPr>
            <w:r>
              <w:rPr>
                <w:rFonts w:hint="eastAsia" w:ascii="宋体" w:hAnsi="宋体" w:cs="宋体"/>
                <w:sz w:val="24"/>
                <w:szCs w:val="24"/>
                <w:highlight w:val="none"/>
              </w:rPr>
              <w:t>0.6/1</w:t>
            </w:r>
          </w:p>
        </w:tc>
        <w:tc>
          <w:tcPr>
            <w:tcW w:w="2465" w:type="dxa"/>
            <w:vAlign w:val="center"/>
          </w:tcPr>
          <w:p>
            <w:pPr>
              <w:pStyle w:val="54"/>
              <w:ind w:left="14" w:right="-180" w:rightChars="-75" w:hanging="14"/>
              <w:rPr>
                <w:rFonts w:ascii="宋体" w:hAnsi="宋体" w:cs="宋体"/>
                <w:sz w:val="24"/>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6" w:hRule="atLeast"/>
          <w:jc w:val="center"/>
        </w:trPr>
        <w:tc>
          <w:tcPr>
            <w:tcW w:w="1098" w:type="dxa"/>
            <w:vAlign w:val="center"/>
          </w:tcPr>
          <w:p>
            <w:pPr>
              <w:pStyle w:val="54"/>
              <w:ind w:left="974" w:right="-180" w:rightChars="-75" w:hanging="974"/>
              <w:rPr>
                <w:rFonts w:ascii="宋体" w:hAnsi="宋体" w:cs="宋体"/>
                <w:sz w:val="24"/>
                <w:szCs w:val="24"/>
                <w:highlight w:val="none"/>
              </w:rPr>
            </w:pPr>
            <w:r>
              <w:rPr>
                <w:rFonts w:hint="eastAsia" w:ascii="宋体" w:hAnsi="宋体" w:cs="宋体"/>
                <w:sz w:val="24"/>
                <w:szCs w:val="24"/>
                <w:highlight w:val="none"/>
              </w:rPr>
              <w:t>2</w:t>
            </w:r>
          </w:p>
        </w:tc>
        <w:tc>
          <w:tcPr>
            <w:tcW w:w="4132" w:type="dxa"/>
            <w:vAlign w:val="center"/>
          </w:tcPr>
          <w:p>
            <w:pPr>
              <w:pStyle w:val="54"/>
              <w:ind w:left="494" w:right="-180" w:rightChars="-75" w:hanging="68"/>
              <w:rPr>
                <w:rFonts w:ascii="宋体" w:hAnsi="宋体" w:cs="宋体"/>
                <w:sz w:val="24"/>
                <w:szCs w:val="24"/>
                <w:highlight w:val="none"/>
              </w:rPr>
            </w:pPr>
            <w:r>
              <w:rPr>
                <w:rFonts w:hint="eastAsia" w:ascii="宋体" w:hAnsi="宋体" w:cs="宋体"/>
                <w:sz w:val="24"/>
                <w:szCs w:val="24"/>
                <w:highlight w:val="none"/>
              </w:rPr>
              <w:t>最高工作电压Um（kV）</w:t>
            </w:r>
          </w:p>
        </w:tc>
        <w:tc>
          <w:tcPr>
            <w:tcW w:w="1453" w:type="dxa"/>
            <w:vAlign w:val="center"/>
          </w:tcPr>
          <w:p>
            <w:pPr>
              <w:pStyle w:val="54"/>
              <w:ind w:left="1134" w:right="-180" w:rightChars="-75" w:hanging="1134"/>
              <w:rPr>
                <w:rFonts w:ascii="宋体" w:hAnsi="宋体" w:cs="宋体"/>
                <w:sz w:val="24"/>
                <w:szCs w:val="24"/>
                <w:highlight w:val="none"/>
              </w:rPr>
            </w:pPr>
            <w:r>
              <w:rPr>
                <w:rFonts w:hint="eastAsia" w:ascii="宋体" w:hAnsi="宋体" w:cs="宋体"/>
                <w:sz w:val="24"/>
                <w:szCs w:val="24"/>
                <w:highlight w:val="none"/>
              </w:rPr>
              <w:t>1.2</w:t>
            </w:r>
          </w:p>
        </w:tc>
        <w:tc>
          <w:tcPr>
            <w:tcW w:w="2465" w:type="dxa"/>
            <w:vAlign w:val="center"/>
          </w:tcPr>
          <w:p>
            <w:pPr>
              <w:pStyle w:val="54"/>
              <w:ind w:left="14" w:right="-180" w:rightChars="-75" w:hanging="14"/>
              <w:rPr>
                <w:rFonts w:ascii="宋体" w:hAnsi="宋体" w:cs="宋体"/>
                <w:sz w:val="24"/>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6" w:hRule="atLeast"/>
          <w:jc w:val="center"/>
        </w:trPr>
        <w:tc>
          <w:tcPr>
            <w:tcW w:w="1098" w:type="dxa"/>
            <w:vAlign w:val="center"/>
          </w:tcPr>
          <w:p>
            <w:pPr>
              <w:pStyle w:val="54"/>
              <w:ind w:left="974" w:right="-180" w:rightChars="-75" w:hanging="974"/>
              <w:rPr>
                <w:rFonts w:ascii="宋体" w:hAnsi="宋体" w:cs="宋体"/>
                <w:sz w:val="24"/>
                <w:szCs w:val="24"/>
                <w:highlight w:val="none"/>
              </w:rPr>
            </w:pPr>
            <w:r>
              <w:rPr>
                <w:rFonts w:hint="eastAsia" w:ascii="宋体" w:hAnsi="宋体" w:cs="宋体"/>
                <w:sz w:val="24"/>
                <w:szCs w:val="24"/>
                <w:highlight w:val="none"/>
              </w:rPr>
              <w:t>3</w:t>
            </w:r>
          </w:p>
        </w:tc>
        <w:tc>
          <w:tcPr>
            <w:tcW w:w="4132" w:type="dxa"/>
            <w:vAlign w:val="center"/>
          </w:tcPr>
          <w:p>
            <w:pPr>
              <w:pStyle w:val="54"/>
              <w:ind w:left="494" w:right="-180" w:rightChars="-75" w:hanging="68"/>
              <w:rPr>
                <w:rFonts w:ascii="宋体" w:hAnsi="宋体" w:cs="宋体"/>
                <w:sz w:val="24"/>
                <w:szCs w:val="24"/>
                <w:highlight w:val="none"/>
              </w:rPr>
            </w:pPr>
            <w:r>
              <w:rPr>
                <w:rFonts w:hint="eastAsia" w:ascii="宋体" w:hAnsi="宋体" w:cs="宋体"/>
                <w:sz w:val="24"/>
                <w:szCs w:val="24"/>
                <w:highlight w:val="none"/>
              </w:rPr>
              <w:t>工频耐受试验电压kV/5min</w:t>
            </w:r>
          </w:p>
        </w:tc>
        <w:tc>
          <w:tcPr>
            <w:tcW w:w="1453" w:type="dxa"/>
            <w:vAlign w:val="center"/>
          </w:tcPr>
          <w:p>
            <w:pPr>
              <w:pStyle w:val="54"/>
              <w:ind w:left="1134" w:right="-180" w:rightChars="-75" w:hanging="1134"/>
              <w:rPr>
                <w:rFonts w:ascii="宋体" w:hAnsi="宋体" w:cs="宋体"/>
                <w:sz w:val="24"/>
                <w:szCs w:val="24"/>
                <w:highlight w:val="none"/>
              </w:rPr>
            </w:pPr>
            <w:r>
              <w:rPr>
                <w:rFonts w:hint="eastAsia" w:ascii="宋体" w:hAnsi="宋体" w:cs="宋体"/>
                <w:sz w:val="24"/>
                <w:szCs w:val="24"/>
                <w:highlight w:val="none"/>
              </w:rPr>
              <w:t>3.5</w:t>
            </w:r>
          </w:p>
        </w:tc>
        <w:tc>
          <w:tcPr>
            <w:tcW w:w="2465" w:type="dxa"/>
            <w:vAlign w:val="center"/>
          </w:tcPr>
          <w:p>
            <w:pPr>
              <w:pStyle w:val="54"/>
              <w:ind w:left="14" w:right="-180" w:rightChars="-75" w:hanging="14"/>
              <w:rPr>
                <w:rFonts w:ascii="宋体" w:hAnsi="宋体" w:cs="宋体"/>
                <w:sz w:val="24"/>
                <w:szCs w:val="24"/>
                <w:highlight w:val="none"/>
              </w:rPr>
            </w:pPr>
            <w:r>
              <w:rPr>
                <w:rFonts w:hint="eastAsia" w:ascii="宋体" w:hAnsi="宋体" w:cs="宋体"/>
                <w:sz w:val="24"/>
                <w:szCs w:val="24"/>
                <w:highlight w:val="none"/>
              </w:rPr>
              <w:t>绝缘不击穿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2" w:hRule="atLeast"/>
          <w:jc w:val="center"/>
        </w:trPr>
        <w:tc>
          <w:tcPr>
            <w:tcW w:w="1098" w:type="dxa"/>
            <w:vAlign w:val="center"/>
          </w:tcPr>
          <w:p>
            <w:pPr>
              <w:pStyle w:val="54"/>
              <w:ind w:left="974" w:right="-180" w:rightChars="-75" w:hanging="974"/>
              <w:rPr>
                <w:rFonts w:ascii="宋体" w:hAnsi="宋体" w:cs="宋体"/>
                <w:sz w:val="24"/>
                <w:szCs w:val="24"/>
                <w:highlight w:val="none"/>
              </w:rPr>
            </w:pPr>
            <w:r>
              <w:rPr>
                <w:rFonts w:hint="eastAsia" w:ascii="宋体" w:hAnsi="宋体" w:cs="宋体"/>
                <w:sz w:val="24"/>
                <w:szCs w:val="24"/>
                <w:highlight w:val="none"/>
              </w:rPr>
              <w:t>4</w:t>
            </w:r>
          </w:p>
        </w:tc>
        <w:tc>
          <w:tcPr>
            <w:tcW w:w="4132" w:type="dxa"/>
            <w:vAlign w:val="center"/>
          </w:tcPr>
          <w:p>
            <w:pPr>
              <w:pStyle w:val="54"/>
              <w:ind w:left="494" w:right="-180" w:rightChars="-75" w:hanging="68"/>
              <w:rPr>
                <w:rFonts w:ascii="宋体" w:hAnsi="宋体" w:cs="宋体"/>
                <w:sz w:val="24"/>
                <w:szCs w:val="24"/>
                <w:highlight w:val="none"/>
              </w:rPr>
            </w:pPr>
            <w:r>
              <w:rPr>
                <w:rFonts w:hint="eastAsia" w:ascii="宋体" w:hAnsi="宋体" w:cs="宋体"/>
                <w:sz w:val="24"/>
                <w:szCs w:val="24"/>
                <w:highlight w:val="none"/>
              </w:rPr>
              <w:t>4h工频耐受试验电压 kV</w:t>
            </w:r>
          </w:p>
        </w:tc>
        <w:tc>
          <w:tcPr>
            <w:tcW w:w="1453" w:type="dxa"/>
            <w:vAlign w:val="center"/>
          </w:tcPr>
          <w:p>
            <w:pPr>
              <w:pStyle w:val="54"/>
              <w:ind w:left="1134" w:right="-180" w:rightChars="-75" w:hanging="1134"/>
              <w:rPr>
                <w:rFonts w:ascii="宋体" w:hAnsi="宋体" w:cs="宋体"/>
                <w:sz w:val="24"/>
                <w:szCs w:val="24"/>
                <w:highlight w:val="none"/>
              </w:rPr>
            </w:pPr>
            <w:r>
              <w:rPr>
                <w:rFonts w:hint="eastAsia" w:ascii="宋体" w:hAnsi="宋体" w:cs="宋体"/>
                <w:sz w:val="24"/>
                <w:szCs w:val="24"/>
                <w:highlight w:val="none"/>
              </w:rPr>
              <w:t>2.4</w:t>
            </w:r>
          </w:p>
        </w:tc>
        <w:tc>
          <w:tcPr>
            <w:tcW w:w="2465" w:type="dxa"/>
            <w:vAlign w:val="center"/>
          </w:tcPr>
          <w:p>
            <w:pPr>
              <w:pStyle w:val="54"/>
              <w:ind w:left="14" w:right="-180" w:rightChars="-75" w:hanging="14"/>
              <w:rPr>
                <w:rFonts w:ascii="宋体" w:hAnsi="宋体" w:cs="宋体"/>
                <w:sz w:val="24"/>
                <w:szCs w:val="24"/>
                <w:highlight w:val="none"/>
              </w:rPr>
            </w:pPr>
            <w:r>
              <w:rPr>
                <w:rFonts w:hint="eastAsia" w:ascii="宋体" w:hAnsi="宋体" w:cs="宋体"/>
                <w:sz w:val="24"/>
                <w:szCs w:val="24"/>
                <w:highlight w:val="none"/>
              </w:rPr>
              <w:t>绝缘不击穿</w:t>
            </w:r>
          </w:p>
        </w:tc>
      </w:tr>
    </w:tbl>
    <w:p>
      <w:pPr>
        <w:widowControl w:val="0"/>
        <w:numPr>
          <w:ilvl w:val="0"/>
          <w:numId w:val="73"/>
        </w:numPr>
        <w:spacing w:after="0" w:line="360" w:lineRule="auto"/>
        <w:ind w:left="1134" w:right="-180" w:rightChars="-75" w:hanging="708"/>
        <w:jc w:val="both"/>
        <w:rPr>
          <w:color w:val="auto"/>
          <w:szCs w:val="24"/>
          <w:highlight w:val="none"/>
        </w:rPr>
      </w:pPr>
      <w:r>
        <w:rPr>
          <w:rFonts w:hint="eastAsia"/>
          <w:color w:val="auto"/>
          <w:szCs w:val="24"/>
          <w:highlight w:val="none"/>
        </w:rPr>
        <w:t>性能参数</w:t>
      </w:r>
    </w:p>
    <w:p>
      <w:pPr>
        <w:spacing w:line="360" w:lineRule="auto"/>
        <w:ind w:left="240" w:right="-180" w:rightChars="-75" w:firstLine="480" w:firstLineChars="200"/>
        <w:rPr>
          <w:color w:val="auto"/>
          <w:szCs w:val="24"/>
          <w:highlight w:val="none"/>
        </w:rPr>
      </w:pPr>
      <w:r>
        <w:rPr>
          <w:rFonts w:hint="eastAsia"/>
          <w:color w:val="auto"/>
          <w:szCs w:val="24"/>
          <w:highlight w:val="none"/>
        </w:rPr>
        <w:t>导体：导体表面光洁、无油污、无损伤屏蔽及绝缘的毛刺、锐边，无凸起或断裂的单线。</w:t>
      </w:r>
    </w:p>
    <w:p>
      <w:pPr>
        <w:spacing w:line="360" w:lineRule="auto"/>
        <w:ind w:left="240" w:right="-180" w:rightChars="-75" w:firstLine="480" w:firstLineChars="200"/>
        <w:rPr>
          <w:color w:val="auto"/>
          <w:szCs w:val="24"/>
          <w:highlight w:val="none"/>
        </w:rPr>
      </w:pPr>
      <w:r>
        <w:rPr>
          <w:rFonts w:hint="eastAsia"/>
          <w:color w:val="auto"/>
          <w:szCs w:val="24"/>
          <w:highlight w:val="none"/>
        </w:rPr>
        <w:t>绝缘：标称厚度符合GB/T12706-2002标准规定，最薄点厚度不小于标称值的90%-0.1mm。</w:t>
      </w:r>
    </w:p>
    <w:p>
      <w:pPr>
        <w:spacing w:line="360" w:lineRule="auto"/>
        <w:ind w:left="240" w:right="-180" w:rightChars="-75" w:firstLine="480" w:firstLineChars="200"/>
        <w:rPr>
          <w:color w:val="auto"/>
          <w:szCs w:val="24"/>
          <w:highlight w:val="none"/>
        </w:rPr>
      </w:pPr>
      <w:r>
        <w:rPr>
          <w:rFonts w:hint="eastAsia"/>
          <w:color w:val="auto"/>
          <w:szCs w:val="24"/>
          <w:highlight w:val="none"/>
        </w:rPr>
        <w:t>填充、包带：缆芯采用非吸湿性材料填充，紧密无空隙。包带采用无纺布包带扎紧。</w:t>
      </w:r>
    </w:p>
    <w:p>
      <w:pPr>
        <w:spacing w:line="360" w:lineRule="auto"/>
        <w:ind w:left="240" w:right="-180" w:rightChars="-75" w:firstLine="480" w:firstLineChars="200"/>
        <w:rPr>
          <w:color w:val="auto"/>
          <w:szCs w:val="24"/>
          <w:highlight w:val="none"/>
        </w:rPr>
      </w:pPr>
      <w:r>
        <w:rPr>
          <w:rFonts w:hint="eastAsia"/>
          <w:color w:val="auto"/>
          <w:szCs w:val="24"/>
          <w:highlight w:val="none"/>
        </w:rPr>
        <w:t>外护套：标称厚度满足GB/T12706-2002的规定，外护套的最薄点厚度不小于标称值的80%-0.2mm。</w:t>
      </w:r>
    </w:p>
    <w:p>
      <w:pPr>
        <w:spacing w:line="360" w:lineRule="auto"/>
        <w:ind w:left="240" w:right="-180" w:rightChars="-75" w:firstLine="480" w:firstLineChars="200"/>
        <w:rPr>
          <w:color w:val="auto"/>
          <w:szCs w:val="24"/>
          <w:highlight w:val="none"/>
        </w:rPr>
      </w:pPr>
      <w:r>
        <w:rPr>
          <w:rFonts w:hint="eastAsia"/>
          <w:color w:val="auto"/>
          <w:szCs w:val="24"/>
          <w:highlight w:val="none"/>
        </w:rPr>
        <w:t>标志：电缆外印有生产厂名、型号、规格、额定电压和连续记米的标志。</w:t>
      </w:r>
    </w:p>
    <w:p>
      <w:pPr>
        <w:spacing w:line="360" w:lineRule="auto"/>
        <w:ind w:left="240" w:right="-180" w:rightChars="-75" w:firstLine="480" w:firstLineChars="200"/>
        <w:rPr>
          <w:color w:val="auto"/>
          <w:szCs w:val="24"/>
          <w:highlight w:val="none"/>
        </w:rPr>
      </w:pPr>
      <w:r>
        <w:rPr>
          <w:rFonts w:hint="eastAsia"/>
          <w:color w:val="auto"/>
          <w:szCs w:val="24"/>
          <w:highlight w:val="none"/>
        </w:rPr>
        <w:t>阻燃或耐火：符合GA306-2001，GB/T18380-2001，GB/T 12666GB/T19666-2005规定。</w:t>
      </w:r>
    </w:p>
    <w:p>
      <w:pPr>
        <w:spacing w:line="360" w:lineRule="auto"/>
        <w:ind w:left="240" w:right="-180" w:rightChars="-75" w:firstLine="480" w:firstLineChars="200"/>
        <w:rPr>
          <w:color w:val="auto"/>
          <w:szCs w:val="24"/>
          <w:highlight w:val="none"/>
        </w:rPr>
      </w:pPr>
      <w:r>
        <w:rPr>
          <w:rFonts w:hint="eastAsia"/>
          <w:color w:val="auto"/>
          <w:szCs w:val="24"/>
          <w:highlight w:val="none"/>
        </w:rPr>
        <w:t>电缆不允许有中间接头。</w:t>
      </w:r>
    </w:p>
    <w:p>
      <w:pPr>
        <w:spacing w:line="360" w:lineRule="auto"/>
        <w:ind w:left="240" w:right="-180" w:rightChars="-75" w:firstLine="480" w:firstLineChars="200"/>
        <w:rPr>
          <w:color w:val="auto"/>
          <w:szCs w:val="24"/>
          <w:highlight w:val="none"/>
        </w:rPr>
      </w:pPr>
      <w:r>
        <w:rPr>
          <w:rFonts w:hint="eastAsia"/>
          <w:color w:val="auto"/>
          <w:szCs w:val="24"/>
          <w:highlight w:val="none"/>
        </w:rPr>
        <w:t>电缆穿过楼板和墙壁处须用防火材料将电缆孔封闭，以保持与所穿过的楼板或墙体有相同的耐火等级。</w:t>
      </w:r>
    </w:p>
    <w:p>
      <w:pPr>
        <w:pStyle w:val="8"/>
        <w:tabs>
          <w:tab w:val="left" w:pos="960"/>
        </w:tabs>
        <w:ind w:left="1134" w:right="-180" w:rightChars="-75" w:hanging="708"/>
        <w:rPr>
          <w:highlight w:val="none"/>
        </w:rPr>
      </w:pPr>
      <w:r>
        <w:rPr>
          <w:highlight w:val="none"/>
        </w:rPr>
        <w:t>7</w:t>
      </w:r>
      <w:r>
        <w:rPr>
          <w:rFonts w:hint="eastAsia"/>
          <w:highlight w:val="none"/>
        </w:rPr>
        <w:t>）.桥架</w:t>
      </w:r>
    </w:p>
    <w:p>
      <w:pPr>
        <w:tabs>
          <w:tab w:val="left" w:pos="960"/>
        </w:tabs>
        <w:spacing w:line="360" w:lineRule="auto"/>
        <w:ind w:left="240" w:right="-180" w:rightChars="-75" w:firstLine="480" w:firstLineChars="200"/>
        <w:rPr>
          <w:color w:val="auto"/>
          <w:szCs w:val="24"/>
          <w:highlight w:val="none"/>
        </w:rPr>
      </w:pPr>
      <w:r>
        <w:rPr>
          <w:rFonts w:hint="eastAsia"/>
          <w:color w:val="auto"/>
          <w:szCs w:val="24"/>
          <w:highlight w:val="none"/>
        </w:rPr>
        <w:t>技术性能要求</w:t>
      </w:r>
    </w:p>
    <w:p>
      <w:pPr>
        <w:tabs>
          <w:tab w:val="left" w:pos="960"/>
        </w:tabs>
        <w:spacing w:line="360" w:lineRule="auto"/>
        <w:ind w:left="240" w:right="-180" w:rightChars="-75" w:firstLine="480" w:firstLineChars="200"/>
        <w:rPr>
          <w:color w:val="auto"/>
          <w:szCs w:val="24"/>
          <w:highlight w:val="none"/>
        </w:rPr>
      </w:pPr>
      <w:r>
        <w:rPr>
          <w:rFonts w:hint="eastAsia"/>
          <w:color w:val="auto"/>
          <w:szCs w:val="24"/>
          <w:highlight w:val="none"/>
        </w:rPr>
        <w:t>1.本节所说明的桥架含梯式、网格式、托盘式及槽式类型。桥架产品应经国家的桥架专业质量检测机构检测与认证。桥架需满足所用荷载要求。</w:t>
      </w:r>
    </w:p>
    <w:p>
      <w:pPr>
        <w:tabs>
          <w:tab w:val="left" w:pos="960"/>
        </w:tabs>
        <w:spacing w:line="360" w:lineRule="auto"/>
        <w:ind w:left="240" w:right="-180" w:rightChars="-75" w:firstLine="480" w:firstLineChars="200"/>
        <w:rPr>
          <w:color w:val="auto"/>
          <w:szCs w:val="24"/>
          <w:highlight w:val="none"/>
        </w:rPr>
      </w:pPr>
      <w:r>
        <w:rPr>
          <w:rFonts w:hint="eastAsia"/>
          <w:color w:val="auto"/>
          <w:szCs w:val="24"/>
          <w:highlight w:val="none"/>
        </w:rPr>
        <w:t>2.有孔托盘底部通风孔面积，不宜大于底部总面积的40％。</w:t>
      </w:r>
    </w:p>
    <w:p>
      <w:pPr>
        <w:tabs>
          <w:tab w:val="left" w:pos="960"/>
        </w:tabs>
        <w:spacing w:line="360" w:lineRule="auto"/>
        <w:ind w:left="240" w:right="-180" w:rightChars="-75" w:firstLine="480" w:firstLineChars="200"/>
        <w:rPr>
          <w:color w:val="auto"/>
          <w:szCs w:val="24"/>
          <w:highlight w:val="none"/>
        </w:rPr>
      </w:pPr>
      <w:r>
        <w:rPr>
          <w:rFonts w:hint="eastAsia"/>
          <w:color w:val="auto"/>
          <w:szCs w:val="24"/>
          <w:highlight w:val="none"/>
        </w:rPr>
        <w:t>3.梯架直通横档中心间距和梯架弯通横档1／2长度处的中心间距应均为200～300mm，横档宽度应为20～50mm。</w:t>
      </w:r>
    </w:p>
    <w:p>
      <w:pPr>
        <w:tabs>
          <w:tab w:val="left" w:pos="960"/>
        </w:tabs>
        <w:spacing w:line="360" w:lineRule="auto"/>
        <w:ind w:left="240" w:right="-180" w:rightChars="-75" w:firstLine="480" w:firstLineChars="200"/>
        <w:rPr>
          <w:color w:val="auto"/>
          <w:szCs w:val="24"/>
          <w:highlight w:val="none"/>
        </w:rPr>
      </w:pPr>
      <w:r>
        <w:rPr>
          <w:rFonts w:hint="eastAsia"/>
          <w:color w:val="auto"/>
          <w:szCs w:val="24"/>
          <w:highlight w:val="none"/>
        </w:rPr>
        <w:t>4.电缆桥架可采用镀锌冷扎钢板。消防采用之桥架均为镀锌低碳钢式防火桥架。涂层厚度应满足规范要求。</w:t>
      </w:r>
    </w:p>
    <w:p>
      <w:pPr>
        <w:tabs>
          <w:tab w:val="left" w:pos="960"/>
        </w:tabs>
        <w:spacing w:line="360" w:lineRule="auto"/>
        <w:ind w:left="240" w:right="-180" w:rightChars="-75" w:firstLine="480" w:firstLineChars="200"/>
        <w:rPr>
          <w:color w:val="auto"/>
          <w:szCs w:val="24"/>
          <w:highlight w:val="none"/>
        </w:rPr>
      </w:pPr>
      <w:r>
        <w:rPr>
          <w:rFonts w:hint="eastAsia"/>
          <w:color w:val="auto"/>
          <w:szCs w:val="24"/>
          <w:highlight w:val="none"/>
        </w:rPr>
        <w:t>5.普通托盘、梯架及网格式桥架板材的最小允许厚度应符合下表所列数值。</w:t>
      </w:r>
    </w:p>
    <w:p>
      <w:pPr>
        <w:tabs>
          <w:tab w:val="left" w:pos="960"/>
        </w:tabs>
        <w:spacing w:line="360" w:lineRule="auto"/>
        <w:ind w:left="240" w:right="-180" w:rightChars="-75" w:firstLine="480" w:firstLineChars="200"/>
        <w:rPr>
          <w:color w:val="auto"/>
          <w:szCs w:val="24"/>
          <w:highlight w:val="none"/>
        </w:rPr>
      </w:pPr>
      <w:r>
        <w:rPr>
          <w:rFonts w:hint="eastAsia"/>
          <w:color w:val="auto"/>
          <w:szCs w:val="24"/>
          <w:highlight w:val="none"/>
        </w:rPr>
        <w:t>托盘、梯架及网格式桥架允许最小板材厚度(mm)</w:t>
      </w:r>
    </w:p>
    <w:tbl>
      <w:tblPr>
        <w:tblStyle w:val="18"/>
        <w:tblW w:w="9040" w:type="dxa"/>
        <w:jc w:val="center"/>
        <w:tblBorders>
          <w:top w:val="single" w:color="333333" w:sz="6" w:space="0"/>
          <w:left w:val="single" w:color="333333" w:sz="6" w:space="0"/>
          <w:bottom w:val="single" w:color="333333" w:sz="6" w:space="0"/>
          <w:right w:val="single" w:color="333333" w:sz="6" w:space="0"/>
          <w:insideH w:val="none" w:color="auto" w:sz="0" w:space="0"/>
          <w:insideV w:val="none" w:color="auto" w:sz="0" w:space="0"/>
        </w:tblBorders>
        <w:tblLayout w:type="fixed"/>
        <w:tblCellMar>
          <w:top w:w="0" w:type="dxa"/>
          <w:left w:w="0" w:type="dxa"/>
          <w:bottom w:w="0" w:type="dxa"/>
          <w:right w:w="0" w:type="dxa"/>
        </w:tblCellMar>
      </w:tblPr>
      <w:tblGrid>
        <w:gridCol w:w="3411"/>
        <w:gridCol w:w="2493"/>
        <w:gridCol w:w="3136"/>
      </w:tblGrid>
      <w:tr>
        <w:tblPrEx>
          <w:tblBorders>
            <w:top w:val="single" w:color="333333" w:sz="6" w:space="0"/>
            <w:left w:val="single" w:color="333333" w:sz="6" w:space="0"/>
            <w:bottom w:val="single" w:color="333333" w:sz="6" w:space="0"/>
            <w:right w:val="single" w:color="333333" w:sz="6" w:space="0"/>
            <w:insideH w:val="none" w:color="auto" w:sz="0" w:space="0"/>
            <w:insideV w:val="none" w:color="auto" w:sz="0" w:space="0"/>
          </w:tblBorders>
          <w:tblCellMar>
            <w:top w:w="0" w:type="dxa"/>
            <w:left w:w="0" w:type="dxa"/>
            <w:bottom w:w="0" w:type="dxa"/>
            <w:right w:w="0" w:type="dxa"/>
          </w:tblCellMar>
        </w:tblPrEx>
        <w:trPr>
          <w:trHeight w:val="426" w:hRule="atLeast"/>
          <w:jc w:val="center"/>
        </w:trPr>
        <w:tc>
          <w:tcPr>
            <w:tcW w:w="3411" w:type="dxa"/>
            <w:tcBorders>
              <w:top w:val="single" w:color="333333" w:sz="6" w:space="0"/>
              <w:bottom w:val="single" w:color="333333" w:sz="6" w:space="0"/>
              <w:right w:val="single" w:color="333333" w:sz="6" w:space="0"/>
            </w:tcBorders>
            <w:vAlign w:val="center"/>
          </w:tcPr>
          <w:p>
            <w:pPr>
              <w:pStyle w:val="54"/>
              <w:ind w:left="240" w:right="276" w:rightChars="115" w:hanging="174"/>
              <w:rPr>
                <w:rFonts w:ascii="宋体" w:hAnsi="宋体" w:cs="宋体"/>
                <w:sz w:val="24"/>
                <w:szCs w:val="24"/>
                <w:highlight w:val="none"/>
              </w:rPr>
            </w:pPr>
            <w:bookmarkStart w:id="152" w:name="_Toc424643515"/>
            <w:r>
              <w:rPr>
                <w:rFonts w:hint="eastAsia" w:ascii="宋体" w:hAnsi="宋体" w:cs="宋体"/>
                <w:sz w:val="24"/>
                <w:szCs w:val="24"/>
                <w:highlight w:val="none"/>
              </w:rPr>
              <w:t>标称托盘、梯架宽度尺寸B (毫米)</w:t>
            </w:r>
            <w:bookmarkEnd w:id="152"/>
          </w:p>
        </w:tc>
        <w:tc>
          <w:tcPr>
            <w:tcW w:w="2493" w:type="dxa"/>
            <w:tcBorders>
              <w:top w:val="single" w:color="333333" w:sz="6" w:space="0"/>
              <w:left w:val="single" w:color="333333" w:sz="6" w:space="0"/>
              <w:bottom w:val="single" w:color="333333" w:sz="6" w:space="0"/>
              <w:right w:val="single" w:color="333333" w:sz="6" w:space="0"/>
            </w:tcBorders>
            <w:vAlign w:val="center"/>
          </w:tcPr>
          <w:p>
            <w:pPr>
              <w:pStyle w:val="54"/>
              <w:ind w:left="1134" w:right="-180" w:rightChars="-75" w:hanging="1134"/>
              <w:rPr>
                <w:rFonts w:ascii="宋体" w:hAnsi="宋体" w:cs="宋体"/>
                <w:sz w:val="24"/>
                <w:szCs w:val="24"/>
                <w:highlight w:val="none"/>
              </w:rPr>
            </w:pPr>
            <w:bookmarkStart w:id="153" w:name="_Toc424643516"/>
            <w:r>
              <w:rPr>
                <w:rFonts w:hint="eastAsia" w:ascii="宋体" w:hAnsi="宋体" w:cs="宋体"/>
                <w:sz w:val="24"/>
                <w:szCs w:val="24"/>
                <w:highlight w:val="none"/>
              </w:rPr>
              <w:t>最小厚度(毫米)</w:t>
            </w:r>
            <w:bookmarkEnd w:id="153"/>
          </w:p>
        </w:tc>
        <w:tc>
          <w:tcPr>
            <w:tcW w:w="3136" w:type="dxa"/>
            <w:tcBorders>
              <w:top w:val="single" w:color="333333" w:sz="6" w:space="0"/>
              <w:left w:val="single" w:color="333333" w:sz="6" w:space="0"/>
              <w:bottom w:val="single" w:color="333333" w:sz="6" w:space="0"/>
            </w:tcBorders>
            <w:vAlign w:val="center"/>
          </w:tcPr>
          <w:p>
            <w:pPr>
              <w:pStyle w:val="54"/>
              <w:ind w:left="1134" w:right="-180" w:rightChars="-75" w:hanging="1134"/>
              <w:rPr>
                <w:rFonts w:ascii="宋体" w:hAnsi="宋体" w:cs="宋体"/>
                <w:sz w:val="24"/>
                <w:szCs w:val="24"/>
                <w:highlight w:val="none"/>
              </w:rPr>
            </w:pPr>
            <w:bookmarkStart w:id="154" w:name="_Toc424643517"/>
            <w:r>
              <w:rPr>
                <w:rFonts w:hint="eastAsia" w:ascii="宋体" w:hAnsi="宋体" w:cs="宋体"/>
                <w:sz w:val="24"/>
                <w:szCs w:val="24"/>
                <w:highlight w:val="none"/>
              </w:rPr>
              <w:t>桥架允许最小折边宽度</w:t>
            </w:r>
            <w:bookmarkEnd w:id="154"/>
          </w:p>
        </w:tc>
      </w:tr>
      <w:tr>
        <w:tblPrEx>
          <w:tblBorders>
            <w:top w:val="single" w:color="333333" w:sz="6" w:space="0"/>
            <w:left w:val="single" w:color="333333" w:sz="6" w:space="0"/>
            <w:bottom w:val="single" w:color="333333" w:sz="6" w:space="0"/>
            <w:right w:val="single" w:color="333333" w:sz="6" w:space="0"/>
            <w:insideH w:val="none" w:color="auto" w:sz="0" w:space="0"/>
            <w:insideV w:val="none" w:color="auto" w:sz="0" w:space="0"/>
          </w:tblBorders>
          <w:tblCellMar>
            <w:top w:w="0" w:type="dxa"/>
            <w:left w:w="0" w:type="dxa"/>
            <w:bottom w:w="0" w:type="dxa"/>
            <w:right w:w="0" w:type="dxa"/>
          </w:tblCellMar>
        </w:tblPrEx>
        <w:trPr>
          <w:trHeight w:val="216" w:hRule="atLeast"/>
          <w:jc w:val="center"/>
        </w:trPr>
        <w:tc>
          <w:tcPr>
            <w:tcW w:w="3411" w:type="dxa"/>
            <w:tcBorders>
              <w:top w:val="single" w:color="333333" w:sz="6" w:space="0"/>
              <w:bottom w:val="single" w:color="333333" w:sz="6" w:space="0"/>
              <w:right w:val="single" w:color="333333" w:sz="6" w:space="0"/>
            </w:tcBorders>
            <w:vAlign w:val="center"/>
          </w:tcPr>
          <w:p>
            <w:pPr>
              <w:pStyle w:val="54"/>
              <w:ind w:left="1134" w:right="-180" w:rightChars="-75" w:hanging="708"/>
              <w:rPr>
                <w:rFonts w:ascii="宋体" w:hAnsi="宋体" w:cs="宋体"/>
                <w:sz w:val="24"/>
                <w:szCs w:val="24"/>
                <w:highlight w:val="none"/>
              </w:rPr>
            </w:pPr>
            <w:bookmarkStart w:id="155" w:name="_Toc424643518"/>
            <w:r>
              <w:rPr>
                <w:rFonts w:hint="eastAsia" w:ascii="宋体" w:hAnsi="宋体" w:cs="宋体"/>
                <w:sz w:val="24"/>
                <w:szCs w:val="24"/>
                <w:highlight w:val="none"/>
              </w:rPr>
              <w:t>B≤50</w:t>
            </w:r>
            <w:bookmarkEnd w:id="155"/>
          </w:p>
        </w:tc>
        <w:tc>
          <w:tcPr>
            <w:tcW w:w="2493" w:type="dxa"/>
            <w:tcBorders>
              <w:top w:val="single" w:color="333333" w:sz="6" w:space="0"/>
              <w:left w:val="single" w:color="333333" w:sz="6" w:space="0"/>
              <w:bottom w:val="single" w:color="333333" w:sz="6" w:space="0"/>
              <w:right w:val="single" w:color="333333" w:sz="6" w:space="0"/>
            </w:tcBorders>
            <w:vAlign w:val="center"/>
          </w:tcPr>
          <w:p>
            <w:pPr>
              <w:pStyle w:val="54"/>
              <w:ind w:left="1134" w:right="-180" w:rightChars="-75" w:hanging="1134"/>
              <w:rPr>
                <w:rFonts w:ascii="宋体" w:hAnsi="宋体" w:cs="宋体"/>
                <w:sz w:val="24"/>
                <w:szCs w:val="24"/>
                <w:highlight w:val="none"/>
              </w:rPr>
            </w:pPr>
            <w:bookmarkStart w:id="156" w:name="_Toc424643519"/>
            <w:r>
              <w:rPr>
                <w:rFonts w:hint="eastAsia" w:ascii="宋体" w:hAnsi="宋体" w:cs="宋体"/>
                <w:sz w:val="24"/>
                <w:szCs w:val="24"/>
                <w:highlight w:val="none"/>
              </w:rPr>
              <w:t>1.0</w:t>
            </w:r>
            <w:bookmarkEnd w:id="156"/>
          </w:p>
        </w:tc>
        <w:tc>
          <w:tcPr>
            <w:tcW w:w="3136" w:type="dxa"/>
            <w:tcBorders>
              <w:top w:val="single" w:color="333333" w:sz="6" w:space="0"/>
              <w:left w:val="single" w:color="333333" w:sz="6" w:space="0"/>
              <w:bottom w:val="single" w:color="333333" w:sz="6" w:space="0"/>
            </w:tcBorders>
          </w:tcPr>
          <w:p>
            <w:pPr>
              <w:pStyle w:val="54"/>
              <w:ind w:left="1134" w:right="-180" w:rightChars="-75" w:hanging="1134"/>
              <w:rPr>
                <w:rFonts w:ascii="宋体" w:hAnsi="宋体" w:cs="宋体"/>
                <w:sz w:val="24"/>
                <w:szCs w:val="24"/>
                <w:highlight w:val="none"/>
              </w:rPr>
            </w:pPr>
            <w:bookmarkStart w:id="157" w:name="_Toc424643520"/>
            <w:r>
              <w:rPr>
                <w:rFonts w:hint="eastAsia" w:ascii="宋体" w:hAnsi="宋体" w:cs="宋体"/>
                <w:sz w:val="24"/>
                <w:szCs w:val="24"/>
                <w:highlight w:val="none"/>
              </w:rPr>
              <w:t>10</w:t>
            </w:r>
            <w:bookmarkEnd w:id="157"/>
          </w:p>
        </w:tc>
      </w:tr>
      <w:tr>
        <w:tblPrEx>
          <w:tblBorders>
            <w:top w:val="single" w:color="333333" w:sz="6" w:space="0"/>
            <w:left w:val="single" w:color="333333" w:sz="6" w:space="0"/>
            <w:bottom w:val="single" w:color="333333" w:sz="6" w:space="0"/>
            <w:right w:val="single" w:color="333333" w:sz="6" w:space="0"/>
            <w:insideH w:val="none" w:color="auto" w:sz="0" w:space="0"/>
            <w:insideV w:val="none" w:color="auto" w:sz="0" w:space="0"/>
          </w:tblBorders>
          <w:tblCellMar>
            <w:top w:w="0" w:type="dxa"/>
            <w:left w:w="0" w:type="dxa"/>
            <w:bottom w:w="0" w:type="dxa"/>
            <w:right w:w="0" w:type="dxa"/>
          </w:tblCellMar>
        </w:tblPrEx>
        <w:trPr>
          <w:trHeight w:val="216" w:hRule="atLeast"/>
          <w:jc w:val="center"/>
        </w:trPr>
        <w:tc>
          <w:tcPr>
            <w:tcW w:w="3411" w:type="dxa"/>
            <w:tcBorders>
              <w:top w:val="single" w:color="333333" w:sz="6" w:space="0"/>
              <w:bottom w:val="single" w:color="333333" w:sz="6" w:space="0"/>
              <w:right w:val="single" w:color="333333" w:sz="6" w:space="0"/>
            </w:tcBorders>
            <w:vAlign w:val="center"/>
          </w:tcPr>
          <w:p>
            <w:pPr>
              <w:pStyle w:val="54"/>
              <w:ind w:left="1134" w:right="-180" w:rightChars="-75" w:hanging="708"/>
              <w:rPr>
                <w:rFonts w:ascii="宋体" w:hAnsi="宋体" w:cs="宋体"/>
                <w:sz w:val="24"/>
                <w:szCs w:val="24"/>
                <w:highlight w:val="none"/>
              </w:rPr>
            </w:pPr>
            <w:bookmarkStart w:id="158" w:name="_Toc424643521"/>
            <w:r>
              <w:rPr>
                <w:rFonts w:hint="eastAsia" w:ascii="宋体" w:hAnsi="宋体" w:cs="宋体"/>
                <w:sz w:val="24"/>
                <w:szCs w:val="24"/>
                <w:highlight w:val="none"/>
              </w:rPr>
              <w:t>50＜B≤100</w:t>
            </w:r>
            <w:bookmarkEnd w:id="158"/>
          </w:p>
        </w:tc>
        <w:tc>
          <w:tcPr>
            <w:tcW w:w="2493" w:type="dxa"/>
            <w:tcBorders>
              <w:top w:val="single" w:color="333333" w:sz="6" w:space="0"/>
              <w:left w:val="single" w:color="333333" w:sz="6" w:space="0"/>
              <w:bottom w:val="single" w:color="333333" w:sz="6" w:space="0"/>
              <w:right w:val="single" w:color="333333" w:sz="6" w:space="0"/>
            </w:tcBorders>
            <w:vAlign w:val="center"/>
          </w:tcPr>
          <w:p>
            <w:pPr>
              <w:pStyle w:val="54"/>
              <w:ind w:left="1134" w:right="-180" w:rightChars="-75" w:hanging="1134"/>
              <w:rPr>
                <w:rFonts w:ascii="宋体" w:hAnsi="宋体" w:cs="宋体"/>
                <w:sz w:val="24"/>
                <w:szCs w:val="24"/>
                <w:highlight w:val="none"/>
              </w:rPr>
            </w:pPr>
            <w:bookmarkStart w:id="159" w:name="_Toc424643522"/>
            <w:r>
              <w:rPr>
                <w:rFonts w:hint="eastAsia" w:ascii="宋体" w:hAnsi="宋体" w:cs="宋体"/>
                <w:sz w:val="24"/>
                <w:szCs w:val="24"/>
                <w:highlight w:val="none"/>
              </w:rPr>
              <w:t>1.2</w:t>
            </w:r>
            <w:bookmarkEnd w:id="159"/>
          </w:p>
        </w:tc>
        <w:tc>
          <w:tcPr>
            <w:tcW w:w="3136" w:type="dxa"/>
            <w:tcBorders>
              <w:top w:val="single" w:color="333333" w:sz="6" w:space="0"/>
              <w:left w:val="single" w:color="333333" w:sz="6" w:space="0"/>
              <w:bottom w:val="single" w:color="333333" w:sz="6" w:space="0"/>
            </w:tcBorders>
          </w:tcPr>
          <w:p>
            <w:pPr>
              <w:pStyle w:val="54"/>
              <w:ind w:left="1134" w:right="-180" w:rightChars="-75" w:hanging="1134"/>
              <w:rPr>
                <w:rFonts w:ascii="宋体" w:hAnsi="宋体" w:cs="宋体"/>
                <w:sz w:val="24"/>
                <w:szCs w:val="24"/>
                <w:highlight w:val="none"/>
              </w:rPr>
            </w:pPr>
            <w:bookmarkStart w:id="160" w:name="_Toc424643523"/>
            <w:r>
              <w:rPr>
                <w:rFonts w:hint="eastAsia" w:ascii="宋体" w:hAnsi="宋体" w:cs="宋体"/>
                <w:sz w:val="24"/>
                <w:szCs w:val="24"/>
                <w:highlight w:val="none"/>
              </w:rPr>
              <w:t>10</w:t>
            </w:r>
            <w:bookmarkEnd w:id="160"/>
          </w:p>
        </w:tc>
      </w:tr>
      <w:tr>
        <w:tblPrEx>
          <w:tblBorders>
            <w:top w:val="single" w:color="333333" w:sz="6" w:space="0"/>
            <w:left w:val="single" w:color="333333" w:sz="6" w:space="0"/>
            <w:bottom w:val="single" w:color="333333" w:sz="6" w:space="0"/>
            <w:right w:val="single" w:color="333333" w:sz="6" w:space="0"/>
            <w:insideH w:val="none" w:color="auto" w:sz="0" w:space="0"/>
            <w:insideV w:val="none" w:color="auto" w:sz="0" w:space="0"/>
          </w:tblBorders>
          <w:tblCellMar>
            <w:top w:w="0" w:type="dxa"/>
            <w:left w:w="0" w:type="dxa"/>
            <w:bottom w:w="0" w:type="dxa"/>
            <w:right w:w="0" w:type="dxa"/>
          </w:tblCellMar>
        </w:tblPrEx>
        <w:trPr>
          <w:trHeight w:val="216" w:hRule="atLeast"/>
          <w:jc w:val="center"/>
        </w:trPr>
        <w:tc>
          <w:tcPr>
            <w:tcW w:w="3411" w:type="dxa"/>
            <w:tcBorders>
              <w:top w:val="single" w:color="333333" w:sz="6" w:space="0"/>
              <w:bottom w:val="single" w:color="333333" w:sz="6" w:space="0"/>
              <w:right w:val="single" w:color="333333" w:sz="6" w:space="0"/>
            </w:tcBorders>
            <w:vAlign w:val="center"/>
          </w:tcPr>
          <w:p>
            <w:pPr>
              <w:pStyle w:val="54"/>
              <w:ind w:left="1134" w:right="-180" w:rightChars="-75" w:hanging="708"/>
              <w:rPr>
                <w:rFonts w:ascii="宋体" w:hAnsi="宋体" w:cs="宋体"/>
                <w:sz w:val="24"/>
                <w:szCs w:val="24"/>
                <w:highlight w:val="none"/>
              </w:rPr>
            </w:pPr>
            <w:bookmarkStart w:id="161" w:name="_Toc424643524"/>
            <w:r>
              <w:rPr>
                <w:rFonts w:hint="eastAsia" w:ascii="宋体" w:hAnsi="宋体" w:cs="宋体"/>
                <w:sz w:val="24"/>
                <w:szCs w:val="24"/>
                <w:highlight w:val="none"/>
              </w:rPr>
              <w:t>100＜B≤200</w:t>
            </w:r>
            <w:bookmarkEnd w:id="161"/>
          </w:p>
        </w:tc>
        <w:tc>
          <w:tcPr>
            <w:tcW w:w="2493" w:type="dxa"/>
            <w:tcBorders>
              <w:top w:val="single" w:color="333333" w:sz="6" w:space="0"/>
              <w:left w:val="single" w:color="333333" w:sz="6" w:space="0"/>
              <w:bottom w:val="single" w:color="333333" w:sz="6" w:space="0"/>
              <w:right w:val="single" w:color="333333" w:sz="6" w:space="0"/>
            </w:tcBorders>
            <w:vAlign w:val="center"/>
          </w:tcPr>
          <w:p>
            <w:pPr>
              <w:pStyle w:val="54"/>
              <w:ind w:left="1134" w:right="-180" w:rightChars="-75" w:hanging="1134"/>
              <w:rPr>
                <w:rFonts w:ascii="宋体" w:hAnsi="宋体" w:cs="宋体"/>
                <w:sz w:val="24"/>
                <w:szCs w:val="24"/>
                <w:highlight w:val="none"/>
              </w:rPr>
            </w:pPr>
            <w:bookmarkStart w:id="162" w:name="_Toc424643525"/>
            <w:r>
              <w:rPr>
                <w:rFonts w:hint="eastAsia" w:ascii="宋体" w:hAnsi="宋体" w:cs="宋体"/>
                <w:sz w:val="24"/>
                <w:szCs w:val="24"/>
                <w:highlight w:val="none"/>
              </w:rPr>
              <w:t>1.5</w:t>
            </w:r>
            <w:bookmarkEnd w:id="162"/>
          </w:p>
        </w:tc>
        <w:tc>
          <w:tcPr>
            <w:tcW w:w="3136" w:type="dxa"/>
            <w:tcBorders>
              <w:top w:val="single" w:color="333333" w:sz="6" w:space="0"/>
              <w:left w:val="single" w:color="333333" w:sz="6" w:space="0"/>
              <w:bottom w:val="single" w:color="333333" w:sz="6" w:space="0"/>
            </w:tcBorders>
          </w:tcPr>
          <w:p>
            <w:pPr>
              <w:pStyle w:val="54"/>
              <w:ind w:left="1134" w:right="-180" w:rightChars="-75" w:hanging="1134"/>
              <w:rPr>
                <w:rFonts w:ascii="宋体" w:hAnsi="宋体" w:cs="宋体"/>
                <w:sz w:val="24"/>
                <w:szCs w:val="24"/>
                <w:highlight w:val="none"/>
              </w:rPr>
            </w:pPr>
            <w:bookmarkStart w:id="163" w:name="_Toc424643526"/>
            <w:r>
              <w:rPr>
                <w:rFonts w:hint="eastAsia" w:ascii="宋体" w:hAnsi="宋体" w:cs="宋体"/>
                <w:sz w:val="24"/>
                <w:szCs w:val="24"/>
                <w:highlight w:val="none"/>
              </w:rPr>
              <w:t>12</w:t>
            </w:r>
            <w:bookmarkEnd w:id="163"/>
          </w:p>
        </w:tc>
      </w:tr>
      <w:tr>
        <w:tblPrEx>
          <w:tblBorders>
            <w:top w:val="single" w:color="333333" w:sz="6" w:space="0"/>
            <w:left w:val="single" w:color="333333" w:sz="6" w:space="0"/>
            <w:bottom w:val="single" w:color="333333" w:sz="6" w:space="0"/>
            <w:right w:val="single" w:color="333333" w:sz="6" w:space="0"/>
            <w:insideH w:val="none" w:color="auto" w:sz="0" w:space="0"/>
            <w:insideV w:val="none" w:color="auto" w:sz="0" w:space="0"/>
          </w:tblBorders>
          <w:tblCellMar>
            <w:top w:w="0" w:type="dxa"/>
            <w:left w:w="0" w:type="dxa"/>
            <w:bottom w:w="0" w:type="dxa"/>
            <w:right w:w="0" w:type="dxa"/>
          </w:tblCellMar>
        </w:tblPrEx>
        <w:trPr>
          <w:trHeight w:val="216" w:hRule="atLeast"/>
          <w:jc w:val="center"/>
        </w:trPr>
        <w:tc>
          <w:tcPr>
            <w:tcW w:w="3411" w:type="dxa"/>
            <w:tcBorders>
              <w:top w:val="single" w:color="333333" w:sz="6" w:space="0"/>
              <w:bottom w:val="single" w:color="333333" w:sz="6" w:space="0"/>
              <w:right w:val="single" w:color="333333" w:sz="6" w:space="0"/>
            </w:tcBorders>
            <w:vAlign w:val="center"/>
          </w:tcPr>
          <w:p>
            <w:pPr>
              <w:pStyle w:val="54"/>
              <w:ind w:left="1134" w:right="-180" w:rightChars="-75" w:hanging="708"/>
              <w:rPr>
                <w:rFonts w:ascii="宋体" w:hAnsi="宋体" w:cs="宋体"/>
                <w:sz w:val="24"/>
                <w:szCs w:val="24"/>
                <w:highlight w:val="none"/>
              </w:rPr>
            </w:pPr>
            <w:bookmarkStart w:id="164" w:name="_Toc424643527"/>
            <w:r>
              <w:rPr>
                <w:rFonts w:hint="eastAsia" w:ascii="宋体" w:hAnsi="宋体" w:cs="宋体"/>
                <w:sz w:val="24"/>
                <w:szCs w:val="24"/>
                <w:highlight w:val="none"/>
              </w:rPr>
              <w:t>200＜B≤500</w:t>
            </w:r>
            <w:bookmarkEnd w:id="164"/>
          </w:p>
        </w:tc>
        <w:tc>
          <w:tcPr>
            <w:tcW w:w="2493" w:type="dxa"/>
            <w:tcBorders>
              <w:top w:val="single" w:color="333333" w:sz="6" w:space="0"/>
              <w:left w:val="single" w:color="333333" w:sz="6" w:space="0"/>
              <w:bottom w:val="single" w:color="333333" w:sz="6" w:space="0"/>
              <w:right w:val="single" w:color="333333" w:sz="6" w:space="0"/>
            </w:tcBorders>
            <w:vAlign w:val="center"/>
          </w:tcPr>
          <w:p>
            <w:pPr>
              <w:pStyle w:val="54"/>
              <w:ind w:left="1134" w:right="-180" w:rightChars="-75" w:hanging="1134"/>
              <w:rPr>
                <w:rFonts w:ascii="宋体" w:hAnsi="宋体" w:cs="宋体"/>
                <w:sz w:val="24"/>
                <w:szCs w:val="24"/>
                <w:highlight w:val="none"/>
              </w:rPr>
            </w:pPr>
            <w:bookmarkStart w:id="165" w:name="_Toc424643528"/>
            <w:r>
              <w:rPr>
                <w:rFonts w:hint="eastAsia" w:ascii="宋体" w:hAnsi="宋体" w:cs="宋体"/>
                <w:sz w:val="24"/>
                <w:szCs w:val="24"/>
                <w:highlight w:val="none"/>
              </w:rPr>
              <w:t>2.0</w:t>
            </w:r>
            <w:bookmarkEnd w:id="165"/>
          </w:p>
        </w:tc>
        <w:tc>
          <w:tcPr>
            <w:tcW w:w="3136" w:type="dxa"/>
            <w:tcBorders>
              <w:top w:val="single" w:color="333333" w:sz="6" w:space="0"/>
              <w:left w:val="single" w:color="333333" w:sz="6" w:space="0"/>
              <w:bottom w:val="single" w:color="333333" w:sz="6" w:space="0"/>
            </w:tcBorders>
          </w:tcPr>
          <w:p>
            <w:pPr>
              <w:pStyle w:val="54"/>
              <w:ind w:left="1134" w:right="-180" w:rightChars="-75" w:hanging="1134"/>
              <w:rPr>
                <w:rFonts w:ascii="宋体" w:hAnsi="宋体" w:cs="宋体"/>
                <w:sz w:val="24"/>
                <w:szCs w:val="24"/>
                <w:highlight w:val="none"/>
              </w:rPr>
            </w:pPr>
            <w:bookmarkStart w:id="166" w:name="_Toc424643529"/>
            <w:r>
              <w:rPr>
                <w:rFonts w:hint="eastAsia" w:ascii="宋体" w:hAnsi="宋体" w:cs="宋体"/>
                <w:sz w:val="24"/>
                <w:szCs w:val="24"/>
                <w:highlight w:val="none"/>
              </w:rPr>
              <w:t>12</w:t>
            </w:r>
            <w:bookmarkEnd w:id="166"/>
          </w:p>
        </w:tc>
      </w:tr>
      <w:tr>
        <w:tblPrEx>
          <w:tblBorders>
            <w:top w:val="single" w:color="333333" w:sz="6" w:space="0"/>
            <w:left w:val="single" w:color="333333" w:sz="6" w:space="0"/>
            <w:bottom w:val="single" w:color="333333" w:sz="6" w:space="0"/>
            <w:right w:val="single" w:color="333333" w:sz="6" w:space="0"/>
            <w:insideH w:val="none" w:color="auto" w:sz="0" w:space="0"/>
            <w:insideV w:val="none" w:color="auto" w:sz="0" w:space="0"/>
          </w:tblBorders>
          <w:tblCellMar>
            <w:top w:w="0" w:type="dxa"/>
            <w:left w:w="0" w:type="dxa"/>
            <w:bottom w:w="0" w:type="dxa"/>
            <w:right w:w="0" w:type="dxa"/>
          </w:tblCellMar>
        </w:tblPrEx>
        <w:trPr>
          <w:trHeight w:val="294" w:hRule="atLeast"/>
          <w:jc w:val="center"/>
        </w:trPr>
        <w:tc>
          <w:tcPr>
            <w:tcW w:w="3411" w:type="dxa"/>
            <w:tcBorders>
              <w:top w:val="single" w:color="333333" w:sz="6" w:space="0"/>
              <w:bottom w:val="single" w:color="333333" w:sz="6" w:space="0"/>
              <w:right w:val="single" w:color="333333" w:sz="6" w:space="0"/>
            </w:tcBorders>
            <w:vAlign w:val="center"/>
          </w:tcPr>
          <w:p>
            <w:pPr>
              <w:pStyle w:val="54"/>
              <w:ind w:left="1134" w:right="-180" w:rightChars="-75" w:hanging="708"/>
              <w:rPr>
                <w:rFonts w:ascii="宋体" w:hAnsi="宋体" w:cs="宋体"/>
                <w:sz w:val="24"/>
                <w:szCs w:val="24"/>
                <w:highlight w:val="none"/>
              </w:rPr>
            </w:pPr>
            <w:bookmarkStart w:id="167" w:name="_Toc424643530"/>
            <w:r>
              <w:rPr>
                <w:rFonts w:hint="eastAsia" w:ascii="宋体" w:hAnsi="宋体" w:cs="宋体"/>
                <w:sz w:val="24"/>
                <w:szCs w:val="24"/>
                <w:highlight w:val="none"/>
              </w:rPr>
              <w:t>500＜B≤800</w:t>
            </w:r>
            <w:bookmarkEnd w:id="167"/>
          </w:p>
        </w:tc>
        <w:tc>
          <w:tcPr>
            <w:tcW w:w="2493" w:type="dxa"/>
            <w:tcBorders>
              <w:top w:val="single" w:color="333333" w:sz="6" w:space="0"/>
              <w:left w:val="single" w:color="333333" w:sz="6" w:space="0"/>
              <w:bottom w:val="single" w:color="333333" w:sz="6" w:space="0"/>
              <w:right w:val="single" w:color="333333" w:sz="6" w:space="0"/>
            </w:tcBorders>
            <w:vAlign w:val="center"/>
          </w:tcPr>
          <w:p>
            <w:pPr>
              <w:pStyle w:val="54"/>
              <w:ind w:left="1134" w:right="-180" w:rightChars="-75" w:hanging="1134"/>
              <w:rPr>
                <w:rFonts w:ascii="宋体" w:hAnsi="宋体" w:cs="宋体"/>
                <w:sz w:val="24"/>
                <w:szCs w:val="24"/>
                <w:highlight w:val="none"/>
              </w:rPr>
            </w:pPr>
            <w:bookmarkStart w:id="168" w:name="_Toc424643531"/>
            <w:r>
              <w:rPr>
                <w:rFonts w:hint="eastAsia" w:ascii="宋体" w:hAnsi="宋体" w:cs="宋体"/>
                <w:sz w:val="24"/>
                <w:szCs w:val="24"/>
                <w:highlight w:val="none"/>
              </w:rPr>
              <w:t>2.2</w:t>
            </w:r>
            <w:bookmarkEnd w:id="168"/>
          </w:p>
        </w:tc>
        <w:tc>
          <w:tcPr>
            <w:tcW w:w="3136" w:type="dxa"/>
            <w:tcBorders>
              <w:top w:val="single" w:color="333333" w:sz="6" w:space="0"/>
              <w:left w:val="single" w:color="333333" w:sz="6" w:space="0"/>
              <w:bottom w:val="single" w:color="333333" w:sz="6" w:space="0"/>
            </w:tcBorders>
          </w:tcPr>
          <w:p>
            <w:pPr>
              <w:pStyle w:val="54"/>
              <w:ind w:left="1134" w:right="-180" w:rightChars="-75" w:hanging="1134"/>
              <w:rPr>
                <w:rFonts w:ascii="宋体" w:hAnsi="宋体" w:cs="宋体"/>
                <w:sz w:val="24"/>
                <w:szCs w:val="24"/>
                <w:highlight w:val="none"/>
              </w:rPr>
            </w:pPr>
            <w:bookmarkStart w:id="169" w:name="_Toc424643532"/>
            <w:r>
              <w:rPr>
                <w:rFonts w:hint="eastAsia" w:ascii="宋体" w:hAnsi="宋体" w:cs="宋体"/>
                <w:sz w:val="24"/>
                <w:szCs w:val="24"/>
                <w:highlight w:val="none"/>
              </w:rPr>
              <w:t>15</w:t>
            </w:r>
            <w:bookmarkEnd w:id="169"/>
          </w:p>
        </w:tc>
      </w:tr>
      <w:tr>
        <w:tblPrEx>
          <w:tblBorders>
            <w:top w:val="single" w:color="333333" w:sz="6" w:space="0"/>
            <w:left w:val="single" w:color="333333" w:sz="6" w:space="0"/>
            <w:bottom w:val="single" w:color="333333" w:sz="6" w:space="0"/>
            <w:right w:val="single" w:color="333333" w:sz="6" w:space="0"/>
            <w:insideH w:val="none" w:color="auto" w:sz="0" w:space="0"/>
            <w:insideV w:val="none" w:color="auto" w:sz="0" w:space="0"/>
          </w:tblBorders>
          <w:tblCellMar>
            <w:top w:w="0" w:type="dxa"/>
            <w:left w:w="0" w:type="dxa"/>
            <w:bottom w:w="0" w:type="dxa"/>
            <w:right w:w="0" w:type="dxa"/>
          </w:tblCellMar>
        </w:tblPrEx>
        <w:trPr>
          <w:trHeight w:val="254" w:hRule="atLeast"/>
          <w:jc w:val="center"/>
        </w:trPr>
        <w:tc>
          <w:tcPr>
            <w:tcW w:w="3411" w:type="dxa"/>
            <w:tcBorders>
              <w:top w:val="single" w:color="333333" w:sz="6" w:space="0"/>
              <w:bottom w:val="single" w:color="333333" w:sz="6" w:space="0"/>
              <w:right w:val="single" w:color="333333" w:sz="6" w:space="0"/>
            </w:tcBorders>
            <w:vAlign w:val="center"/>
          </w:tcPr>
          <w:p>
            <w:pPr>
              <w:pStyle w:val="54"/>
              <w:ind w:left="1134" w:right="-180" w:rightChars="-75" w:hanging="708"/>
              <w:rPr>
                <w:rFonts w:ascii="宋体" w:hAnsi="宋体" w:cs="宋体"/>
                <w:sz w:val="24"/>
                <w:szCs w:val="24"/>
                <w:highlight w:val="none"/>
              </w:rPr>
            </w:pPr>
            <w:bookmarkStart w:id="170" w:name="_Toc424643533"/>
            <w:r>
              <w:rPr>
                <w:rFonts w:hint="eastAsia" w:ascii="宋体" w:hAnsi="宋体" w:cs="宋体"/>
                <w:sz w:val="24"/>
                <w:szCs w:val="24"/>
                <w:highlight w:val="none"/>
              </w:rPr>
              <w:t>800＜B</w:t>
            </w:r>
            <w:bookmarkEnd w:id="170"/>
          </w:p>
        </w:tc>
        <w:tc>
          <w:tcPr>
            <w:tcW w:w="2493" w:type="dxa"/>
            <w:tcBorders>
              <w:top w:val="single" w:color="333333" w:sz="6" w:space="0"/>
              <w:left w:val="single" w:color="333333" w:sz="6" w:space="0"/>
              <w:bottom w:val="single" w:color="333333" w:sz="6" w:space="0"/>
              <w:right w:val="single" w:color="333333" w:sz="6" w:space="0"/>
            </w:tcBorders>
            <w:vAlign w:val="center"/>
          </w:tcPr>
          <w:p>
            <w:pPr>
              <w:pStyle w:val="54"/>
              <w:ind w:left="1134" w:right="-180" w:rightChars="-75" w:hanging="1134"/>
              <w:rPr>
                <w:rFonts w:ascii="宋体" w:hAnsi="宋体" w:cs="宋体"/>
                <w:sz w:val="24"/>
                <w:szCs w:val="24"/>
                <w:highlight w:val="none"/>
              </w:rPr>
            </w:pPr>
            <w:bookmarkStart w:id="171" w:name="_Toc424643534"/>
            <w:r>
              <w:rPr>
                <w:rFonts w:hint="eastAsia" w:ascii="宋体" w:hAnsi="宋体" w:cs="宋体"/>
                <w:sz w:val="24"/>
                <w:szCs w:val="24"/>
                <w:highlight w:val="none"/>
              </w:rPr>
              <w:t>2.2</w:t>
            </w:r>
            <w:bookmarkEnd w:id="171"/>
          </w:p>
        </w:tc>
        <w:tc>
          <w:tcPr>
            <w:tcW w:w="3136" w:type="dxa"/>
            <w:tcBorders>
              <w:top w:val="single" w:color="333333" w:sz="6" w:space="0"/>
              <w:left w:val="single" w:color="333333" w:sz="6" w:space="0"/>
              <w:bottom w:val="single" w:color="333333" w:sz="6" w:space="0"/>
            </w:tcBorders>
          </w:tcPr>
          <w:p>
            <w:pPr>
              <w:pStyle w:val="54"/>
              <w:ind w:left="1134" w:right="-180" w:rightChars="-75" w:hanging="1134"/>
              <w:rPr>
                <w:rFonts w:ascii="宋体" w:hAnsi="宋体" w:cs="宋体"/>
                <w:sz w:val="24"/>
                <w:szCs w:val="24"/>
                <w:highlight w:val="none"/>
              </w:rPr>
            </w:pPr>
            <w:bookmarkStart w:id="172" w:name="_Toc424643535"/>
            <w:r>
              <w:rPr>
                <w:rFonts w:hint="eastAsia" w:ascii="宋体" w:hAnsi="宋体" w:cs="宋体"/>
                <w:sz w:val="24"/>
                <w:szCs w:val="24"/>
                <w:highlight w:val="none"/>
              </w:rPr>
              <w:t>20</w:t>
            </w:r>
            <w:bookmarkEnd w:id="172"/>
          </w:p>
        </w:tc>
      </w:tr>
    </w:tbl>
    <w:p>
      <w:pPr>
        <w:spacing w:line="360" w:lineRule="auto"/>
        <w:ind w:left="240" w:right="-180" w:rightChars="-75" w:firstLine="480" w:firstLineChars="200"/>
        <w:rPr>
          <w:color w:val="auto"/>
          <w:szCs w:val="24"/>
          <w:highlight w:val="none"/>
        </w:rPr>
      </w:pPr>
      <w:r>
        <w:rPr>
          <w:rFonts w:hint="eastAsia"/>
          <w:color w:val="auto"/>
          <w:szCs w:val="24"/>
          <w:highlight w:val="none"/>
        </w:rPr>
        <w:t>6.要求盖板厚度与托盘、梯架厚度一致。</w:t>
      </w:r>
    </w:p>
    <w:p>
      <w:pPr>
        <w:spacing w:line="360" w:lineRule="auto"/>
        <w:ind w:left="240" w:right="-180" w:rightChars="-75" w:firstLine="480" w:firstLineChars="200"/>
        <w:rPr>
          <w:color w:val="auto"/>
          <w:szCs w:val="24"/>
          <w:highlight w:val="none"/>
        </w:rPr>
      </w:pPr>
      <w:r>
        <w:rPr>
          <w:rFonts w:hint="eastAsia"/>
          <w:color w:val="auto"/>
          <w:szCs w:val="24"/>
          <w:highlight w:val="none"/>
        </w:rPr>
        <w:t>7.连接板的厚度要求选厚一个等级。</w:t>
      </w:r>
    </w:p>
    <w:p>
      <w:pPr>
        <w:spacing w:line="360" w:lineRule="auto"/>
        <w:ind w:left="240" w:right="-180" w:rightChars="-75" w:firstLine="480" w:firstLineChars="200"/>
        <w:rPr>
          <w:color w:val="auto"/>
          <w:szCs w:val="24"/>
          <w:highlight w:val="none"/>
        </w:rPr>
      </w:pPr>
      <w:r>
        <w:rPr>
          <w:rFonts w:hint="eastAsia"/>
          <w:color w:val="auto"/>
          <w:szCs w:val="24"/>
          <w:highlight w:val="none"/>
        </w:rPr>
        <w:t>8.要求500以上的大桥架，内部做加强横担，用铆钉固定，以增强承载力。</w:t>
      </w:r>
    </w:p>
    <w:p>
      <w:pPr>
        <w:spacing w:line="360" w:lineRule="auto"/>
        <w:ind w:left="240" w:right="-180" w:rightChars="-75" w:firstLine="480" w:firstLineChars="200"/>
        <w:rPr>
          <w:color w:val="auto"/>
          <w:szCs w:val="24"/>
          <w:highlight w:val="none"/>
        </w:rPr>
      </w:pPr>
      <w:r>
        <w:rPr>
          <w:rFonts w:hint="eastAsia"/>
          <w:color w:val="auto"/>
          <w:szCs w:val="24"/>
          <w:highlight w:val="none"/>
        </w:rPr>
        <w:t>9.要求桥架的承载力满足桥架内线缆填充率100%的要求，但按照设计完成后的桥架填充率不得超过以下数据：电力电缆不应大于40％；控制电缆不应大于50％。弱电线槽不应大于50％；电缆桥架须符合镀锌冷扎钢板制作。电缆桥架两条边框至少必须为40毫米高，其顶缘须卷边以增加强度。梯级的中心间隔约为300毫米，并具有一定宽度以用不同方法固定电缆包括尼龙带扣，鞍型夹，冲孔带，电缆夹等固定夹。</w:t>
      </w:r>
    </w:p>
    <w:p>
      <w:pPr>
        <w:spacing w:line="360" w:lineRule="auto"/>
        <w:ind w:left="240" w:right="-180" w:rightChars="-75" w:firstLine="480" w:firstLineChars="200"/>
        <w:rPr>
          <w:color w:val="auto"/>
          <w:szCs w:val="24"/>
          <w:highlight w:val="none"/>
        </w:rPr>
      </w:pPr>
      <w:r>
        <w:rPr>
          <w:rFonts w:hint="eastAsia"/>
          <w:color w:val="auto"/>
          <w:szCs w:val="24"/>
          <w:highlight w:val="none"/>
        </w:rPr>
        <w:t>10.在水平弯曲，垂直方向弯曲，分支各电缆桥架缩小宽度时，宜使用制造厂标准直角弯节，分支接头，偏心缩节，特别是在主干桥架、配电房、三通、四通、垂直弯头、异形弯头等部位。为适应电缆桥架之涨缩必须使用制造厂标准伸缩接合板。</w:t>
      </w:r>
    </w:p>
    <w:p>
      <w:pPr>
        <w:spacing w:line="360" w:lineRule="auto"/>
        <w:ind w:left="240" w:right="-180" w:rightChars="-75" w:firstLine="480" w:firstLineChars="200"/>
        <w:rPr>
          <w:color w:val="auto"/>
          <w:szCs w:val="24"/>
          <w:highlight w:val="none"/>
        </w:rPr>
      </w:pPr>
      <w:r>
        <w:rPr>
          <w:rFonts w:hint="eastAsia"/>
          <w:color w:val="auto"/>
          <w:szCs w:val="24"/>
          <w:highlight w:val="none"/>
        </w:rPr>
        <w:t>11.所有夹紧螺栓、螺帽、垫片等均须镀锌。</w:t>
      </w:r>
    </w:p>
    <w:p>
      <w:pPr>
        <w:spacing w:line="360" w:lineRule="auto"/>
        <w:ind w:left="240" w:right="-180" w:rightChars="-75" w:firstLine="480" w:firstLineChars="200"/>
        <w:rPr>
          <w:color w:val="auto"/>
          <w:szCs w:val="24"/>
          <w:highlight w:val="none"/>
        </w:rPr>
      </w:pPr>
      <w:r>
        <w:rPr>
          <w:rFonts w:hint="eastAsia"/>
          <w:color w:val="auto"/>
          <w:szCs w:val="24"/>
          <w:highlight w:val="none"/>
        </w:rPr>
        <w:t>12.所有电缆桥架必须就工地现场尺寸量准，在制造厂生产，切割及镀锌加工，方可运送到工地现场安装。</w:t>
      </w:r>
    </w:p>
    <w:p>
      <w:pPr>
        <w:spacing w:line="360" w:lineRule="auto"/>
        <w:ind w:left="240" w:right="-180" w:rightChars="-75" w:firstLine="480" w:firstLineChars="200"/>
        <w:rPr>
          <w:color w:val="auto"/>
          <w:szCs w:val="24"/>
          <w:highlight w:val="none"/>
        </w:rPr>
      </w:pPr>
      <w:r>
        <w:rPr>
          <w:rFonts w:hint="eastAsia"/>
          <w:color w:val="auto"/>
          <w:szCs w:val="24"/>
          <w:highlight w:val="none"/>
        </w:rPr>
        <w:t>13.除上述要求外，整个电缆桥架系统须有电气上的连续性。</w:t>
      </w:r>
    </w:p>
    <w:p>
      <w:pPr>
        <w:spacing w:line="360" w:lineRule="auto"/>
        <w:ind w:left="240" w:right="-180" w:rightChars="-75" w:firstLine="480" w:firstLineChars="200"/>
        <w:rPr>
          <w:color w:val="auto"/>
          <w:szCs w:val="24"/>
          <w:highlight w:val="none"/>
        </w:rPr>
      </w:pPr>
      <w:r>
        <w:rPr>
          <w:rFonts w:hint="eastAsia"/>
          <w:color w:val="auto"/>
          <w:szCs w:val="24"/>
          <w:highlight w:val="none"/>
        </w:rPr>
        <w:t>14.防护等级：无孔桥架（槽式）户内不低于IP30，户外不低于IP33；耐火桥架户内不低于IP40 户外不低于IP44。</w:t>
      </w:r>
    </w:p>
    <w:p>
      <w:pPr>
        <w:pStyle w:val="8"/>
        <w:ind w:left="1134" w:right="-180" w:rightChars="-75" w:hanging="708"/>
        <w:rPr>
          <w:highlight w:val="none"/>
        </w:rPr>
      </w:pPr>
      <w:r>
        <w:rPr>
          <w:highlight w:val="none"/>
        </w:rPr>
        <w:t>8</w:t>
      </w:r>
      <w:r>
        <w:rPr>
          <w:rFonts w:hint="eastAsia"/>
          <w:highlight w:val="none"/>
        </w:rPr>
        <w:t>）.</w:t>
      </w:r>
      <w:r>
        <w:rPr>
          <w:rFonts w:hint="eastAsia"/>
          <w:highlight w:val="none"/>
        </w:rPr>
        <w:tab/>
      </w:r>
      <w:r>
        <w:rPr>
          <w:rFonts w:hint="eastAsia"/>
          <w:highlight w:val="none"/>
        </w:rPr>
        <w:t>PDU与插座</w:t>
      </w:r>
    </w:p>
    <w:p>
      <w:pPr>
        <w:spacing w:line="360" w:lineRule="auto"/>
        <w:ind w:left="240" w:leftChars="100" w:right="-180" w:rightChars="-75" w:firstLine="480" w:firstLineChars="200"/>
        <w:rPr>
          <w:color w:val="auto"/>
          <w:szCs w:val="24"/>
          <w:highlight w:val="none"/>
        </w:rPr>
      </w:pPr>
      <w:r>
        <w:rPr>
          <w:rFonts w:hint="eastAsia"/>
          <w:color w:val="auto"/>
          <w:szCs w:val="24"/>
          <w:highlight w:val="none"/>
        </w:rPr>
        <w:t>机柜供电：从电源列头柜至机柜采用电源线直接接入机柜PDU的方式。</w:t>
      </w:r>
    </w:p>
    <w:p>
      <w:pPr>
        <w:pStyle w:val="30"/>
        <w:numPr>
          <w:ilvl w:val="3"/>
          <w:numId w:val="70"/>
        </w:numPr>
        <w:spacing w:line="360" w:lineRule="auto"/>
        <w:ind w:left="240" w:leftChars="100" w:right="-180" w:rightChars="-75" w:firstLine="482"/>
        <w:rPr>
          <w:color w:val="auto"/>
          <w:szCs w:val="24"/>
          <w:highlight w:val="none"/>
        </w:rPr>
      </w:pPr>
      <w:r>
        <w:rPr>
          <w:b/>
          <w:bCs/>
          <w:color w:val="auto"/>
          <w:szCs w:val="24"/>
          <w:highlight w:val="none"/>
        </w:rPr>
        <w:t>PDU</w:t>
      </w:r>
      <w:r>
        <w:rPr>
          <w:rFonts w:hint="eastAsia"/>
          <w:b/>
          <w:bCs/>
          <w:color w:val="auto"/>
          <w:szCs w:val="24"/>
          <w:highlight w:val="none"/>
        </w:rPr>
        <w:t>插座采用18位1</w:t>
      </w:r>
      <w:r>
        <w:rPr>
          <w:b/>
          <w:bCs/>
          <w:color w:val="auto"/>
          <w:szCs w:val="24"/>
          <w:highlight w:val="none"/>
        </w:rPr>
        <w:t>0A+6</w:t>
      </w:r>
      <w:r>
        <w:rPr>
          <w:rFonts w:hint="eastAsia"/>
          <w:b/>
          <w:bCs/>
          <w:color w:val="auto"/>
          <w:szCs w:val="24"/>
          <w:highlight w:val="none"/>
        </w:rPr>
        <w:t>位1</w:t>
      </w:r>
      <w:r>
        <w:rPr>
          <w:b/>
          <w:bCs/>
          <w:color w:val="auto"/>
          <w:szCs w:val="24"/>
          <w:highlight w:val="none"/>
        </w:rPr>
        <w:t>6A</w:t>
      </w:r>
      <w:r>
        <w:rPr>
          <w:rFonts w:hint="eastAsia"/>
          <w:b/>
          <w:bCs/>
          <w:color w:val="auto"/>
          <w:szCs w:val="24"/>
          <w:highlight w:val="none"/>
        </w:rPr>
        <w:t>接口，接口型号满足甲方实际需求，</w:t>
      </w:r>
      <w:r>
        <w:rPr>
          <w:rFonts w:hint="eastAsia"/>
          <w:color w:val="auto"/>
          <w:szCs w:val="24"/>
          <w:highlight w:val="none"/>
        </w:rPr>
        <w:t>PDU外壳及输出模块颜色可满足不同需求；外壳可选用符合工控使用要求的专业级优质型材或钢板，高强度，坚固耐用，抗压性能，装配性能，耐腐蚀性能和装饰性能良好，表面喷涂效果好，工艺先进，质量优异、外观美观且绝缘防护性强。</w:t>
      </w:r>
    </w:p>
    <w:p>
      <w:pPr>
        <w:pStyle w:val="30"/>
        <w:numPr>
          <w:ilvl w:val="3"/>
          <w:numId w:val="70"/>
        </w:numPr>
        <w:spacing w:line="360" w:lineRule="auto"/>
        <w:ind w:left="240" w:leftChars="100" w:right="-180" w:rightChars="-75" w:firstLine="482"/>
        <w:rPr>
          <w:color w:val="auto"/>
          <w:szCs w:val="24"/>
          <w:highlight w:val="none"/>
        </w:rPr>
      </w:pPr>
      <w:r>
        <w:rPr>
          <w:b/>
          <w:color w:val="auto"/>
          <w:szCs w:val="24"/>
          <w:highlight w:val="none"/>
        </w:rPr>
        <w:t>冷通道</w:t>
      </w:r>
      <w:r>
        <w:rPr>
          <w:rFonts w:hint="eastAsia"/>
          <w:b/>
          <w:color w:val="auto"/>
          <w:szCs w:val="24"/>
          <w:highlight w:val="none"/>
        </w:rPr>
        <w:t>中1</w:t>
      </w:r>
      <w:r>
        <w:rPr>
          <w:b/>
          <w:color w:val="auto"/>
          <w:szCs w:val="24"/>
          <w:highlight w:val="none"/>
        </w:rPr>
        <w:t>2KW</w:t>
      </w:r>
      <w:r>
        <w:rPr>
          <w:rFonts w:hint="eastAsia"/>
          <w:b/>
          <w:color w:val="auto"/>
          <w:szCs w:val="24"/>
          <w:highlight w:val="none"/>
        </w:rPr>
        <w:t>机柜内</w:t>
      </w:r>
      <w:r>
        <w:rPr>
          <w:b/>
          <w:color w:val="auto"/>
          <w:szCs w:val="24"/>
          <w:highlight w:val="none"/>
        </w:rPr>
        <w:t>预留航空插座</w:t>
      </w:r>
      <w:r>
        <w:rPr>
          <w:rFonts w:hint="eastAsia"/>
          <w:b/>
          <w:color w:val="auto"/>
          <w:szCs w:val="24"/>
          <w:highlight w:val="none"/>
        </w:rPr>
        <w:t>（网络和</w:t>
      </w:r>
      <w:r>
        <w:rPr>
          <w:b/>
          <w:color w:val="auto"/>
          <w:szCs w:val="24"/>
          <w:highlight w:val="none"/>
        </w:rPr>
        <w:t>DMZ</w:t>
      </w:r>
      <w:r>
        <w:rPr>
          <w:rFonts w:hint="eastAsia"/>
          <w:b/>
          <w:color w:val="auto"/>
          <w:szCs w:val="24"/>
          <w:highlight w:val="none"/>
        </w:rPr>
        <w:t>区除外）</w:t>
      </w:r>
      <w:r>
        <w:rPr>
          <w:rFonts w:hint="eastAsia"/>
          <w:color w:val="auto"/>
          <w:szCs w:val="24"/>
          <w:highlight w:val="none"/>
        </w:rPr>
        <w:t>。</w:t>
      </w:r>
    </w:p>
    <w:p>
      <w:pPr>
        <w:spacing w:line="360" w:lineRule="auto"/>
        <w:ind w:left="240" w:leftChars="100" w:right="-180" w:rightChars="-75" w:firstLine="480" w:firstLineChars="200"/>
        <w:rPr>
          <w:color w:val="auto"/>
          <w:szCs w:val="24"/>
          <w:highlight w:val="none"/>
        </w:rPr>
      </w:pPr>
      <w:r>
        <w:rPr>
          <w:rFonts w:hint="eastAsia"/>
          <w:color w:val="auto"/>
          <w:szCs w:val="24"/>
          <w:highlight w:val="none"/>
        </w:rPr>
        <w:t>在符合电器连接规范、工艺要求及使用要求的前提下，外观尺寸尽量最小化；长度：根据实际厂家设计尺寸，不影响设备电源布线及上下架。</w:t>
      </w:r>
    </w:p>
    <w:p>
      <w:pPr>
        <w:pStyle w:val="5"/>
        <w:numPr>
          <w:ilvl w:val="0"/>
          <w:numId w:val="58"/>
        </w:numPr>
        <w:ind w:left="1134" w:right="-180" w:rightChars="-75" w:hanging="708"/>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暖通系统</w:t>
      </w:r>
    </w:p>
    <w:p>
      <w:pPr>
        <w:pStyle w:val="6"/>
        <w:ind w:left="1134" w:right="-180" w:rightChars="-75" w:hanging="708"/>
        <w:rPr>
          <w:color w:val="auto"/>
          <w:sz w:val="24"/>
          <w:szCs w:val="24"/>
          <w:highlight w:val="none"/>
        </w:rPr>
      </w:pPr>
      <w:r>
        <w:rPr>
          <w:rFonts w:hint="eastAsia"/>
          <w:color w:val="auto"/>
          <w:sz w:val="24"/>
          <w:szCs w:val="24"/>
          <w:highlight w:val="none"/>
        </w:rPr>
        <w:t>1、室内设计参数</w:t>
      </w:r>
    </w:p>
    <w:tbl>
      <w:tblPr>
        <w:tblStyle w:val="18"/>
        <w:tblW w:w="819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93"/>
        <w:gridCol w:w="3144"/>
        <w:gridCol w:w="335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93" w:type="dxa"/>
            <w:vAlign w:val="center"/>
          </w:tcPr>
          <w:p>
            <w:pPr>
              <w:pStyle w:val="52"/>
              <w:ind w:left="1134" w:right="-180" w:rightChars="-75" w:hanging="708"/>
              <w:jc w:val="center"/>
              <w:rPr>
                <w:rFonts w:ascii="宋体" w:cs="宋体"/>
                <w:sz w:val="24"/>
                <w:szCs w:val="24"/>
                <w:highlight w:val="none"/>
              </w:rPr>
            </w:pPr>
            <w:r>
              <w:rPr>
                <w:rFonts w:hint="eastAsia" w:ascii="宋体" w:cs="宋体"/>
                <w:sz w:val="24"/>
                <w:szCs w:val="24"/>
                <w:highlight w:val="none"/>
              </w:rPr>
              <w:t>区域</w:t>
            </w:r>
          </w:p>
        </w:tc>
        <w:tc>
          <w:tcPr>
            <w:tcW w:w="3144" w:type="dxa"/>
            <w:vAlign w:val="center"/>
          </w:tcPr>
          <w:p>
            <w:pPr>
              <w:pStyle w:val="52"/>
              <w:ind w:left="1134" w:right="-180" w:rightChars="-75" w:hanging="708"/>
              <w:jc w:val="center"/>
              <w:rPr>
                <w:rFonts w:ascii="宋体" w:cs="宋体"/>
                <w:sz w:val="24"/>
                <w:szCs w:val="24"/>
                <w:highlight w:val="none"/>
              </w:rPr>
            </w:pPr>
            <w:r>
              <w:rPr>
                <w:rFonts w:hint="eastAsia" w:ascii="宋体" w:cs="宋体"/>
                <w:sz w:val="24"/>
                <w:szCs w:val="24"/>
                <w:highlight w:val="none"/>
              </w:rPr>
              <w:t>指标</w:t>
            </w:r>
          </w:p>
        </w:tc>
        <w:tc>
          <w:tcPr>
            <w:tcW w:w="3353" w:type="dxa"/>
            <w:vAlign w:val="center"/>
          </w:tcPr>
          <w:p>
            <w:pPr>
              <w:pStyle w:val="52"/>
              <w:ind w:left="1134" w:right="-180" w:rightChars="-75" w:hanging="708"/>
              <w:jc w:val="center"/>
              <w:rPr>
                <w:rFonts w:ascii="宋体" w:cs="宋体"/>
                <w:sz w:val="24"/>
                <w:szCs w:val="24"/>
                <w:highlight w:val="none"/>
              </w:rPr>
            </w:pPr>
            <w:r>
              <w:rPr>
                <w:rFonts w:hint="eastAsia" w:ascii="宋体" w:cs="宋体"/>
                <w:sz w:val="24"/>
                <w:szCs w:val="24"/>
                <w:highlight w:val="none"/>
              </w:rPr>
              <w:t>开机时标准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93" w:type="dxa"/>
            <w:vMerge w:val="restart"/>
            <w:vAlign w:val="center"/>
          </w:tcPr>
          <w:p>
            <w:pPr>
              <w:pStyle w:val="52"/>
              <w:ind w:left="1134" w:right="-180" w:rightChars="-75" w:hanging="708"/>
              <w:jc w:val="center"/>
              <w:rPr>
                <w:rFonts w:ascii="宋体" w:cs="宋体"/>
                <w:sz w:val="24"/>
                <w:szCs w:val="24"/>
                <w:highlight w:val="none"/>
              </w:rPr>
            </w:pPr>
            <w:r>
              <w:rPr>
                <w:rFonts w:hint="eastAsia" w:ascii="宋体" w:cs="宋体"/>
                <w:sz w:val="24"/>
                <w:szCs w:val="24"/>
                <w:highlight w:val="none"/>
              </w:rPr>
              <w:t>机房</w:t>
            </w:r>
          </w:p>
        </w:tc>
        <w:tc>
          <w:tcPr>
            <w:tcW w:w="3144" w:type="dxa"/>
            <w:vAlign w:val="center"/>
          </w:tcPr>
          <w:p>
            <w:pPr>
              <w:pStyle w:val="52"/>
              <w:ind w:left="1134" w:right="-180" w:rightChars="-75" w:hanging="708"/>
              <w:jc w:val="center"/>
              <w:rPr>
                <w:rFonts w:ascii="宋体" w:cs="宋体"/>
                <w:sz w:val="24"/>
                <w:szCs w:val="24"/>
                <w:highlight w:val="none"/>
              </w:rPr>
            </w:pPr>
            <w:r>
              <w:rPr>
                <w:rFonts w:hint="eastAsia" w:ascii="宋体" w:cs="宋体"/>
                <w:sz w:val="24"/>
                <w:szCs w:val="24"/>
                <w:highlight w:val="none"/>
              </w:rPr>
              <w:t>温度</w:t>
            </w:r>
          </w:p>
        </w:tc>
        <w:tc>
          <w:tcPr>
            <w:tcW w:w="3353" w:type="dxa"/>
            <w:vAlign w:val="center"/>
          </w:tcPr>
          <w:p>
            <w:pPr>
              <w:pStyle w:val="52"/>
              <w:ind w:left="1134" w:right="-180" w:rightChars="-75" w:hanging="708"/>
              <w:jc w:val="center"/>
              <w:rPr>
                <w:rFonts w:ascii="宋体" w:cs="宋体"/>
                <w:sz w:val="24"/>
                <w:szCs w:val="24"/>
                <w:highlight w:val="none"/>
              </w:rPr>
            </w:pPr>
            <w:r>
              <w:rPr>
                <w:rFonts w:hint="eastAsia" w:ascii="宋体" w:cs="宋体"/>
                <w:sz w:val="24"/>
                <w:szCs w:val="24"/>
                <w:highlight w:val="none"/>
              </w:rPr>
              <w:t>23±1</w:t>
            </w:r>
            <w:r>
              <w:rPr>
                <w:rFonts w:hint="eastAsia" w:ascii="宋体" w:cs="宋体"/>
                <w:sz w:val="24"/>
                <w:szCs w:val="24"/>
                <w:highlight w:val="none"/>
              </w:rPr>
              <w:sym w:font="Symbol" w:char="F0B0"/>
            </w:r>
            <w:r>
              <w:rPr>
                <w:rFonts w:hint="eastAsia" w:ascii="宋体" w:cs="宋体"/>
                <w:sz w:val="24"/>
                <w:szCs w:val="24"/>
                <w:highlight w:val="none"/>
              </w:rPr>
              <w:t>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93" w:type="dxa"/>
            <w:vMerge w:val="continue"/>
            <w:vAlign w:val="center"/>
          </w:tcPr>
          <w:p>
            <w:pPr>
              <w:pStyle w:val="52"/>
              <w:ind w:left="1134" w:right="-180" w:rightChars="-75" w:hanging="708"/>
              <w:jc w:val="center"/>
              <w:rPr>
                <w:rFonts w:ascii="宋体" w:cs="宋体"/>
                <w:sz w:val="24"/>
                <w:szCs w:val="24"/>
                <w:highlight w:val="none"/>
              </w:rPr>
            </w:pPr>
          </w:p>
        </w:tc>
        <w:tc>
          <w:tcPr>
            <w:tcW w:w="3144" w:type="dxa"/>
            <w:vAlign w:val="center"/>
          </w:tcPr>
          <w:p>
            <w:pPr>
              <w:pStyle w:val="52"/>
              <w:ind w:left="1134" w:right="-180" w:rightChars="-75" w:hanging="708"/>
              <w:jc w:val="center"/>
              <w:rPr>
                <w:rFonts w:ascii="宋体" w:cs="宋体"/>
                <w:sz w:val="24"/>
                <w:szCs w:val="24"/>
                <w:highlight w:val="none"/>
              </w:rPr>
            </w:pPr>
            <w:r>
              <w:rPr>
                <w:rFonts w:hint="eastAsia" w:ascii="宋体" w:cs="宋体"/>
                <w:sz w:val="24"/>
                <w:szCs w:val="24"/>
                <w:highlight w:val="none"/>
              </w:rPr>
              <w:t>相对湿度</w:t>
            </w:r>
          </w:p>
        </w:tc>
        <w:tc>
          <w:tcPr>
            <w:tcW w:w="3353" w:type="dxa"/>
            <w:vAlign w:val="center"/>
          </w:tcPr>
          <w:p>
            <w:pPr>
              <w:pStyle w:val="52"/>
              <w:ind w:left="1134" w:right="-180" w:rightChars="-75" w:hanging="708"/>
              <w:jc w:val="center"/>
              <w:rPr>
                <w:rFonts w:ascii="宋体" w:cs="宋体"/>
                <w:sz w:val="24"/>
                <w:szCs w:val="24"/>
                <w:highlight w:val="none"/>
              </w:rPr>
            </w:pPr>
            <w:r>
              <w:rPr>
                <w:rFonts w:hint="eastAsia" w:ascii="宋体" w:cs="宋体"/>
                <w:sz w:val="24"/>
                <w:szCs w:val="24"/>
                <w:highlight w:val="none"/>
              </w:rPr>
              <w:t>40－55%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93" w:type="dxa"/>
            <w:vMerge w:val="continue"/>
            <w:vAlign w:val="center"/>
          </w:tcPr>
          <w:p>
            <w:pPr>
              <w:pStyle w:val="52"/>
              <w:ind w:left="1134" w:right="-180" w:rightChars="-75" w:hanging="708"/>
              <w:jc w:val="center"/>
              <w:rPr>
                <w:rFonts w:ascii="宋体" w:cs="宋体"/>
                <w:sz w:val="24"/>
                <w:szCs w:val="24"/>
                <w:highlight w:val="none"/>
              </w:rPr>
            </w:pPr>
          </w:p>
        </w:tc>
        <w:tc>
          <w:tcPr>
            <w:tcW w:w="3144" w:type="dxa"/>
            <w:vAlign w:val="center"/>
          </w:tcPr>
          <w:p>
            <w:pPr>
              <w:pStyle w:val="52"/>
              <w:ind w:left="1134" w:right="-180" w:rightChars="-75" w:hanging="708"/>
              <w:jc w:val="center"/>
              <w:rPr>
                <w:rFonts w:ascii="宋体" w:cs="宋体"/>
                <w:sz w:val="24"/>
                <w:szCs w:val="24"/>
                <w:highlight w:val="none"/>
              </w:rPr>
            </w:pPr>
            <w:r>
              <w:rPr>
                <w:rFonts w:hint="eastAsia" w:ascii="宋体" w:cs="宋体"/>
                <w:sz w:val="24"/>
                <w:szCs w:val="24"/>
                <w:highlight w:val="none"/>
              </w:rPr>
              <w:t>温度变化率</w:t>
            </w:r>
          </w:p>
        </w:tc>
        <w:tc>
          <w:tcPr>
            <w:tcW w:w="3353" w:type="dxa"/>
            <w:vAlign w:val="center"/>
          </w:tcPr>
          <w:p>
            <w:pPr>
              <w:pStyle w:val="52"/>
              <w:ind w:left="1134" w:right="-180" w:rightChars="-75" w:hanging="708"/>
              <w:jc w:val="center"/>
              <w:rPr>
                <w:rFonts w:ascii="宋体" w:cs="宋体"/>
                <w:sz w:val="24"/>
                <w:szCs w:val="24"/>
                <w:highlight w:val="none"/>
              </w:rPr>
            </w:pPr>
            <w:r>
              <w:rPr>
                <w:rFonts w:hint="eastAsia" w:ascii="宋体" w:cs="宋体"/>
                <w:sz w:val="24"/>
                <w:szCs w:val="24"/>
                <w:highlight w:val="none"/>
              </w:rPr>
              <w:t>&lt;5</w:t>
            </w:r>
            <w:r>
              <w:rPr>
                <w:rFonts w:hint="eastAsia" w:ascii="宋体" w:cs="宋体"/>
                <w:sz w:val="24"/>
                <w:szCs w:val="24"/>
                <w:highlight w:val="none"/>
              </w:rPr>
              <w:sym w:font="Symbol" w:char="F0B0"/>
            </w:r>
            <w:r>
              <w:rPr>
                <w:rFonts w:hint="eastAsia" w:ascii="宋体" w:cs="宋体"/>
                <w:sz w:val="24"/>
                <w:szCs w:val="24"/>
                <w:highlight w:val="none"/>
              </w:rPr>
              <w:t>C/h，不结露</w:t>
            </w:r>
          </w:p>
        </w:tc>
      </w:tr>
    </w:tbl>
    <w:p>
      <w:pPr>
        <w:pStyle w:val="6"/>
        <w:ind w:left="1134" w:right="-180" w:rightChars="-75" w:hanging="708"/>
        <w:rPr>
          <w:color w:val="auto"/>
          <w:sz w:val="24"/>
          <w:szCs w:val="24"/>
          <w:highlight w:val="none"/>
        </w:rPr>
      </w:pPr>
      <w:r>
        <w:rPr>
          <w:rFonts w:hint="eastAsia"/>
          <w:color w:val="auto"/>
          <w:sz w:val="24"/>
          <w:szCs w:val="24"/>
          <w:highlight w:val="none"/>
        </w:rPr>
        <w:t>2、机房温度、露点温度基本要求</w:t>
      </w:r>
    </w:p>
    <w:tbl>
      <w:tblPr>
        <w:tblStyle w:val="18"/>
        <w:tblW w:w="9018"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0" w:type="dxa"/>
          <w:bottom w:w="0" w:type="dxa"/>
          <w:right w:w="0" w:type="dxa"/>
        </w:tblCellMar>
      </w:tblPr>
      <w:tblGrid>
        <w:gridCol w:w="4583"/>
        <w:gridCol w:w="762"/>
        <w:gridCol w:w="950"/>
        <w:gridCol w:w="1400"/>
        <w:gridCol w:w="1323"/>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477" w:hRule="atLeast"/>
          <w:jc w:val="center"/>
        </w:trPr>
        <w:tc>
          <w:tcPr>
            <w:tcW w:w="4583" w:type="dxa"/>
            <w:vAlign w:val="center"/>
          </w:tcPr>
          <w:p>
            <w:pPr>
              <w:ind w:left="1134" w:right="-180" w:rightChars="-75" w:hanging="708"/>
              <w:jc w:val="center"/>
              <w:rPr>
                <w:color w:val="auto"/>
                <w:szCs w:val="24"/>
                <w:highlight w:val="none"/>
              </w:rPr>
            </w:pPr>
            <w:r>
              <w:rPr>
                <w:rFonts w:hint="eastAsia"/>
                <w:color w:val="auto"/>
                <w:szCs w:val="24"/>
                <w:highlight w:val="none"/>
              </w:rPr>
              <w:t>环境</w:t>
            </w:r>
          </w:p>
        </w:tc>
        <w:tc>
          <w:tcPr>
            <w:tcW w:w="762" w:type="dxa"/>
            <w:vAlign w:val="center"/>
          </w:tcPr>
          <w:p>
            <w:pPr>
              <w:ind w:left="1134" w:right="-180" w:rightChars="-75" w:hanging="1134"/>
              <w:jc w:val="center"/>
              <w:rPr>
                <w:color w:val="auto"/>
                <w:szCs w:val="24"/>
                <w:highlight w:val="none"/>
              </w:rPr>
            </w:pPr>
            <w:r>
              <w:rPr>
                <w:rFonts w:hint="eastAsia"/>
                <w:color w:val="auto"/>
                <w:szCs w:val="24"/>
                <w:highlight w:val="none"/>
              </w:rPr>
              <w:t>Ⅰ级</w:t>
            </w:r>
          </w:p>
        </w:tc>
        <w:tc>
          <w:tcPr>
            <w:tcW w:w="950" w:type="dxa"/>
            <w:vAlign w:val="center"/>
          </w:tcPr>
          <w:p>
            <w:pPr>
              <w:ind w:left="720" w:right="-180" w:rightChars="-75" w:hanging="720"/>
              <w:jc w:val="center"/>
              <w:rPr>
                <w:color w:val="auto"/>
                <w:szCs w:val="24"/>
                <w:highlight w:val="none"/>
              </w:rPr>
            </w:pPr>
            <w:r>
              <w:rPr>
                <w:rFonts w:hint="eastAsia"/>
                <w:color w:val="auto"/>
                <w:szCs w:val="24"/>
                <w:highlight w:val="none"/>
              </w:rPr>
              <w:t>Ⅱ级</w:t>
            </w:r>
          </w:p>
        </w:tc>
        <w:tc>
          <w:tcPr>
            <w:tcW w:w="1400" w:type="dxa"/>
            <w:vAlign w:val="center"/>
          </w:tcPr>
          <w:p>
            <w:pPr>
              <w:ind w:left="1134" w:right="-180" w:rightChars="-75" w:hanging="1134"/>
              <w:jc w:val="center"/>
              <w:rPr>
                <w:color w:val="auto"/>
                <w:szCs w:val="24"/>
                <w:highlight w:val="none"/>
              </w:rPr>
            </w:pPr>
            <w:r>
              <w:rPr>
                <w:rFonts w:hint="eastAsia"/>
                <w:color w:val="auto"/>
                <w:szCs w:val="24"/>
                <w:highlight w:val="none"/>
              </w:rPr>
              <w:t>Ⅲ级</w:t>
            </w:r>
          </w:p>
        </w:tc>
        <w:tc>
          <w:tcPr>
            <w:tcW w:w="1323" w:type="dxa"/>
            <w:vAlign w:val="center"/>
          </w:tcPr>
          <w:p>
            <w:pPr>
              <w:snapToGrid w:val="0"/>
              <w:spacing w:line="400" w:lineRule="exact"/>
              <w:ind w:left="1134" w:right="-180" w:rightChars="-75" w:hanging="1134"/>
              <w:jc w:val="center"/>
              <w:rPr>
                <w:color w:val="auto"/>
                <w:szCs w:val="24"/>
                <w:highlight w:val="none"/>
              </w:rPr>
            </w:pPr>
            <w:r>
              <w:rPr>
                <w:rFonts w:hint="eastAsia"/>
                <w:color w:val="auto"/>
                <w:szCs w:val="24"/>
                <w:highlight w:val="none"/>
              </w:rPr>
              <w:t>Ⅳ级</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477" w:hRule="atLeast"/>
          <w:jc w:val="center"/>
        </w:trPr>
        <w:tc>
          <w:tcPr>
            <w:tcW w:w="4583" w:type="dxa"/>
            <w:vAlign w:val="center"/>
          </w:tcPr>
          <w:p>
            <w:pPr>
              <w:ind w:left="0" w:right="-180" w:rightChars="-75" w:firstLine="66"/>
              <w:jc w:val="center"/>
              <w:rPr>
                <w:color w:val="auto"/>
                <w:szCs w:val="24"/>
                <w:highlight w:val="none"/>
              </w:rPr>
            </w:pPr>
            <w:r>
              <w:rPr>
                <w:rFonts w:hint="eastAsia"/>
                <w:color w:val="auto"/>
                <w:szCs w:val="24"/>
                <w:highlight w:val="none"/>
              </w:rPr>
              <w:t>冷通道或机柜进风区域的温度</w:t>
            </w:r>
          </w:p>
        </w:tc>
        <w:tc>
          <w:tcPr>
            <w:tcW w:w="4435" w:type="dxa"/>
            <w:gridSpan w:val="4"/>
            <w:vAlign w:val="center"/>
          </w:tcPr>
          <w:p>
            <w:pPr>
              <w:ind w:left="254" w:right="-180" w:rightChars="-75" w:hanging="254"/>
              <w:jc w:val="center"/>
              <w:rPr>
                <w:color w:val="auto"/>
                <w:szCs w:val="24"/>
                <w:highlight w:val="none"/>
              </w:rPr>
            </w:pPr>
            <w:r>
              <w:rPr>
                <w:rFonts w:hint="eastAsia"/>
                <w:color w:val="auto"/>
                <w:szCs w:val="24"/>
                <w:highlight w:val="none"/>
              </w:rPr>
              <w:t>18°C～27°C</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477" w:hRule="atLeast"/>
          <w:jc w:val="center"/>
        </w:trPr>
        <w:tc>
          <w:tcPr>
            <w:tcW w:w="4583" w:type="dxa"/>
            <w:vAlign w:val="center"/>
          </w:tcPr>
          <w:p>
            <w:pPr>
              <w:ind w:left="0" w:right="3" w:firstLine="0"/>
              <w:jc w:val="center"/>
              <w:rPr>
                <w:color w:val="auto"/>
                <w:szCs w:val="24"/>
                <w:highlight w:val="none"/>
              </w:rPr>
            </w:pPr>
            <w:r>
              <w:rPr>
                <w:rFonts w:hint="eastAsia"/>
                <w:color w:val="auto"/>
                <w:szCs w:val="24"/>
                <w:highlight w:val="none"/>
              </w:rPr>
              <w:t>冷通道或机柜进风区域的相对湿度和露点温度</w:t>
            </w:r>
          </w:p>
        </w:tc>
        <w:tc>
          <w:tcPr>
            <w:tcW w:w="4435" w:type="dxa"/>
            <w:gridSpan w:val="4"/>
            <w:vAlign w:val="center"/>
          </w:tcPr>
          <w:p>
            <w:pPr>
              <w:ind w:left="254" w:right="230" w:rightChars="96" w:hanging="254"/>
              <w:jc w:val="center"/>
              <w:rPr>
                <w:color w:val="auto"/>
                <w:szCs w:val="24"/>
                <w:highlight w:val="none"/>
              </w:rPr>
            </w:pPr>
            <w:r>
              <w:rPr>
                <w:rFonts w:hint="eastAsia"/>
                <w:color w:val="auto"/>
                <w:szCs w:val="24"/>
                <w:highlight w:val="none"/>
              </w:rPr>
              <w:t>露点温度5.5°C～15°C，同时相对湿度不大于60%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477" w:hRule="atLeast"/>
          <w:jc w:val="center"/>
        </w:trPr>
        <w:tc>
          <w:tcPr>
            <w:tcW w:w="4583" w:type="dxa"/>
            <w:vAlign w:val="center"/>
          </w:tcPr>
          <w:p>
            <w:pPr>
              <w:ind w:left="0" w:right="-180" w:rightChars="-75" w:firstLine="0"/>
              <w:jc w:val="center"/>
              <w:rPr>
                <w:color w:val="auto"/>
                <w:szCs w:val="24"/>
                <w:highlight w:val="none"/>
              </w:rPr>
            </w:pPr>
            <w:r>
              <w:rPr>
                <w:rFonts w:hint="eastAsia"/>
                <w:color w:val="auto"/>
                <w:szCs w:val="24"/>
                <w:highlight w:val="none"/>
              </w:rPr>
              <w:t>主机房环境温度和相对湿度（停机时）</w:t>
            </w:r>
          </w:p>
        </w:tc>
        <w:tc>
          <w:tcPr>
            <w:tcW w:w="4435" w:type="dxa"/>
            <w:gridSpan w:val="4"/>
            <w:vAlign w:val="center"/>
          </w:tcPr>
          <w:p>
            <w:pPr>
              <w:ind w:left="254" w:right="230" w:rightChars="96" w:hanging="254"/>
              <w:jc w:val="center"/>
              <w:rPr>
                <w:color w:val="auto"/>
                <w:szCs w:val="24"/>
                <w:highlight w:val="none"/>
              </w:rPr>
            </w:pPr>
            <w:r>
              <w:rPr>
                <w:rFonts w:hint="eastAsia"/>
                <w:color w:val="auto"/>
                <w:szCs w:val="24"/>
                <w:highlight w:val="none"/>
              </w:rPr>
              <w:t>5°C～45℃，8%~80%，同时露点温度不大于27°C</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477" w:hRule="atLeast"/>
          <w:jc w:val="center"/>
        </w:trPr>
        <w:tc>
          <w:tcPr>
            <w:tcW w:w="4583" w:type="dxa"/>
            <w:vAlign w:val="center"/>
          </w:tcPr>
          <w:p>
            <w:pPr>
              <w:ind w:left="0" w:right="-180" w:rightChars="-75" w:firstLine="66"/>
              <w:jc w:val="center"/>
              <w:rPr>
                <w:color w:val="auto"/>
                <w:szCs w:val="24"/>
                <w:highlight w:val="none"/>
              </w:rPr>
            </w:pPr>
            <w:r>
              <w:rPr>
                <w:rFonts w:hint="eastAsia"/>
                <w:color w:val="auto"/>
                <w:szCs w:val="24"/>
                <w:highlight w:val="none"/>
              </w:rPr>
              <w:t>辅助区温度、相对湿度</w:t>
            </w:r>
          </w:p>
          <w:p>
            <w:pPr>
              <w:ind w:left="0" w:right="-180" w:rightChars="-75" w:firstLine="66"/>
              <w:jc w:val="center"/>
              <w:rPr>
                <w:color w:val="auto"/>
                <w:szCs w:val="24"/>
                <w:highlight w:val="none"/>
              </w:rPr>
            </w:pPr>
            <w:r>
              <w:rPr>
                <w:rFonts w:hint="eastAsia"/>
                <w:color w:val="auto"/>
                <w:szCs w:val="24"/>
                <w:highlight w:val="none"/>
              </w:rPr>
              <w:t>（开机时）</w:t>
            </w:r>
          </w:p>
        </w:tc>
        <w:tc>
          <w:tcPr>
            <w:tcW w:w="4435" w:type="dxa"/>
            <w:gridSpan w:val="4"/>
            <w:vAlign w:val="center"/>
          </w:tcPr>
          <w:p>
            <w:pPr>
              <w:ind w:left="254" w:right="-180" w:rightChars="-75" w:hanging="254"/>
              <w:jc w:val="center"/>
              <w:rPr>
                <w:color w:val="auto"/>
                <w:szCs w:val="24"/>
                <w:highlight w:val="none"/>
              </w:rPr>
            </w:pPr>
            <w:r>
              <w:rPr>
                <w:rFonts w:hint="eastAsia"/>
                <w:color w:val="auto"/>
                <w:szCs w:val="24"/>
                <w:highlight w:val="none"/>
              </w:rPr>
              <w:t>18°C～28°C、35%~75%</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477" w:hRule="atLeast"/>
          <w:jc w:val="center"/>
        </w:trPr>
        <w:tc>
          <w:tcPr>
            <w:tcW w:w="4583" w:type="dxa"/>
            <w:vAlign w:val="center"/>
          </w:tcPr>
          <w:p>
            <w:pPr>
              <w:ind w:left="0" w:right="-180" w:rightChars="-75" w:firstLine="66"/>
              <w:jc w:val="center"/>
              <w:rPr>
                <w:color w:val="auto"/>
                <w:szCs w:val="24"/>
                <w:highlight w:val="none"/>
              </w:rPr>
            </w:pPr>
            <w:r>
              <w:rPr>
                <w:rFonts w:hint="eastAsia"/>
                <w:color w:val="auto"/>
                <w:szCs w:val="24"/>
                <w:highlight w:val="none"/>
              </w:rPr>
              <w:t>辅助区温度、相对湿度</w:t>
            </w:r>
          </w:p>
          <w:p>
            <w:pPr>
              <w:ind w:left="0" w:right="-180" w:rightChars="-75" w:firstLine="66"/>
              <w:jc w:val="center"/>
              <w:rPr>
                <w:color w:val="auto"/>
                <w:szCs w:val="24"/>
                <w:highlight w:val="none"/>
              </w:rPr>
            </w:pPr>
            <w:r>
              <w:rPr>
                <w:rFonts w:hint="eastAsia"/>
                <w:color w:val="auto"/>
                <w:szCs w:val="24"/>
                <w:highlight w:val="none"/>
              </w:rPr>
              <w:t>（停机时）</w:t>
            </w:r>
          </w:p>
        </w:tc>
        <w:tc>
          <w:tcPr>
            <w:tcW w:w="4435" w:type="dxa"/>
            <w:gridSpan w:val="4"/>
            <w:vAlign w:val="center"/>
          </w:tcPr>
          <w:p>
            <w:pPr>
              <w:ind w:left="254" w:right="-180" w:rightChars="-75" w:hanging="254"/>
              <w:jc w:val="center"/>
              <w:rPr>
                <w:color w:val="auto"/>
                <w:szCs w:val="24"/>
                <w:highlight w:val="none"/>
              </w:rPr>
            </w:pPr>
            <w:r>
              <w:rPr>
                <w:rFonts w:hint="eastAsia"/>
                <w:color w:val="auto"/>
                <w:szCs w:val="24"/>
                <w:highlight w:val="none"/>
              </w:rPr>
              <w:t>5°C～35°C、20%~80%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477" w:hRule="atLeast"/>
          <w:jc w:val="center"/>
        </w:trPr>
        <w:tc>
          <w:tcPr>
            <w:tcW w:w="4583" w:type="dxa"/>
            <w:vAlign w:val="center"/>
          </w:tcPr>
          <w:p>
            <w:pPr>
              <w:ind w:left="0" w:right="-180" w:rightChars="-75" w:firstLine="66"/>
              <w:jc w:val="center"/>
              <w:rPr>
                <w:color w:val="auto"/>
                <w:szCs w:val="24"/>
                <w:highlight w:val="none"/>
              </w:rPr>
            </w:pPr>
            <w:r>
              <w:rPr>
                <w:rFonts w:hint="eastAsia"/>
                <w:color w:val="auto"/>
                <w:szCs w:val="24"/>
                <w:highlight w:val="none"/>
              </w:rPr>
              <w:t>主机房和辅助区温度变化率</w:t>
            </w:r>
          </w:p>
        </w:tc>
        <w:tc>
          <w:tcPr>
            <w:tcW w:w="3112" w:type="dxa"/>
            <w:gridSpan w:val="3"/>
            <w:vAlign w:val="center"/>
          </w:tcPr>
          <w:p>
            <w:pPr>
              <w:ind w:left="494" w:right="132" w:rightChars="55" w:hanging="494"/>
              <w:jc w:val="center"/>
              <w:rPr>
                <w:color w:val="auto"/>
                <w:szCs w:val="24"/>
                <w:highlight w:val="none"/>
              </w:rPr>
            </w:pPr>
            <w:r>
              <w:rPr>
                <w:rFonts w:hint="eastAsia"/>
                <w:color w:val="auto"/>
                <w:szCs w:val="24"/>
                <w:highlight w:val="none"/>
              </w:rPr>
              <w:t>使用磁带驱动时＜5℃/h,</w:t>
            </w:r>
          </w:p>
          <w:p>
            <w:pPr>
              <w:ind w:left="494" w:right="132" w:rightChars="55" w:hanging="494"/>
              <w:jc w:val="center"/>
              <w:rPr>
                <w:color w:val="auto"/>
                <w:szCs w:val="24"/>
                <w:highlight w:val="none"/>
              </w:rPr>
            </w:pPr>
            <w:r>
              <w:rPr>
                <w:rFonts w:hint="eastAsia"/>
                <w:color w:val="auto"/>
                <w:szCs w:val="24"/>
                <w:highlight w:val="none"/>
              </w:rPr>
              <w:t>使用磁盘驱动时＜20℃/h,</w:t>
            </w:r>
          </w:p>
        </w:tc>
        <w:tc>
          <w:tcPr>
            <w:tcW w:w="1323" w:type="dxa"/>
            <w:vAlign w:val="center"/>
          </w:tcPr>
          <w:p>
            <w:pPr>
              <w:snapToGrid w:val="0"/>
              <w:spacing w:line="400" w:lineRule="exact"/>
              <w:ind w:left="1134" w:right="-180" w:rightChars="-75" w:hanging="708"/>
              <w:jc w:val="center"/>
              <w:rPr>
                <w:color w:val="auto"/>
                <w:szCs w:val="24"/>
                <w:highlight w:val="none"/>
              </w:rPr>
            </w:pPr>
            <w:r>
              <w:rPr>
                <w:rFonts w:hint="eastAsia"/>
                <w:color w:val="auto"/>
                <w:szCs w:val="24"/>
                <w:highlight w:val="none"/>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477" w:hRule="atLeast"/>
          <w:jc w:val="center"/>
        </w:trPr>
        <w:tc>
          <w:tcPr>
            <w:tcW w:w="4583" w:type="dxa"/>
            <w:vAlign w:val="center"/>
          </w:tcPr>
          <w:p>
            <w:pPr>
              <w:ind w:left="0" w:right="-180" w:rightChars="-75" w:firstLine="66"/>
              <w:jc w:val="center"/>
              <w:rPr>
                <w:color w:val="auto"/>
                <w:szCs w:val="24"/>
                <w:highlight w:val="none"/>
              </w:rPr>
            </w:pPr>
            <w:r>
              <w:rPr>
                <w:rFonts w:hint="eastAsia"/>
                <w:color w:val="auto"/>
                <w:szCs w:val="24"/>
                <w:highlight w:val="none"/>
              </w:rPr>
              <w:t>不间断电源系统电池室温度</w:t>
            </w:r>
          </w:p>
        </w:tc>
        <w:tc>
          <w:tcPr>
            <w:tcW w:w="3112" w:type="dxa"/>
            <w:gridSpan w:val="3"/>
            <w:vAlign w:val="center"/>
          </w:tcPr>
          <w:p>
            <w:pPr>
              <w:ind w:left="1134" w:right="-180" w:rightChars="-75" w:hanging="708"/>
              <w:jc w:val="center"/>
              <w:rPr>
                <w:color w:val="auto"/>
                <w:szCs w:val="24"/>
                <w:highlight w:val="none"/>
              </w:rPr>
            </w:pPr>
            <w:r>
              <w:rPr>
                <w:rFonts w:hint="eastAsia"/>
                <w:color w:val="auto"/>
                <w:szCs w:val="24"/>
                <w:highlight w:val="none"/>
              </w:rPr>
              <w:t>20°C～30°C</w:t>
            </w:r>
          </w:p>
        </w:tc>
        <w:tc>
          <w:tcPr>
            <w:tcW w:w="1323" w:type="dxa"/>
            <w:vAlign w:val="center"/>
          </w:tcPr>
          <w:p>
            <w:pPr>
              <w:ind w:left="1134" w:right="-180" w:rightChars="-75" w:hanging="708"/>
              <w:jc w:val="center"/>
              <w:rPr>
                <w:color w:val="auto"/>
                <w:szCs w:val="24"/>
                <w:highlight w:val="none"/>
              </w:rPr>
            </w:pPr>
            <w:r>
              <w:rPr>
                <w:rFonts w:hint="eastAsia"/>
                <w:color w:val="auto"/>
                <w:szCs w:val="24"/>
                <w:highlight w:val="none"/>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477" w:hRule="atLeast"/>
          <w:jc w:val="center"/>
        </w:trPr>
        <w:tc>
          <w:tcPr>
            <w:tcW w:w="4583" w:type="dxa"/>
            <w:vAlign w:val="center"/>
          </w:tcPr>
          <w:p>
            <w:pPr>
              <w:ind w:left="0" w:right="-180" w:rightChars="-75" w:firstLine="66"/>
              <w:jc w:val="center"/>
              <w:rPr>
                <w:color w:val="auto"/>
                <w:szCs w:val="24"/>
                <w:highlight w:val="none"/>
              </w:rPr>
            </w:pPr>
            <w:r>
              <w:rPr>
                <w:rFonts w:hint="eastAsia"/>
                <w:color w:val="auto"/>
                <w:szCs w:val="24"/>
                <w:highlight w:val="none"/>
              </w:rPr>
              <w:t>主机房空气粒子浓度</w:t>
            </w:r>
          </w:p>
        </w:tc>
        <w:tc>
          <w:tcPr>
            <w:tcW w:w="3112" w:type="dxa"/>
            <w:gridSpan w:val="3"/>
            <w:vAlign w:val="center"/>
          </w:tcPr>
          <w:p>
            <w:pPr>
              <w:ind w:left="14" w:right="221" w:rightChars="92" w:hanging="14"/>
              <w:jc w:val="center"/>
              <w:rPr>
                <w:color w:val="auto"/>
                <w:szCs w:val="24"/>
                <w:highlight w:val="none"/>
              </w:rPr>
            </w:pPr>
            <w:r>
              <w:rPr>
                <w:rFonts w:hint="eastAsia"/>
                <w:color w:val="auto"/>
                <w:szCs w:val="24"/>
                <w:highlight w:val="none"/>
              </w:rPr>
              <w:t>每立方米空气中大于或等于0.5μm的悬浮粒子数,应少于17,600,000粒。</w:t>
            </w:r>
          </w:p>
        </w:tc>
        <w:tc>
          <w:tcPr>
            <w:tcW w:w="1323" w:type="dxa"/>
            <w:vAlign w:val="center"/>
          </w:tcPr>
          <w:tbl>
            <w:tblPr>
              <w:tblStyle w:val="18"/>
              <w:tblW w:w="1439" w:type="dxa"/>
              <w:tblInd w:w="0" w:type="dxa"/>
              <w:tblLayout w:type="fixed"/>
              <w:tblCellMar>
                <w:top w:w="0" w:type="dxa"/>
                <w:left w:w="108" w:type="dxa"/>
                <w:bottom w:w="0" w:type="dxa"/>
                <w:right w:w="108" w:type="dxa"/>
              </w:tblCellMar>
            </w:tblPr>
            <w:tblGrid>
              <w:gridCol w:w="1439"/>
            </w:tblGrid>
            <w:tr>
              <w:trPr>
                <w:trHeight w:val="391" w:hRule="atLeast"/>
              </w:trPr>
              <w:tc>
                <w:tcPr>
                  <w:tcW w:w="1439" w:type="dxa"/>
                </w:tcPr>
                <w:p>
                  <w:pPr>
                    <w:ind w:left="1134" w:right="-180" w:rightChars="-75" w:hanging="708"/>
                    <w:jc w:val="center"/>
                    <w:rPr>
                      <w:color w:val="auto"/>
                      <w:szCs w:val="24"/>
                      <w:highlight w:val="none"/>
                    </w:rPr>
                  </w:pPr>
                  <w:r>
                    <w:rPr>
                      <w:rFonts w:hint="eastAsia"/>
                      <w:color w:val="auto"/>
                      <w:szCs w:val="24"/>
                      <w:highlight w:val="none"/>
                    </w:rPr>
                    <w:t>-</w:t>
                  </w:r>
                </w:p>
              </w:tc>
            </w:tr>
          </w:tbl>
          <w:p>
            <w:pPr>
              <w:ind w:left="1134" w:right="-180" w:rightChars="-75" w:hanging="708"/>
              <w:jc w:val="center"/>
              <w:rPr>
                <w:color w:val="auto"/>
                <w:szCs w:val="24"/>
                <w:highlight w:val="none"/>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477" w:hRule="atLeast"/>
          <w:jc w:val="center"/>
        </w:trPr>
        <w:tc>
          <w:tcPr>
            <w:tcW w:w="4583" w:type="dxa"/>
            <w:vAlign w:val="center"/>
          </w:tcPr>
          <w:p>
            <w:pPr>
              <w:ind w:left="0" w:right="-180" w:rightChars="-75" w:firstLine="66"/>
              <w:jc w:val="center"/>
              <w:rPr>
                <w:color w:val="auto"/>
                <w:szCs w:val="24"/>
                <w:highlight w:val="none"/>
              </w:rPr>
            </w:pPr>
            <w:r>
              <w:rPr>
                <w:rFonts w:hint="eastAsia"/>
                <w:color w:val="auto"/>
                <w:szCs w:val="24"/>
                <w:highlight w:val="none"/>
              </w:rPr>
              <w:t>机房空气质量</w:t>
            </w:r>
          </w:p>
        </w:tc>
        <w:tc>
          <w:tcPr>
            <w:tcW w:w="4435" w:type="dxa"/>
            <w:gridSpan w:val="4"/>
            <w:vAlign w:val="center"/>
          </w:tcPr>
          <w:p>
            <w:pPr>
              <w:ind w:left="14" w:right="230" w:rightChars="96" w:hanging="14"/>
              <w:jc w:val="center"/>
              <w:rPr>
                <w:color w:val="auto"/>
                <w:szCs w:val="24"/>
                <w:highlight w:val="none"/>
              </w:rPr>
            </w:pPr>
            <w:r>
              <w:rPr>
                <w:rFonts w:hint="eastAsia"/>
                <w:color w:val="auto"/>
                <w:szCs w:val="24"/>
                <w:highlight w:val="none"/>
              </w:rPr>
              <w:t>室内空气应无毒、无害、无异常嗅味</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477" w:hRule="atLeast"/>
          <w:jc w:val="center"/>
        </w:trPr>
        <w:tc>
          <w:tcPr>
            <w:tcW w:w="9018" w:type="dxa"/>
            <w:gridSpan w:val="5"/>
            <w:vAlign w:val="center"/>
          </w:tcPr>
          <w:p>
            <w:pPr>
              <w:ind w:left="1134" w:right="-180" w:rightChars="-75" w:hanging="708"/>
              <w:jc w:val="center"/>
              <w:rPr>
                <w:color w:val="auto"/>
                <w:szCs w:val="24"/>
                <w:highlight w:val="none"/>
              </w:rPr>
            </w:pPr>
            <w:r>
              <w:rPr>
                <w:rFonts w:hint="eastAsia"/>
                <w:color w:val="auto"/>
                <w:szCs w:val="24"/>
                <w:highlight w:val="none"/>
              </w:rPr>
              <w:t>注：机房环境不得结露</w:t>
            </w:r>
          </w:p>
        </w:tc>
      </w:tr>
    </w:tbl>
    <w:p>
      <w:pPr>
        <w:spacing w:line="360" w:lineRule="auto"/>
        <w:ind w:left="1134" w:right="-180" w:rightChars="-75" w:firstLine="480" w:firstLineChars="200"/>
        <w:rPr>
          <w:color w:val="auto"/>
          <w:szCs w:val="24"/>
          <w:highlight w:val="none"/>
        </w:rPr>
      </w:pPr>
    </w:p>
    <w:p>
      <w:pPr>
        <w:spacing w:line="360" w:lineRule="auto"/>
        <w:ind w:left="254" w:right="-180" w:rightChars="-75" w:firstLine="465" w:firstLineChars="194"/>
        <w:rPr>
          <w:color w:val="auto"/>
          <w:szCs w:val="24"/>
          <w:highlight w:val="none"/>
        </w:rPr>
      </w:pPr>
      <w:r>
        <w:rPr>
          <w:color w:val="auto"/>
          <w:szCs w:val="24"/>
          <w:highlight w:val="none"/>
        </w:rPr>
        <w:t>机房装修后的室内空气质量除应符合本规范的规定外，尚应符合现行国家标准《室内空气质量标准》GB/T18883的有关规定。</w:t>
      </w:r>
    </w:p>
    <w:p>
      <w:pPr>
        <w:pStyle w:val="6"/>
        <w:ind w:left="1134" w:right="-180" w:rightChars="-75" w:hanging="708"/>
        <w:rPr>
          <w:color w:val="auto"/>
          <w:sz w:val="24"/>
          <w:szCs w:val="24"/>
          <w:highlight w:val="none"/>
        </w:rPr>
      </w:pPr>
      <w:r>
        <w:rPr>
          <w:rFonts w:hint="eastAsia"/>
          <w:color w:val="auto"/>
          <w:sz w:val="24"/>
          <w:szCs w:val="24"/>
          <w:highlight w:val="none"/>
        </w:rPr>
        <w:t>3、</w:t>
      </w:r>
      <w:r>
        <w:rPr>
          <w:color w:val="auto"/>
          <w:sz w:val="24"/>
          <w:szCs w:val="24"/>
          <w:highlight w:val="none"/>
        </w:rPr>
        <w:t>机房空调冷负荷</w:t>
      </w:r>
    </w:p>
    <w:p>
      <w:pPr>
        <w:spacing w:line="360" w:lineRule="auto"/>
        <w:ind w:left="254" w:right="-180" w:rightChars="-75" w:firstLine="465" w:firstLineChars="194"/>
        <w:rPr>
          <w:color w:val="auto"/>
          <w:szCs w:val="24"/>
          <w:highlight w:val="none"/>
        </w:rPr>
      </w:pPr>
      <w:r>
        <w:rPr>
          <w:rFonts w:hint="eastAsia"/>
          <w:color w:val="auto"/>
          <w:szCs w:val="24"/>
          <w:highlight w:val="none"/>
        </w:rPr>
        <w:t>1.余热量大：机房内95%以上的热量来自计算机设备；</w:t>
      </w:r>
    </w:p>
    <w:p>
      <w:pPr>
        <w:spacing w:line="360" w:lineRule="auto"/>
        <w:ind w:left="254" w:right="-180" w:rightChars="-75" w:firstLine="465" w:firstLineChars="194"/>
        <w:rPr>
          <w:color w:val="auto"/>
          <w:szCs w:val="24"/>
          <w:highlight w:val="none"/>
        </w:rPr>
      </w:pPr>
      <w:r>
        <w:rPr>
          <w:rFonts w:hint="eastAsia"/>
          <w:color w:val="auto"/>
          <w:szCs w:val="24"/>
          <w:highlight w:val="none"/>
        </w:rPr>
        <w:t>2.余湿量小：机房内潜热量来自人体出汗蒸发以及新风含湿量，由于人员较少且新风是经过热交换后进入机房，余湿量很小；</w:t>
      </w:r>
    </w:p>
    <w:p>
      <w:pPr>
        <w:spacing w:line="360" w:lineRule="auto"/>
        <w:ind w:left="254" w:right="-180" w:rightChars="-75" w:firstLine="465" w:firstLineChars="194"/>
        <w:rPr>
          <w:color w:val="auto"/>
          <w:szCs w:val="24"/>
          <w:highlight w:val="none"/>
        </w:rPr>
      </w:pPr>
      <w:r>
        <w:rPr>
          <w:rFonts w:hint="eastAsia"/>
          <w:color w:val="auto"/>
          <w:szCs w:val="24"/>
          <w:highlight w:val="none"/>
        </w:rPr>
        <w:t>3.循环风量大：送风温差小，需要较大的风量来解决机房内散热；</w:t>
      </w:r>
    </w:p>
    <w:p>
      <w:pPr>
        <w:spacing w:line="360" w:lineRule="auto"/>
        <w:ind w:left="254" w:right="-180" w:rightChars="-75" w:firstLine="465" w:firstLineChars="194"/>
        <w:rPr>
          <w:color w:val="auto"/>
          <w:szCs w:val="24"/>
          <w:highlight w:val="none"/>
        </w:rPr>
      </w:pPr>
      <w:r>
        <w:rPr>
          <w:rFonts w:hint="eastAsia"/>
          <w:color w:val="auto"/>
          <w:szCs w:val="24"/>
          <w:highlight w:val="none"/>
        </w:rPr>
        <w:t>4．焓差小：由于设备的热量是通过传导、辐射的方式传递到机房内，设备密集的区域发热量集中，为使机房内各区域温湿度均匀，而且控制在允许的基数及波动范围内，就需要有较大的风量将余热量带走。另外，机房内潜热量较少，一般不需要除湿，空气经过空调机蒸发器时不需要降至零点温度以下，所以送风温差及焓差要求较小，为将机房内余热带走，就需要较大送风量；</w:t>
      </w:r>
    </w:p>
    <w:p>
      <w:pPr>
        <w:spacing w:line="360" w:lineRule="auto"/>
        <w:ind w:left="254" w:right="-180" w:rightChars="-75" w:firstLine="465" w:firstLineChars="194"/>
        <w:rPr>
          <w:rFonts w:hint="eastAsia"/>
          <w:color w:val="auto"/>
          <w:szCs w:val="24"/>
          <w:highlight w:val="none"/>
        </w:rPr>
      </w:pPr>
      <w:r>
        <w:rPr>
          <w:rFonts w:hint="eastAsia"/>
          <w:color w:val="auto"/>
          <w:szCs w:val="24"/>
          <w:highlight w:val="none"/>
        </w:rPr>
        <w:t>5.热负荷大，冬季仍需制冷；</w:t>
      </w:r>
    </w:p>
    <w:p>
      <w:pPr>
        <w:spacing w:line="360" w:lineRule="auto"/>
        <w:ind w:left="254" w:right="-180" w:rightChars="-75" w:firstLine="467" w:firstLineChars="194"/>
        <w:rPr>
          <w:rFonts w:hint="default" w:eastAsia="宋体"/>
          <w:color w:val="auto"/>
          <w:szCs w:val="24"/>
          <w:highlight w:val="none"/>
          <w:lang w:val="en-US" w:eastAsia="zh-CN"/>
        </w:rPr>
      </w:pPr>
      <w:r>
        <w:rPr>
          <w:rFonts w:hint="eastAsia" w:cs="等线"/>
          <w:b/>
          <w:bCs/>
          <w:color w:val="auto"/>
          <w:lang w:val="en-US" w:eastAsia="zh-CN"/>
        </w:rPr>
        <w:t>6.</w:t>
      </w:r>
      <w:r>
        <w:rPr>
          <w:rFonts w:hint="eastAsia" w:cs="等线"/>
          <w:b/>
          <w:bCs w:val="0"/>
          <w:color w:val="auto"/>
          <w:highlight w:val="none"/>
          <w:lang w:val="en-US" w:eastAsia="zh-CN"/>
        </w:rPr>
        <w:t>设备商需提供满足</w:t>
      </w:r>
      <w:r>
        <w:rPr>
          <w:rFonts w:cs="等线"/>
          <w:b/>
          <w:bCs w:val="0"/>
          <w:color w:val="auto"/>
          <w:highlight w:val="none"/>
          <w:lang w:eastAsia="zh-Hans"/>
        </w:rPr>
        <w:t>2021</w:t>
      </w:r>
      <w:r>
        <w:rPr>
          <w:rFonts w:hint="eastAsia" w:cs="等线"/>
          <w:b/>
          <w:bCs w:val="0"/>
          <w:color w:val="auto"/>
          <w:highlight w:val="none"/>
          <w:lang w:eastAsia="zh-Hans"/>
        </w:rPr>
        <w:t>年国家《绿色数据中心评价指标体系》</w:t>
      </w:r>
      <w:r>
        <w:rPr>
          <w:rFonts w:hint="eastAsia" w:cs="等线"/>
          <w:b/>
          <w:bCs w:val="0"/>
          <w:color w:val="auto"/>
          <w:highlight w:val="none"/>
          <w:lang w:val="en-US" w:eastAsia="zh-CN"/>
        </w:rPr>
        <w:t>的承诺函</w:t>
      </w:r>
      <w:r>
        <w:rPr>
          <w:rFonts w:hint="eastAsia" w:cs="等线"/>
          <w:b/>
          <w:bCs/>
          <w:color w:val="auto"/>
          <w:lang w:val="en-US" w:eastAsia="zh-CN"/>
        </w:rPr>
        <w:t>。</w:t>
      </w:r>
    </w:p>
    <w:p>
      <w:pPr>
        <w:pStyle w:val="6"/>
        <w:ind w:left="1134" w:right="-180" w:rightChars="-75" w:hanging="708"/>
        <w:rPr>
          <w:color w:val="auto"/>
          <w:sz w:val="24"/>
          <w:szCs w:val="24"/>
          <w:highlight w:val="none"/>
        </w:rPr>
      </w:pPr>
      <w:r>
        <w:rPr>
          <w:rFonts w:hint="eastAsia"/>
          <w:color w:val="auto"/>
          <w:sz w:val="24"/>
          <w:szCs w:val="24"/>
          <w:highlight w:val="none"/>
        </w:rPr>
        <w:t>4、主要设备技术参数要求</w:t>
      </w:r>
    </w:p>
    <w:p>
      <w:pPr>
        <w:pStyle w:val="7"/>
        <w:ind w:left="1134" w:right="-180" w:rightChars="-75" w:hanging="708"/>
        <w:rPr>
          <w:rFonts w:ascii="宋体" w:hAnsi="宋体" w:eastAsia="宋体" w:cs="宋体"/>
          <w:b w:val="0"/>
          <w:bCs w:val="0"/>
          <w:color w:val="auto"/>
          <w:highlight w:val="none"/>
        </w:rPr>
      </w:pPr>
      <w:r>
        <w:rPr>
          <w:rFonts w:hint="eastAsia" w:ascii="宋体" w:hAnsi="宋体" w:eastAsia="宋体" w:cs="宋体"/>
          <w:b w:val="0"/>
          <w:bCs w:val="0"/>
          <w:color w:val="auto"/>
          <w:highlight w:val="none"/>
        </w:rPr>
        <w:t>1）主机房列间空调技术要求</w:t>
      </w:r>
    </w:p>
    <w:p>
      <w:pPr>
        <w:spacing w:line="360" w:lineRule="auto"/>
        <w:ind w:left="1440" w:leftChars="600" w:right="-180" w:rightChars="-75" w:firstLine="0"/>
        <w:rPr>
          <w:color w:val="auto"/>
          <w:szCs w:val="24"/>
          <w:highlight w:val="none"/>
        </w:rPr>
      </w:pPr>
      <w:r>
        <w:rPr>
          <w:rFonts w:hint="eastAsia"/>
          <w:color w:val="auto"/>
          <w:szCs w:val="24"/>
          <w:highlight w:val="none"/>
        </w:rPr>
        <w:t>1. 本次招标空调机组为全变频风冷列间空调机组，列间空调制冷量≥6</w:t>
      </w:r>
      <w:r>
        <w:rPr>
          <w:color w:val="auto"/>
          <w:szCs w:val="24"/>
          <w:highlight w:val="none"/>
        </w:rPr>
        <w:t>2</w:t>
      </w:r>
      <w:r>
        <w:rPr>
          <w:rFonts w:hint="eastAsia"/>
          <w:color w:val="auto"/>
          <w:szCs w:val="24"/>
          <w:highlight w:val="none"/>
        </w:rPr>
        <w:t>kW（机组的制冷量是在回风风温度</w:t>
      </w:r>
      <w:r>
        <w:rPr>
          <w:color w:val="auto"/>
          <w:szCs w:val="24"/>
          <w:highlight w:val="none"/>
        </w:rPr>
        <w:t>37</w:t>
      </w:r>
      <w:r>
        <w:rPr>
          <w:rFonts w:hint="eastAsia"/>
          <w:color w:val="auto"/>
          <w:szCs w:val="24"/>
          <w:highlight w:val="none"/>
        </w:rPr>
        <w:t>±0.5℃测定），加热量≥ 6 kW，加湿量≥ 1.5kg/h，风量≥10</w:t>
      </w:r>
      <w:r>
        <w:rPr>
          <w:color w:val="auto"/>
          <w:szCs w:val="24"/>
          <w:highlight w:val="none"/>
        </w:rPr>
        <w:t>2</w:t>
      </w:r>
      <w:r>
        <w:rPr>
          <w:rFonts w:hint="eastAsia"/>
          <w:color w:val="auto"/>
          <w:szCs w:val="24"/>
          <w:highlight w:val="none"/>
        </w:rPr>
        <w:t>00 m3/h。同时要求空调能效比≥3.3</w:t>
      </w:r>
      <w:r>
        <w:rPr>
          <w:color w:val="auto"/>
          <w:szCs w:val="24"/>
          <w:highlight w:val="none"/>
        </w:rPr>
        <w:t>5W/W</w:t>
      </w:r>
      <w:r>
        <w:rPr>
          <w:rFonts w:hint="eastAsia"/>
          <w:color w:val="auto"/>
          <w:szCs w:val="24"/>
          <w:highlight w:val="none"/>
        </w:rPr>
        <w:t>（回风温度为37±0.5℃，室外温度35℃±0.5℃）。</w:t>
      </w:r>
    </w:p>
    <w:p>
      <w:pPr>
        <w:spacing w:line="360" w:lineRule="auto"/>
        <w:ind w:left="1440" w:leftChars="600" w:right="-180" w:rightChars="-75" w:firstLine="0"/>
        <w:rPr>
          <w:color w:val="auto"/>
          <w:szCs w:val="24"/>
          <w:highlight w:val="none"/>
        </w:rPr>
      </w:pPr>
      <w:r>
        <w:rPr>
          <w:color w:val="auto"/>
          <w:szCs w:val="24"/>
          <w:highlight w:val="none"/>
        </w:rPr>
        <w:t>2.</w:t>
      </w:r>
      <w:r>
        <w:rPr>
          <w:rFonts w:hint="eastAsia"/>
          <w:b/>
          <w:bCs w:val="0"/>
          <w:color w:val="auto"/>
          <w:szCs w:val="24"/>
          <w:highlight w:val="none"/>
        </w:rPr>
        <w:t>提供采用风冷变频空调，整体PUE值≤1.3相关</w:t>
      </w:r>
      <w:r>
        <w:rPr>
          <w:rFonts w:hint="eastAsia"/>
          <w:b/>
          <w:bCs w:val="0"/>
          <w:color w:val="auto"/>
          <w:szCs w:val="24"/>
          <w:highlight w:val="none"/>
          <w:lang w:val="en-US" w:eastAsia="zh-CN"/>
        </w:rPr>
        <w:t>的华南地区</w:t>
      </w:r>
      <w:r>
        <w:rPr>
          <w:rFonts w:hint="eastAsia"/>
          <w:b/>
          <w:bCs w:val="0"/>
          <w:color w:val="auto"/>
          <w:szCs w:val="24"/>
          <w:highlight w:val="none"/>
        </w:rPr>
        <w:t>案例</w:t>
      </w:r>
      <w:r>
        <w:rPr>
          <w:rFonts w:hint="eastAsia"/>
          <w:b/>
          <w:bCs w:val="0"/>
          <w:color w:val="auto"/>
          <w:szCs w:val="24"/>
          <w:highlight w:val="none"/>
          <w:lang w:eastAsia="zh-CN"/>
        </w:rPr>
        <w:t>，</w:t>
      </w:r>
      <w:r>
        <w:rPr>
          <w:rFonts w:hint="eastAsia"/>
          <w:b/>
          <w:bCs w:val="0"/>
          <w:color w:val="auto"/>
          <w:szCs w:val="24"/>
          <w:highlight w:val="none"/>
        </w:rPr>
        <w:t>及具备CMA或CNAS认证机构出具第三方检测报告</w:t>
      </w:r>
      <w:r>
        <w:rPr>
          <w:rFonts w:hint="eastAsia"/>
          <w:b/>
          <w:color w:val="auto"/>
          <w:szCs w:val="24"/>
          <w:highlight w:val="none"/>
        </w:rPr>
        <w:t>。</w:t>
      </w:r>
    </w:p>
    <w:p>
      <w:pPr>
        <w:spacing w:line="360" w:lineRule="auto"/>
        <w:ind w:left="1440" w:leftChars="600" w:right="-180" w:rightChars="-75" w:firstLine="0"/>
        <w:rPr>
          <w:color w:val="auto"/>
          <w:szCs w:val="24"/>
          <w:highlight w:val="none"/>
        </w:rPr>
      </w:pPr>
      <w:r>
        <w:rPr>
          <w:color w:val="auto"/>
          <w:szCs w:val="24"/>
          <w:highlight w:val="none"/>
        </w:rPr>
        <w:t>3</w:t>
      </w:r>
      <w:r>
        <w:rPr>
          <w:rFonts w:hint="eastAsia"/>
          <w:color w:val="auto"/>
          <w:szCs w:val="24"/>
          <w:highlight w:val="none"/>
        </w:rPr>
        <w:t>.操作及维修安全、方便。</w:t>
      </w:r>
    </w:p>
    <w:p>
      <w:pPr>
        <w:spacing w:line="360" w:lineRule="auto"/>
        <w:ind w:left="1440" w:leftChars="600" w:right="-180" w:rightChars="-75" w:firstLine="0"/>
        <w:rPr>
          <w:color w:val="auto"/>
          <w:szCs w:val="24"/>
          <w:highlight w:val="none"/>
        </w:rPr>
      </w:pPr>
      <w:r>
        <w:rPr>
          <w:rFonts w:hint="eastAsia"/>
          <w:color w:val="auto"/>
          <w:szCs w:val="24"/>
          <w:highlight w:val="none"/>
        </w:rPr>
        <w:t>3.结构工艺：部件排列合理、整齐；导线颜色和截面合理，布放平整；接插件牢固；进出线符合工程需要；具备抗震措施，抗震不低于9级烈度。</w:t>
      </w:r>
      <w:r>
        <w:rPr>
          <w:color w:val="auto"/>
          <w:szCs w:val="24"/>
          <w:highlight w:val="none"/>
        </w:rPr>
        <w:t xml:space="preserve"> </w:t>
      </w:r>
    </w:p>
    <w:p>
      <w:pPr>
        <w:spacing w:line="360" w:lineRule="auto"/>
        <w:ind w:left="1440" w:leftChars="600" w:right="-180" w:rightChars="-75" w:firstLine="0"/>
        <w:rPr>
          <w:color w:val="auto"/>
          <w:szCs w:val="24"/>
          <w:highlight w:val="none"/>
        </w:rPr>
      </w:pPr>
      <w:r>
        <w:rPr>
          <w:rFonts w:hint="eastAsia"/>
          <w:color w:val="auto"/>
          <w:szCs w:val="24"/>
          <w:highlight w:val="none"/>
        </w:rPr>
        <w:t>4.标牌、标记：应平整清晰</w:t>
      </w:r>
    </w:p>
    <w:p>
      <w:pPr>
        <w:spacing w:line="360" w:lineRule="auto"/>
        <w:ind w:left="1440" w:leftChars="600" w:right="-180" w:rightChars="-75" w:firstLine="0"/>
        <w:rPr>
          <w:color w:val="auto"/>
          <w:szCs w:val="24"/>
          <w:highlight w:val="none"/>
        </w:rPr>
      </w:pPr>
      <w:r>
        <w:rPr>
          <w:rFonts w:hint="eastAsia"/>
          <w:color w:val="auto"/>
          <w:szCs w:val="24"/>
          <w:highlight w:val="none"/>
        </w:rPr>
        <w:t>5.列间空调机组的电气性能应符合IEC标准</w:t>
      </w:r>
    </w:p>
    <w:p>
      <w:pPr>
        <w:spacing w:line="360" w:lineRule="auto"/>
        <w:ind w:left="1440" w:leftChars="600" w:right="-180" w:rightChars="-75" w:firstLine="0"/>
        <w:rPr>
          <w:color w:val="auto"/>
          <w:szCs w:val="24"/>
          <w:highlight w:val="none"/>
        </w:rPr>
      </w:pPr>
      <w:r>
        <w:rPr>
          <w:rFonts w:hint="eastAsia"/>
          <w:color w:val="auto"/>
          <w:szCs w:val="24"/>
          <w:highlight w:val="none"/>
        </w:rPr>
        <w:t>6</w:t>
      </w:r>
      <w:r>
        <w:rPr>
          <w:color w:val="auto"/>
          <w:szCs w:val="24"/>
          <w:highlight w:val="none"/>
        </w:rPr>
        <w:t>.</w:t>
      </w:r>
      <w:r>
        <w:rPr>
          <w:rFonts w:hint="eastAsia"/>
          <w:color w:val="auto"/>
          <w:szCs w:val="24"/>
          <w:highlight w:val="none"/>
        </w:rPr>
        <w:t>输入电压允许波动范围：</w:t>
      </w:r>
      <w:r>
        <w:rPr>
          <w:color w:val="auto"/>
          <w:szCs w:val="24"/>
          <w:highlight w:val="none"/>
        </w:rPr>
        <w:t xml:space="preserve">220/380V +10% </w:t>
      </w:r>
      <w:r>
        <w:rPr>
          <w:rFonts w:hint="eastAsia"/>
          <w:color w:val="auto"/>
          <w:szCs w:val="24"/>
          <w:highlight w:val="none"/>
        </w:rPr>
        <w:t>~</w:t>
      </w:r>
      <w:r>
        <w:rPr>
          <w:color w:val="auto"/>
          <w:szCs w:val="24"/>
          <w:highlight w:val="none"/>
        </w:rPr>
        <w:t xml:space="preserve"> -10%</w:t>
      </w:r>
    </w:p>
    <w:p>
      <w:pPr>
        <w:spacing w:line="360" w:lineRule="auto"/>
        <w:ind w:left="1440" w:leftChars="600" w:right="-180" w:rightChars="-75" w:firstLine="0"/>
        <w:rPr>
          <w:color w:val="auto"/>
          <w:szCs w:val="24"/>
          <w:highlight w:val="none"/>
        </w:rPr>
      </w:pPr>
      <w:r>
        <w:rPr>
          <w:rFonts w:hint="eastAsia"/>
          <w:color w:val="auto"/>
          <w:szCs w:val="24"/>
          <w:highlight w:val="none"/>
        </w:rPr>
        <w:t>7</w:t>
      </w:r>
      <w:r>
        <w:rPr>
          <w:color w:val="auto"/>
          <w:szCs w:val="24"/>
          <w:highlight w:val="none"/>
        </w:rPr>
        <w:t>.</w:t>
      </w:r>
      <w:r>
        <w:rPr>
          <w:rFonts w:hint="eastAsia"/>
          <w:color w:val="auto"/>
          <w:szCs w:val="24"/>
          <w:highlight w:val="none"/>
        </w:rPr>
        <w:t>频率：</w:t>
      </w:r>
      <w:r>
        <w:rPr>
          <w:color w:val="auto"/>
          <w:szCs w:val="24"/>
          <w:highlight w:val="none"/>
        </w:rPr>
        <w:t xml:space="preserve">50HZ </w:t>
      </w:r>
      <w:r>
        <w:rPr>
          <w:rFonts w:hint="eastAsia"/>
          <w:color w:val="auto"/>
          <w:szCs w:val="24"/>
          <w:highlight w:val="none"/>
        </w:rPr>
        <w:t>±</w:t>
      </w:r>
      <w:r>
        <w:rPr>
          <w:color w:val="auto"/>
          <w:szCs w:val="24"/>
          <w:highlight w:val="none"/>
        </w:rPr>
        <w:t xml:space="preserve">2HZ </w:t>
      </w:r>
    </w:p>
    <w:p>
      <w:pPr>
        <w:spacing w:line="360" w:lineRule="auto"/>
        <w:ind w:left="1440" w:leftChars="600" w:right="-180" w:rightChars="-75" w:firstLine="0"/>
        <w:rPr>
          <w:color w:val="auto"/>
          <w:szCs w:val="24"/>
          <w:highlight w:val="none"/>
        </w:rPr>
      </w:pPr>
      <w:r>
        <w:rPr>
          <w:rFonts w:hint="eastAsia"/>
          <w:color w:val="auto"/>
          <w:szCs w:val="24"/>
          <w:highlight w:val="none"/>
        </w:rPr>
        <w:t>8.列间空调应能按要求自动调节室内温、湿度，具有制冷、加热、湿度控制等功能，以保证每台空调的正常运行及高精度运行。</w:t>
      </w:r>
    </w:p>
    <w:p>
      <w:pPr>
        <w:spacing w:line="360" w:lineRule="auto"/>
        <w:ind w:left="1440" w:leftChars="600" w:right="-180" w:rightChars="-75" w:firstLine="0"/>
        <w:rPr>
          <w:color w:val="auto"/>
          <w:szCs w:val="24"/>
          <w:highlight w:val="none"/>
        </w:rPr>
      </w:pPr>
      <w:r>
        <w:rPr>
          <w:rFonts w:hint="eastAsia"/>
          <w:color w:val="auto"/>
          <w:szCs w:val="24"/>
          <w:highlight w:val="none"/>
        </w:rPr>
        <w:t>9</w:t>
      </w:r>
      <w:r>
        <w:rPr>
          <w:color w:val="auto"/>
          <w:szCs w:val="24"/>
          <w:highlight w:val="none"/>
        </w:rPr>
        <w:t>.</w:t>
      </w:r>
      <w:r>
        <w:rPr>
          <w:rFonts w:hint="eastAsia"/>
          <w:color w:val="auto"/>
          <w:szCs w:val="24"/>
          <w:highlight w:val="none"/>
        </w:rPr>
        <w:t>温度调节范围：</w:t>
      </w:r>
      <w:r>
        <w:rPr>
          <w:color w:val="auto"/>
          <w:szCs w:val="24"/>
          <w:highlight w:val="none"/>
        </w:rPr>
        <w:t>18</w:t>
      </w:r>
      <w:r>
        <w:rPr>
          <w:rFonts w:hint="eastAsia"/>
          <w:color w:val="auto"/>
          <w:szCs w:val="24"/>
          <w:highlight w:val="none"/>
        </w:rPr>
        <w:t>℃</w:t>
      </w:r>
      <w:r>
        <w:rPr>
          <w:color w:val="auto"/>
          <w:szCs w:val="24"/>
          <w:highlight w:val="none"/>
        </w:rPr>
        <w:t xml:space="preserve"> </w:t>
      </w:r>
      <w:r>
        <w:rPr>
          <w:rFonts w:hint="eastAsia"/>
          <w:color w:val="auto"/>
          <w:szCs w:val="24"/>
          <w:highlight w:val="none"/>
        </w:rPr>
        <w:t>~</w:t>
      </w:r>
      <w:r>
        <w:rPr>
          <w:color w:val="auto"/>
          <w:szCs w:val="24"/>
          <w:highlight w:val="none"/>
        </w:rPr>
        <w:t>45</w:t>
      </w:r>
      <w:r>
        <w:rPr>
          <w:rFonts w:hint="eastAsia"/>
          <w:color w:val="auto"/>
          <w:szCs w:val="24"/>
          <w:highlight w:val="none"/>
        </w:rPr>
        <w:t>℃</w:t>
      </w:r>
    </w:p>
    <w:p>
      <w:pPr>
        <w:spacing w:line="360" w:lineRule="auto"/>
        <w:ind w:left="1440" w:leftChars="600" w:right="-180" w:rightChars="-75" w:firstLine="0"/>
        <w:rPr>
          <w:color w:val="auto"/>
          <w:szCs w:val="24"/>
          <w:highlight w:val="none"/>
        </w:rPr>
      </w:pPr>
      <w:r>
        <w:rPr>
          <w:color w:val="auto"/>
          <w:szCs w:val="24"/>
          <w:highlight w:val="none"/>
        </w:rPr>
        <w:t>1</w:t>
      </w:r>
      <w:r>
        <w:rPr>
          <w:rFonts w:hint="eastAsia"/>
          <w:color w:val="auto"/>
          <w:szCs w:val="24"/>
          <w:highlight w:val="none"/>
        </w:rPr>
        <w:t>0</w:t>
      </w:r>
      <w:r>
        <w:rPr>
          <w:color w:val="auto"/>
          <w:szCs w:val="24"/>
          <w:highlight w:val="none"/>
        </w:rPr>
        <w:t>.</w:t>
      </w:r>
      <w:r>
        <w:rPr>
          <w:rFonts w:hint="eastAsia"/>
          <w:color w:val="auto"/>
          <w:szCs w:val="24"/>
          <w:highlight w:val="none"/>
        </w:rPr>
        <w:t>温度调节精度：±</w:t>
      </w:r>
      <w:r>
        <w:rPr>
          <w:color w:val="auto"/>
          <w:szCs w:val="24"/>
          <w:highlight w:val="none"/>
        </w:rPr>
        <w:t>1</w:t>
      </w:r>
      <w:r>
        <w:rPr>
          <w:rFonts w:hint="eastAsia"/>
          <w:color w:val="auto"/>
          <w:szCs w:val="24"/>
          <w:highlight w:val="none"/>
        </w:rPr>
        <w:t>℃</w:t>
      </w:r>
      <w:r>
        <w:rPr>
          <w:color w:val="auto"/>
          <w:szCs w:val="24"/>
          <w:highlight w:val="none"/>
        </w:rPr>
        <w:t xml:space="preserve"> </w:t>
      </w:r>
      <w:r>
        <w:rPr>
          <w:rFonts w:hint="eastAsia"/>
          <w:color w:val="auto"/>
          <w:szCs w:val="24"/>
          <w:highlight w:val="none"/>
        </w:rPr>
        <w:t>，温度变化率</w:t>
      </w:r>
      <w:r>
        <w:rPr>
          <w:color w:val="auto"/>
          <w:szCs w:val="24"/>
          <w:highlight w:val="none"/>
        </w:rPr>
        <w:t>&lt; 5</w:t>
      </w:r>
      <w:r>
        <w:rPr>
          <w:rFonts w:hint="eastAsia"/>
          <w:color w:val="auto"/>
          <w:szCs w:val="24"/>
          <w:highlight w:val="none"/>
        </w:rPr>
        <w:t>℃</w:t>
      </w:r>
      <w:r>
        <w:rPr>
          <w:color w:val="auto"/>
          <w:szCs w:val="24"/>
          <w:highlight w:val="none"/>
        </w:rPr>
        <w:t>/</w:t>
      </w:r>
      <w:r>
        <w:rPr>
          <w:rFonts w:hint="eastAsia"/>
          <w:color w:val="auto"/>
          <w:szCs w:val="24"/>
          <w:highlight w:val="none"/>
        </w:rPr>
        <w:t>小时</w:t>
      </w:r>
    </w:p>
    <w:p>
      <w:pPr>
        <w:spacing w:line="360" w:lineRule="auto"/>
        <w:ind w:left="1440" w:leftChars="600" w:right="-180" w:rightChars="-75" w:firstLine="0"/>
        <w:rPr>
          <w:color w:val="auto"/>
          <w:szCs w:val="24"/>
          <w:highlight w:val="none"/>
        </w:rPr>
      </w:pPr>
      <w:r>
        <w:rPr>
          <w:color w:val="auto"/>
          <w:szCs w:val="24"/>
          <w:highlight w:val="none"/>
        </w:rPr>
        <w:t>1</w:t>
      </w:r>
      <w:r>
        <w:rPr>
          <w:rFonts w:hint="eastAsia"/>
          <w:color w:val="auto"/>
          <w:szCs w:val="24"/>
          <w:highlight w:val="none"/>
        </w:rPr>
        <w:t>1</w:t>
      </w:r>
      <w:r>
        <w:rPr>
          <w:color w:val="auto"/>
          <w:szCs w:val="24"/>
          <w:highlight w:val="none"/>
        </w:rPr>
        <w:t>.</w:t>
      </w:r>
      <w:r>
        <w:rPr>
          <w:rFonts w:hint="eastAsia"/>
          <w:color w:val="auto"/>
          <w:szCs w:val="24"/>
          <w:highlight w:val="none"/>
        </w:rPr>
        <w:t>湿度调节范围：</w:t>
      </w:r>
      <w:r>
        <w:rPr>
          <w:color w:val="auto"/>
          <w:szCs w:val="24"/>
          <w:highlight w:val="none"/>
        </w:rPr>
        <w:t xml:space="preserve">20% </w:t>
      </w:r>
      <w:r>
        <w:rPr>
          <w:rFonts w:hint="eastAsia"/>
          <w:color w:val="auto"/>
          <w:szCs w:val="24"/>
          <w:highlight w:val="none"/>
        </w:rPr>
        <w:t>~</w:t>
      </w:r>
      <w:r>
        <w:rPr>
          <w:color w:val="auto"/>
          <w:szCs w:val="24"/>
          <w:highlight w:val="none"/>
        </w:rPr>
        <w:t xml:space="preserve"> 55%RH</w:t>
      </w:r>
    </w:p>
    <w:p>
      <w:pPr>
        <w:spacing w:line="360" w:lineRule="auto"/>
        <w:ind w:left="1440" w:leftChars="600" w:right="-180" w:rightChars="-75" w:firstLine="0"/>
        <w:rPr>
          <w:color w:val="auto"/>
          <w:szCs w:val="24"/>
          <w:highlight w:val="none"/>
        </w:rPr>
      </w:pPr>
      <w:r>
        <w:rPr>
          <w:color w:val="auto"/>
          <w:szCs w:val="24"/>
          <w:highlight w:val="none"/>
        </w:rPr>
        <w:t>1</w:t>
      </w:r>
      <w:r>
        <w:rPr>
          <w:rFonts w:hint="eastAsia"/>
          <w:color w:val="auto"/>
          <w:szCs w:val="24"/>
          <w:highlight w:val="none"/>
        </w:rPr>
        <w:t>2</w:t>
      </w:r>
      <w:r>
        <w:rPr>
          <w:color w:val="auto"/>
          <w:szCs w:val="24"/>
          <w:highlight w:val="none"/>
        </w:rPr>
        <w:t>.</w:t>
      </w:r>
      <w:r>
        <w:rPr>
          <w:rFonts w:hint="eastAsia"/>
          <w:color w:val="auto"/>
          <w:szCs w:val="24"/>
          <w:highlight w:val="none"/>
        </w:rPr>
        <w:t>湿度调节精度：±</w:t>
      </w:r>
      <w:r>
        <w:rPr>
          <w:color w:val="auto"/>
          <w:szCs w:val="24"/>
          <w:highlight w:val="none"/>
        </w:rPr>
        <w:t xml:space="preserve">5%RH </w:t>
      </w:r>
    </w:p>
    <w:p>
      <w:pPr>
        <w:spacing w:line="360" w:lineRule="auto"/>
        <w:ind w:left="1440" w:leftChars="600" w:right="-180" w:rightChars="-75" w:firstLine="0"/>
        <w:rPr>
          <w:color w:val="auto"/>
          <w:szCs w:val="24"/>
          <w:highlight w:val="none"/>
        </w:rPr>
      </w:pPr>
      <w:r>
        <w:rPr>
          <w:rFonts w:hint="eastAsia"/>
          <w:color w:val="auto"/>
          <w:szCs w:val="24"/>
          <w:highlight w:val="none"/>
        </w:rPr>
        <w:t>13.温、湿度波动超限应能发出报警信号</w:t>
      </w:r>
    </w:p>
    <w:p>
      <w:pPr>
        <w:spacing w:line="360" w:lineRule="auto"/>
        <w:ind w:left="1440" w:leftChars="600" w:right="-180" w:rightChars="-75" w:firstLine="0"/>
        <w:rPr>
          <w:color w:val="auto"/>
          <w:szCs w:val="24"/>
          <w:highlight w:val="none"/>
        </w:rPr>
      </w:pPr>
      <w:r>
        <w:rPr>
          <w:rFonts w:hint="eastAsia"/>
          <w:color w:val="auto"/>
          <w:szCs w:val="24"/>
          <w:highlight w:val="none"/>
        </w:rPr>
        <w:t>14.列间空调应能解决机房的高显热量负荷，显热比≥0.95。机组制冷量可随室内工况变化自动调节。</w:t>
      </w:r>
    </w:p>
    <w:p>
      <w:pPr>
        <w:spacing w:line="360" w:lineRule="auto"/>
        <w:ind w:left="1440" w:leftChars="600" w:right="-180" w:rightChars="-75" w:firstLine="0"/>
        <w:rPr>
          <w:color w:val="auto"/>
          <w:szCs w:val="24"/>
          <w:highlight w:val="none"/>
        </w:rPr>
      </w:pPr>
      <w:r>
        <w:rPr>
          <w:rFonts w:hint="eastAsia"/>
          <w:color w:val="auto"/>
          <w:szCs w:val="24"/>
          <w:highlight w:val="none"/>
        </w:rPr>
        <w:t>15.列间空调采用高能效比的变频涡旋压缩机，冷量输出可实现20%-100%连续调节。</w:t>
      </w:r>
    </w:p>
    <w:p>
      <w:pPr>
        <w:spacing w:line="360" w:lineRule="auto"/>
        <w:ind w:left="1440" w:leftChars="600" w:right="-180" w:rightChars="-75" w:firstLine="0"/>
        <w:rPr>
          <w:color w:val="auto"/>
          <w:szCs w:val="24"/>
          <w:highlight w:val="none"/>
        </w:rPr>
      </w:pPr>
      <w:r>
        <w:rPr>
          <w:rFonts w:hint="eastAsia"/>
          <w:color w:val="auto"/>
          <w:szCs w:val="24"/>
          <w:highlight w:val="none"/>
        </w:rPr>
        <w:t>16.应选用高效内螺纹大面积V型蒸发器，提高换热面积，保障换热效率；</w:t>
      </w:r>
    </w:p>
    <w:p>
      <w:pPr>
        <w:spacing w:line="360" w:lineRule="auto"/>
        <w:ind w:left="1440" w:leftChars="600" w:right="-180" w:rightChars="-75" w:firstLine="0"/>
        <w:rPr>
          <w:color w:val="auto"/>
          <w:szCs w:val="24"/>
          <w:highlight w:val="none"/>
        </w:rPr>
      </w:pPr>
      <w:r>
        <w:rPr>
          <w:color w:val="auto"/>
          <w:szCs w:val="24"/>
          <w:highlight w:val="none"/>
        </w:rPr>
        <w:t>1</w:t>
      </w:r>
      <w:r>
        <w:rPr>
          <w:rFonts w:hint="eastAsia"/>
          <w:color w:val="auto"/>
          <w:szCs w:val="24"/>
          <w:highlight w:val="none"/>
        </w:rPr>
        <w:t>7.采用电子膨胀阀，无级调节开度10%~100%，调节范围宽、速度快，流量控制精确；</w:t>
      </w:r>
    </w:p>
    <w:p>
      <w:pPr>
        <w:spacing w:line="360" w:lineRule="auto"/>
        <w:ind w:left="1440" w:leftChars="600" w:right="-180" w:rightChars="-75" w:firstLine="0"/>
        <w:rPr>
          <w:color w:val="auto"/>
          <w:szCs w:val="24"/>
          <w:highlight w:val="none"/>
        </w:rPr>
      </w:pPr>
      <w:r>
        <w:rPr>
          <w:color w:val="auto"/>
          <w:szCs w:val="24"/>
          <w:highlight w:val="none"/>
        </w:rPr>
        <w:t>1</w:t>
      </w:r>
      <w:r>
        <w:rPr>
          <w:rFonts w:hint="eastAsia"/>
          <w:color w:val="auto"/>
          <w:szCs w:val="24"/>
          <w:highlight w:val="none"/>
        </w:rPr>
        <w:t>8.室外风机应可根据室外温度无极调速，减少风机能耗。</w:t>
      </w:r>
    </w:p>
    <w:p>
      <w:pPr>
        <w:spacing w:line="360" w:lineRule="auto"/>
        <w:ind w:left="1440" w:leftChars="600" w:right="-180" w:rightChars="-75" w:firstLine="0"/>
        <w:rPr>
          <w:color w:val="auto"/>
          <w:szCs w:val="24"/>
          <w:highlight w:val="none"/>
        </w:rPr>
      </w:pPr>
      <w:r>
        <w:rPr>
          <w:rFonts w:hint="eastAsia"/>
          <w:color w:val="auto"/>
          <w:szCs w:val="24"/>
          <w:highlight w:val="none"/>
        </w:rPr>
        <w:t>19.列间空调系统应具有高可靠性，要求机组平均无故障时间MTBF≥10万小时。</w:t>
      </w:r>
    </w:p>
    <w:p>
      <w:pPr>
        <w:spacing w:line="360" w:lineRule="auto"/>
        <w:ind w:left="1440" w:leftChars="600" w:right="-180" w:rightChars="-75" w:firstLine="0"/>
        <w:rPr>
          <w:color w:val="auto"/>
          <w:szCs w:val="24"/>
          <w:highlight w:val="none"/>
        </w:rPr>
      </w:pPr>
      <w:r>
        <w:rPr>
          <w:rFonts w:hint="eastAsia"/>
          <w:color w:val="auto"/>
          <w:szCs w:val="24"/>
          <w:highlight w:val="none"/>
        </w:rPr>
        <w:t>20.机组的室内风机系统，为保障其可靠性，应包括至少10个独立的EC风机， EC风机采用不少于2个直流电源模块提供稳定可靠供电，提供原厂加盖公章的</w:t>
      </w:r>
      <w:r>
        <w:rPr>
          <w:color w:val="auto"/>
          <w:szCs w:val="24"/>
          <w:highlight w:val="none"/>
        </w:rPr>
        <w:t>2个直流电源模块图片</w:t>
      </w:r>
      <w:r>
        <w:rPr>
          <w:rFonts w:hint="eastAsia"/>
          <w:color w:val="auto"/>
          <w:szCs w:val="24"/>
          <w:highlight w:val="none"/>
        </w:rPr>
        <w:t>。室内风机电源模块应为国际品牌厂家生产。风机须支持热插拔，便于维护。</w:t>
      </w:r>
    </w:p>
    <w:p>
      <w:pPr>
        <w:spacing w:line="360" w:lineRule="auto"/>
        <w:ind w:left="1440" w:leftChars="600" w:right="-180" w:rightChars="-75" w:firstLine="0"/>
        <w:rPr>
          <w:color w:val="auto"/>
          <w:szCs w:val="24"/>
          <w:highlight w:val="none"/>
        </w:rPr>
      </w:pPr>
      <w:r>
        <w:rPr>
          <w:rFonts w:hint="eastAsia"/>
          <w:color w:val="auto"/>
          <w:szCs w:val="24"/>
          <w:highlight w:val="none"/>
        </w:rPr>
        <w:t>21.列间空调系统应标准配置采用环保制冷剂R410A。不得采用R22或R407C冷媒。</w:t>
      </w:r>
    </w:p>
    <w:p>
      <w:pPr>
        <w:spacing w:line="360" w:lineRule="auto"/>
        <w:ind w:left="1440" w:leftChars="600" w:right="-180" w:rightChars="-75" w:firstLine="0"/>
        <w:rPr>
          <w:color w:val="auto"/>
          <w:szCs w:val="24"/>
          <w:highlight w:val="none"/>
        </w:rPr>
      </w:pPr>
      <w:r>
        <w:rPr>
          <w:rFonts w:hint="eastAsia"/>
          <w:color w:val="auto"/>
          <w:szCs w:val="24"/>
          <w:highlight w:val="none"/>
        </w:rPr>
        <w:t>22.机组应具备精确除湿功能，通过控制器精确调节压缩机输出和EC风机风量来达到准确控制除湿量的效果，减少空气过冷及热补偿需求，降低机房专用空调除湿过程耗电量。</w:t>
      </w:r>
    </w:p>
    <w:p>
      <w:pPr>
        <w:spacing w:line="360" w:lineRule="auto"/>
        <w:ind w:left="1440" w:leftChars="600" w:right="-180" w:rightChars="-75" w:firstLine="0"/>
        <w:rPr>
          <w:color w:val="auto"/>
          <w:szCs w:val="24"/>
          <w:highlight w:val="none"/>
        </w:rPr>
      </w:pPr>
      <w:r>
        <w:rPr>
          <w:rFonts w:hint="eastAsia"/>
          <w:color w:val="auto"/>
          <w:szCs w:val="24"/>
          <w:highlight w:val="none"/>
        </w:rPr>
        <w:t>2</w:t>
      </w:r>
      <w:r>
        <w:rPr>
          <w:color w:val="auto"/>
          <w:szCs w:val="24"/>
          <w:highlight w:val="none"/>
        </w:rPr>
        <w:t>4</w:t>
      </w:r>
      <w:r>
        <w:rPr>
          <w:rFonts w:hint="eastAsia"/>
          <w:color w:val="auto"/>
          <w:szCs w:val="24"/>
          <w:highlight w:val="none"/>
        </w:rPr>
        <w:t>. 变频涡旋压缩机接口为</w:t>
      </w:r>
      <w:bookmarkStart w:id="173" w:name="_Hlk117416272"/>
      <w:r>
        <w:rPr>
          <w:rFonts w:hint="eastAsia"/>
          <w:color w:val="auto"/>
          <w:szCs w:val="24"/>
          <w:highlight w:val="none"/>
        </w:rPr>
        <w:t>螺纹</w:t>
      </w:r>
      <w:bookmarkEnd w:id="173"/>
      <w:r>
        <w:rPr>
          <w:rFonts w:hint="eastAsia"/>
          <w:color w:val="auto"/>
          <w:szCs w:val="24"/>
          <w:highlight w:val="none"/>
        </w:rPr>
        <w:t>连接，维护压缩机无需动火，同时方便更换螺纹连接的干燥过滤器。</w:t>
      </w:r>
    </w:p>
    <w:p>
      <w:pPr>
        <w:spacing w:line="360" w:lineRule="auto"/>
        <w:ind w:left="1440" w:leftChars="600" w:right="-180" w:rightChars="-75" w:firstLine="0"/>
        <w:rPr>
          <w:color w:val="auto"/>
          <w:szCs w:val="24"/>
          <w:highlight w:val="none"/>
        </w:rPr>
      </w:pPr>
      <w:r>
        <w:rPr>
          <w:rFonts w:hint="eastAsia"/>
          <w:color w:val="auto"/>
          <w:szCs w:val="24"/>
          <w:highlight w:val="none"/>
        </w:rPr>
        <w:t>2</w:t>
      </w:r>
      <w:r>
        <w:rPr>
          <w:color w:val="auto"/>
          <w:szCs w:val="24"/>
          <w:highlight w:val="none"/>
        </w:rPr>
        <w:t>5</w:t>
      </w:r>
      <w:r>
        <w:rPr>
          <w:rFonts w:hint="eastAsia"/>
          <w:color w:val="auto"/>
          <w:szCs w:val="24"/>
          <w:highlight w:val="none"/>
        </w:rPr>
        <w:t>.应采用高效电极加湿器，要求加湿速度快，确保高效性。</w:t>
      </w:r>
    </w:p>
    <w:p>
      <w:pPr>
        <w:spacing w:line="360" w:lineRule="auto"/>
        <w:ind w:left="1440" w:leftChars="600" w:right="-180" w:rightChars="-75" w:firstLine="0"/>
        <w:rPr>
          <w:color w:val="auto"/>
          <w:szCs w:val="24"/>
          <w:highlight w:val="none"/>
        </w:rPr>
      </w:pPr>
      <w:r>
        <w:rPr>
          <w:rFonts w:hint="eastAsia"/>
          <w:color w:val="auto"/>
          <w:szCs w:val="24"/>
          <w:highlight w:val="none"/>
        </w:rPr>
        <w:t>2</w:t>
      </w:r>
      <w:r>
        <w:rPr>
          <w:color w:val="auto"/>
          <w:szCs w:val="24"/>
          <w:highlight w:val="none"/>
        </w:rPr>
        <w:t>6</w:t>
      </w:r>
      <w:r>
        <w:rPr>
          <w:rFonts w:hint="eastAsia"/>
          <w:color w:val="auto"/>
          <w:szCs w:val="24"/>
          <w:highlight w:val="none"/>
        </w:rPr>
        <w:t>.列间空调的空气洁净度：空气过滤器应符合G4标准，并便于更换。</w:t>
      </w:r>
    </w:p>
    <w:p>
      <w:pPr>
        <w:spacing w:line="360" w:lineRule="auto"/>
        <w:ind w:left="1440" w:leftChars="600" w:right="-180" w:rightChars="-75" w:firstLine="0"/>
        <w:rPr>
          <w:color w:val="auto"/>
          <w:szCs w:val="24"/>
          <w:highlight w:val="none"/>
        </w:rPr>
      </w:pPr>
      <w:r>
        <w:rPr>
          <w:rFonts w:hint="eastAsia"/>
          <w:color w:val="auto"/>
          <w:szCs w:val="24"/>
          <w:highlight w:val="none"/>
        </w:rPr>
        <w:t>2</w:t>
      </w:r>
      <w:r>
        <w:rPr>
          <w:color w:val="auto"/>
          <w:szCs w:val="24"/>
          <w:highlight w:val="none"/>
        </w:rPr>
        <w:t>7</w:t>
      </w:r>
      <w:r>
        <w:rPr>
          <w:rFonts w:hint="eastAsia"/>
          <w:color w:val="auto"/>
          <w:szCs w:val="24"/>
          <w:highlight w:val="none"/>
        </w:rPr>
        <w:t>.每台机组都应具有独立的控制系统、显示器、加热器、加湿器、独立的温湿度传感器。以保证每台机组的正常运行及高精度运行。</w:t>
      </w:r>
    </w:p>
    <w:p>
      <w:pPr>
        <w:spacing w:line="360" w:lineRule="auto"/>
        <w:ind w:left="1440" w:leftChars="600" w:right="-180" w:rightChars="-75" w:firstLine="0"/>
        <w:rPr>
          <w:color w:val="auto"/>
          <w:szCs w:val="24"/>
          <w:highlight w:val="none"/>
        </w:rPr>
      </w:pPr>
      <w:r>
        <w:rPr>
          <w:color w:val="auto"/>
          <w:szCs w:val="24"/>
          <w:highlight w:val="none"/>
        </w:rPr>
        <w:t>28</w:t>
      </w:r>
      <w:r>
        <w:rPr>
          <w:rFonts w:hint="eastAsia"/>
          <w:color w:val="auto"/>
          <w:szCs w:val="24"/>
          <w:highlight w:val="none"/>
        </w:rPr>
        <w:t>.每台机组应配置点式漏水探测器，实时监测漏水情况，具有双排水口设计，探知到漏水发生时，声光告警并自动关闭加湿系统。</w:t>
      </w:r>
    </w:p>
    <w:p>
      <w:pPr>
        <w:spacing w:line="360" w:lineRule="auto"/>
        <w:ind w:left="1440" w:leftChars="600" w:right="-180" w:rightChars="-75" w:firstLine="0"/>
        <w:rPr>
          <w:color w:val="auto"/>
          <w:szCs w:val="24"/>
          <w:highlight w:val="none"/>
        </w:rPr>
      </w:pPr>
      <w:r>
        <w:rPr>
          <w:color w:val="auto"/>
          <w:szCs w:val="24"/>
          <w:highlight w:val="none"/>
        </w:rPr>
        <w:t>29</w:t>
      </w:r>
      <w:r>
        <w:rPr>
          <w:rFonts w:hint="eastAsia"/>
          <w:color w:val="auto"/>
          <w:szCs w:val="24"/>
          <w:highlight w:val="none"/>
        </w:rPr>
        <w:t>.每台列间精密空调均内置不少于2个送风温度传感器和1个回风温湿度传感器，传感器检测温度精度应不低于</w:t>
      </w:r>
      <w:r>
        <w:rPr>
          <w:color w:val="auto"/>
          <w:szCs w:val="24"/>
          <w:highlight w:val="none"/>
        </w:rPr>
        <w:t>0.</w:t>
      </w:r>
      <w:r>
        <w:rPr>
          <w:rFonts w:hint="eastAsia"/>
          <w:color w:val="auto"/>
          <w:szCs w:val="24"/>
          <w:highlight w:val="none"/>
        </w:rPr>
        <w:t>5</w:t>
      </w:r>
      <w:r>
        <w:rPr>
          <w:color w:val="auto"/>
          <w:szCs w:val="24"/>
          <w:highlight w:val="none"/>
        </w:rPr>
        <w:t>℃，并可提供具备CNAS认证机构出具的第三方报告；</w:t>
      </w:r>
      <w:r>
        <w:rPr>
          <w:rFonts w:hint="eastAsia"/>
          <w:color w:val="auto"/>
          <w:szCs w:val="24"/>
          <w:highlight w:val="none"/>
        </w:rPr>
        <w:t>同时，每台空调可配置不少于6个外置温度传感器，放置于冷通道内各机架的进风侧，对机架进风温度进行监测；</w:t>
      </w:r>
    </w:p>
    <w:p>
      <w:pPr>
        <w:spacing w:line="360" w:lineRule="auto"/>
        <w:ind w:left="1440" w:leftChars="600" w:right="-180" w:rightChars="-75" w:firstLine="0"/>
        <w:rPr>
          <w:color w:val="auto"/>
          <w:szCs w:val="24"/>
          <w:highlight w:val="none"/>
        </w:rPr>
      </w:pPr>
      <w:r>
        <w:rPr>
          <w:rFonts w:hint="eastAsia"/>
          <w:color w:val="auto"/>
          <w:szCs w:val="24"/>
          <w:highlight w:val="none"/>
        </w:rPr>
        <w:t>3</w:t>
      </w:r>
      <w:r>
        <w:rPr>
          <w:color w:val="auto"/>
          <w:szCs w:val="24"/>
          <w:highlight w:val="none"/>
        </w:rPr>
        <w:t>0</w:t>
      </w:r>
      <w:r>
        <w:rPr>
          <w:rFonts w:hint="eastAsia"/>
          <w:color w:val="auto"/>
          <w:szCs w:val="24"/>
          <w:highlight w:val="none"/>
        </w:rPr>
        <w:t xml:space="preserve">.应具有先进的微处理控制器，应采用先进的模糊逻辑控制或PID调节技术。 </w:t>
      </w:r>
    </w:p>
    <w:p>
      <w:pPr>
        <w:spacing w:line="360" w:lineRule="auto"/>
        <w:ind w:left="1440" w:leftChars="600" w:right="-180" w:rightChars="-75" w:firstLine="0"/>
        <w:rPr>
          <w:color w:val="auto"/>
          <w:szCs w:val="24"/>
          <w:highlight w:val="none"/>
        </w:rPr>
      </w:pPr>
      <w:r>
        <w:rPr>
          <w:rFonts w:hint="eastAsia"/>
          <w:color w:val="auto"/>
          <w:szCs w:val="24"/>
          <w:highlight w:val="none"/>
        </w:rPr>
        <w:t>3</w:t>
      </w:r>
      <w:r>
        <w:rPr>
          <w:color w:val="auto"/>
          <w:szCs w:val="24"/>
          <w:highlight w:val="none"/>
        </w:rPr>
        <w:t>1</w:t>
      </w:r>
      <w:r>
        <w:rPr>
          <w:rFonts w:hint="eastAsia"/>
          <w:color w:val="auto"/>
          <w:szCs w:val="24"/>
          <w:highlight w:val="none"/>
        </w:rPr>
        <w:t>.具有不小于7寸LCD大屏幕触摸式显示器，能显示温湿度曲线，具有图形显示机组内各组件的运行状态的功能。应具有大容量的故障报警记录储存的功能，存储历史告警信息不小于1000条。</w:t>
      </w:r>
    </w:p>
    <w:p>
      <w:pPr>
        <w:spacing w:line="360" w:lineRule="auto"/>
        <w:ind w:left="1440" w:leftChars="600" w:right="-180" w:rightChars="-75" w:firstLine="0"/>
        <w:rPr>
          <w:color w:val="auto"/>
          <w:szCs w:val="24"/>
          <w:highlight w:val="none"/>
        </w:rPr>
      </w:pPr>
      <w:r>
        <w:rPr>
          <w:rFonts w:hint="eastAsia"/>
          <w:color w:val="auto"/>
          <w:szCs w:val="24"/>
          <w:highlight w:val="none"/>
        </w:rPr>
        <w:t>3</w:t>
      </w:r>
      <w:r>
        <w:rPr>
          <w:color w:val="auto"/>
          <w:szCs w:val="24"/>
          <w:highlight w:val="none"/>
        </w:rPr>
        <w:t>2</w:t>
      </w:r>
      <w:r>
        <w:rPr>
          <w:rFonts w:hint="eastAsia"/>
          <w:color w:val="auto"/>
          <w:szCs w:val="24"/>
          <w:highlight w:val="none"/>
        </w:rPr>
        <w:t>.机组应具有过压 、欠压等报警及故、障诊断，告警记录功能，自动保护，自动恢复，自动重启动等功能。 控制系统应具有多级密码保护功能。</w:t>
      </w:r>
    </w:p>
    <w:p>
      <w:pPr>
        <w:spacing w:line="360" w:lineRule="auto"/>
        <w:ind w:left="1440" w:leftChars="600" w:right="-180" w:rightChars="-75" w:firstLine="0"/>
        <w:rPr>
          <w:color w:val="auto"/>
          <w:szCs w:val="24"/>
          <w:highlight w:val="none"/>
        </w:rPr>
      </w:pPr>
      <w:r>
        <w:rPr>
          <w:rFonts w:hint="eastAsia"/>
          <w:color w:val="auto"/>
          <w:szCs w:val="24"/>
          <w:highlight w:val="none"/>
        </w:rPr>
        <w:t>3</w:t>
      </w:r>
      <w:r>
        <w:rPr>
          <w:color w:val="auto"/>
          <w:szCs w:val="24"/>
          <w:highlight w:val="none"/>
        </w:rPr>
        <w:t>3</w:t>
      </w:r>
      <w:r>
        <w:rPr>
          <w:rFonts w:hint="eastAsia"/>
          <w:color w:val="auto"/>
          <w:szCs w:val="24"/>
          <w:highlight w:val="none"/>
        </w:rPr>
        <w:t>.列间空调应具有群控功能，同一区域可以将不低于16台机组统一控制、轮巡管理。</w:t>
      </w:r>
    </w:p>
    <w:p>
      <w:pPr>
        <w:spacing w:line="360" w:lineRule="auto"/>
        <w:ind w:left="1440" w:leftChars="600" w:right="-180" w:rightChars="-75" w:firstLine="0"/>
        <w:rPr>
          <w:color w:val="auto"/>
          <w:szCs w:val="24"/>
          <w:highlight w:val="none"/>
        </w:rPr>
      </w:pPr>
      <w:r>
        <w:rPr>
          <w:rFonts w:hint="eastAsia"/>
          <w:color w:val="auto"/>
          <w:szCs w:val="24"/>
          <w:highlight w:val="none"/>
        </w:rPr>
        <w:t>包括：主备：一个或几个机组可以被定为备机，当运行的机组发生故障，备用的机组启动运行。轮巡：机组按照设定的时间轮流运行。层叠：运行机组不能满足温湿度负荷需要时，启动备用的机组以增加温湿度控制能力。需求分配：主控设备通过对所有机组的测量数据的监测，计算出群组的总控制需求，按照一定的规则下发给从控设备，作为它们控制的依据或参考。防止竞争： 避免同一机房内多台空调机组同时运行在相反的运行状态（制冷/加热，加湿/除湿），达到节能目的。</w:t>
      </w:r>
    </w:p>
    <w:p>
      <w:pPr>
        <w:spacing w:line="360" w:lineRule="auto"/>
        <w:ind w:left="1440" w:leftChars="600" w:right="-180" w:rightChars="-75" w:firstLine="0"/>
        <w:rPr>
          <w:color w:val="auto"/>
          <w:szCs w:val="24"/>
          <w:highlight w:val="none"/>
        </w:rPr>
      </w:pPr>
      <w:r>
        <w:rPr>
          <w:rFonts w:hint="eastAsia"/>
          <w:color w:val="auto"/>
          <w:szCs w:val="24"/>
          <w:highlight w:val="none"/>
        </w:rPr>
        <w:t>3</w:t>
      </w:r>
      <w:r>
        <w:rPr>
          <w:color w:val="auto"/>
          <w:szCs w:val="24"/>
          <w:highlight w:val="none"/>
        </w:rPr>
        <w:t>4</w:t>
      </w:r>
      <w:r>
        <w:rPr>
          <w:rFonts w:hint="eastAsia"/>
          <w:color w:val="auto"/>
          <w:szCs w:val="24"/>
          <w:highlight w:val="none"/>
        </w:rPr>
        <w:t>.系统应具有三遥性能：遥测项目：送风温度、回风温度、回风湿度、显示机组工作状态等；遥信项目：开/关机，电压、电流过高/低，回风温度过高/低，回风湿度过高/低，过滤器正常/堵塞，风机正常/故障，压缩机正常/故障等；遥控项目：空调开/关机</w:t>
      </w:r>
    </w:p>
    <w:p>
      <w:pPr>
        <w:spacing w:line="360" w:lineRule="auto"/>
        <w:ind w:left="1440" w:leftChars="600" w:right="-180" w:rightChars="-75" w:firstLine="0"/>
        <w:rPr>
          <w:color w:val="auto"/>
          <w:szCs w:val="24"/>
          <w:highlight w:val="none"/>
        </w:rPr>
      </w:pPr>
      <w:r>
        <w:rPr>
          <w:rFonts w:hint="eastAsia"/>
          <w:color w:val="auto"/>
          <w:szCs w:val="24"/>
          <w:highlight w:val="none"/>
        </w:rPr>
        <w:t>3</w:t>
      </w:r>
      <w:r>
        <w:rPr>
          <w:color w:val="auto"/>
          <w:szCs w:val="24"/>
          <w:highlight w:val="none"/>
        </w:rPr>
        <w:t>5</w:t>
      </w:r>
      <w:r>
        <w:rPr>
          <w:rFonts w:hint="eastAsia"/>
          <w:color w:val="auto"/>
          <w:szCs w:val="24"/>
          <w:highlight w:val="none"/>
        </w:rPr>
        <w:t>.机组应可通过外置温度传感器来计算制冷输出，并且通过可调速风机和可变冷量输出压缩机来实现冷量自动使用。</w:t>
      </w:r>
    </w:p>
    <w:p>
      <w:pPr>
        <w:spacing w:line="360" w:lineRule="auto"/>
        <w:ind w:left="1440" w:leftChars="600" w:right="-180" w:rightChars="-75" w:firstLine="0"/>
        <w:rPr>
          <w:color w:val="auto"/>
          <w:szCs w:val="24"/>
          <w:highlight w:val="none"/>
        </w:rPr>
      </w:pPr>
      <w:r>
        <w:rPr>
          <w:rFonts w:hint="eastAsia"/>
          <w:color w:val="auto"/>
          <w:szCs w:val="24"/>
          <w:highlight w:val="none"/>
        </w:rPr>
        <w:t>3</w:t>
      </w:r>
      <w:r>
        <w:rPr>
          <w:color w:val="auto"/>
          <w:szCs w:val="24"/>
          <w:highlight w:val="none"/>
        </w:rPr>
        <w:t>6</w:t>
      </w:r>
      <w:r>
        <w:rPr>
          <w:rFonts w:hint="eastAsia"/>
          <w:color w:val="auto"/>
          <w:szCs w:val="24"/>
          <w:highlight w:val="none"/>
        </w:rPr>
        <w:t>.系统应具备通信接口：标准具备RS485接口，且应具有良好的电气隔离(信号端子对地承受直流电压500V、1分钟不击穿或闪烁)；设备运行参数的设置：设备应具有智能判断功能，对于超常规的参设置（错误命令），应能自动拒绝。</w:t>
      </w:r>
    </w:p>
    <w:p>
      <w:pPr>
        <w:spacing w:line="360" w:lineRule="auto"/>
        <w:ind w:left="1440" w:leftChars="600" w:right="-180" w:rightChars="-75" w:firstLine="0"/>
        <w:rPr>
          <w:color w:val="auto"/>
          <w:szCs w:val="24"/>
          <w:highlight w:val="none"/>
        </w:rPr>
      </w:pPr>
      <w:r>
        <w:rPr>
          <w:rFonts w:hint="eastAsia"/>
          <w:color w:val="auto"/>
          <w:szCs w:val="24"/>
          <w:highlight w:val="none"/>
        </w:rPr>
        <w:t>3</w:t>
      </w:r>
      <w:r>
        <w:rPr>
          <w:color w:val="auto"/>
          <w:szCs w:val="24"/>
          <w:highlight w:val="none"/>
        </w:rPr>
        <w:t>7</w:t>
      </w:r>
      <w:r>
        <w:rPr>
          <w:rFonts w:hint="eastAsia"/>
          <w:color w:val="auto"/>
          <w:szCs w:val="24"/>
          <w:highlight w:val="none"/>
        </w:rPr>
        <w:t>.准确度</w:t>
      </w:r>
    </w:p>
    <w:p>
      <w:pPr>
        <w:spacing w:line="360" w:lineRule="auto"/>
        <w:ind w:left="1440" w:leftChars="600" w:right="-180" w:rightChars="-75" w:firstLine="0"/>
        <w:rPr>
          <w:color w:val="auto"/>
          <w:szCs w:val="24"/>
          <w:highlight w:val="none"/>
        </w:rPr>
      </w:pPr>
      <w:r>
        <w:rPr>
          <w:rFonts w:hint="eastAsia"/>
          <w:color w:val="auto"/>
          <w:szCs w:val="24"/>
          <w:highlight w:val="none"/>
        </w:rPr>
        <w:t>对三遥量：开关量和控制操作准确度应达到 100%；模拟量精确度应达到    交流电量误差≤2%；非电量误差 ≤5%；设备显示面板或表头显示值应与从通信接口读出的三遥量值保持一致。</w:t>
      </w:r>
    </w:p>
    <w:p>
      <w:pPr>
        <w:spacing w:line="360" w:lineRule="auto"/>
        <w:ind w:left="1440" w:leftChars="600" w:right="-180" w:rightChars="-75" w:firstLine="0"/>
        <w:rPr>
          <w:color w:val="auto"/>
          <w:szCs w:val="24"/>
          <w:highlight w:val="none"/>
        </w:rPr>
      </w:pPr>
      <w:r>
        <w:rPr>
          <w:color w:val="auto"/>
          <w:szCs w:val="24"/>
          <w:highlight w:val="none"/>
        </w:rPr>
        <w:t>38</w:t>
      </w:r>
      <w:r>
        <w:rPr>
          <w:rFonts w:hint="eastAsia"/>
          <w:color w:val="auto"/>
          <w:szCs w:val="24"/>
          <w:highlight w:val="none"/>
        </w:rPr>
        <w:t>.机房专用空调机组采用风冷的冷却方式，室外机采用V型盘管的集中式冷凝器，散热效果好，为尽可能节约占地面积，冷凝器采用独立双系统，占地面积≤3平米；需提供室外机样图和用户手册。</w:t>
      </w:r>
      <w:r>
        <w:rPr>
          <w:color w:val="auto"/>
          <w:szCs w:val="24"/>
          <w:highlight w:val="none"/>
        </w:rPr>
        <w:t xml:space="preserve"> </w:t>
      </w:r>
    </w:p>
    <w:p>
      <w:pPr>
        <w:spacing w:line="360" w:lineRule="auto"/>
        <w:ind w:left="1440" w:leftChars="600" w:right="-180" w:rightChars="-75" w:firstLine="0"/>
        <w:rPr>
          <w:color w:val="auto"/>
          <w:szCs w:val="24"/>
          <w:highlight w:val="none"/>
        </w:rPr>
      </w:pPr>
      <w:r>
        <w:rPr>
          <w:color w:val="auto"/>
          <w:szCs w:val="24"/>
          <w:highlight w:val="none"/>
        </w:rPr>
        <w:t>39</w:t>
      </w:r>
      <w:r>
        <w:rPr>
          <w:rFonts w:hint="eastAsia"/>
          <w:color w:val="auto"/>
          <w:szCs w:val="24"/>
          <w:highlight w:val="none"/>
        </w:rPr>
        <w:t>.机房专用空调机组的风冷型室外机变频调速，可根据环境温度自动调节风机转速，具有多种节能模式；</w:t>
      </w:r>
    </w:p>
    <w:p>
      <w:pPr>
        <w:spacing w:line="360" w:lineRule="auto"/>
        <w:ind w:left="1440" w:leftChars="600" w:right="-180" w:rightChars="-75" w:firstLine="0"/>
        <w:rPr>
          <w:color w:val="auto"/>
          <w:szCs w:val="24"/>
          <w:highlight w:val="none"/>
        </w:rPr>
      </w:pPr>
      <w:r>
        <w:rPr>
          <w:rFonts w:hint="eastAsia"/>
          <w:color w:val="auto"/>
          <w:szCs w:val="24"/>
          <w:highlight w:val="none"/>
        </w:rPr>
        <w:t>4</w:t>
      </w:r>
      <w:r>
        <w:rPr>
          <w:color w:val="auto"/>
          <w:szCs w:val="24"/>
          <w:highlight w:val="none"/>
        </w:rPr>
        <w:t>0</w:t>
      </w:r>
      <w:r>
        <w:rPr>
          <w:rFonts w:hint="eastAsia"/>
          <w:color w:val="auto"/>
          <w:szCs w:val="24"/>
          <w:highlight w:val="none"/>
        </w:rPr>
        <w:t>.</w:t>
      </w:r>
      <w:r>
        <w:rPr>
          <w:rFonts w:hint="eastAsia"/>
          <w:b/>
          <w:bCs/>
          <w:color w:val="auto"/>
          <w:szCs w:val="24"/>
          <w:highlight w:val="none"/>
        </w:rPr>
        <w:t>室外机噪音小于等于</w:t>
      </w:r>
      <w:r>
        <w:rPr>
          <w:rFonts w:hint="eastAsia"/>
          <w:b/>
          <w:bCs/>
          <w:color w:val="auto"/>
          <w:szCs w:val="24"/>
          <w:highlight w:val="none"/>
          <w:lang w:val="en-US" w:eastAsia="zh-CN"/>
        </w:rPr>
        <w:t>5</w:t>
      </w:r>
      <w:r>
        <w:rPr>
          <w:rFonts w:hint="eastAsia"/>
          <w:b/>
          <w:bCs/>
          <w:color w:val="auto"/>
          <w:szCs w:val="24"/>
          <w:highlight w:val="none"/>
        </w:rPr>
        <w:t>5dB(A)</w:t>
      </w:r>
      <w:r>
        <w:rPr>
          <w:rFonts w:hint="eastAsia"/>
          <w:b/>
          <w:bCs/>
          <w:color w:val="auto"/>
          <w:szCs w:val="24"/>
          <w:highlight w:val="none"/>
          <w:lang w:eastAsia="zh-CN"/>
        </w:rPr>
        <w:t>，</w:t>
      </w:r>
      <w:r>
        <w:rPr>
          <w:rFonts w:hint="eastAsia"/>
          <w:b/>
          <w:bCs/>
          <w:color w:val="auto"/>
          <w:szCs w:val="24"/>
          <w:highlight w:val="none"/>
          <w:lang w:val="en-US" w:eastAsia="zh-CN"/>
        </w:rPr>
        <w:t>室外机噪音需满足《中华人民共和国环境噪声污染防治法》的要求</w:t>
      </w:r>
      <w:r>
        <w:rPr>
          <w:rFonts w:hint="eastAsia"/>
          <w:b/>
          <w:bCs/>
          <w:color w:val="auto"/>
          <w:szCs w:val="24"/>
          <w:highlight w:val="none"/>
        </w:rPr>
        <w:t>，</w:t>
      </w:r>
      <w:r>
        <w:rPr>
          <w:rFonts w:hint="eastAsia"/>
          <w:b/>
          <w:bCs/>
          <w:color w:val="auto"/>
          <w:szCs w:val="24"/>
          <w:highlight w:val="none"/>
          <w:lang w:val="en-US" w:eastAsia="zh-CN"/>
        </w:rPr>
        <w:t>安装调试完成后需进行现场设备噪声实测</w:t>
      </w:r>
      <w:r>
        <w:rPr>
          <w:rFonts w:hint="eastAsia"/>
          <w:b/>
          <w:bCs/>
          <w:color w:val="auto"/>
          <w:szCs w:val="24"/>
          <w:highlight w:val="none"/>
        </w:rPr>
        <w:t>；</w:t>
      </w:r>
    </w:p>
    <w:p>
      <w:pPr>
        <w:spacing w:line="360" w:lineRule="auto"/>
        <w:ind w:left="1440" w:leftChars="600" w:right="-180" w:rightChars="-75" w:firstLine="0"/>
        <w:rPr>
          <w:color w:val="auto"/>
          <w:szCs w:val="24"/>
          <w:highlight w:val="none"/>
        </w:rPr>
      </w:pPr>
      <w:r>
        <w:rPr>
          <w:rFonts w:hint="eastAsia"/>
          <w:color w:val="auto"/>
          <w:szCs w:val="24"/>
          <w:highlight w:val="none"/>
        </w:rPr>
        <w:t>4</w:t>
      </w:r>
      <w:r>
        <w:rPr>
          <w:color w:val="auto"/>
          <w:szCs w:val="24"/>
          <w:highlight w:val="none"/>
        </w:rPr>
        <w:t>1</w:t>
      </w:r>
      <w:r>
        <w:rPr>
          <w:rFonts w:hint="eastAsia"/>
          <w:color w:val="auto"/>
          <w:szCs w:val="24"/>
          <w:highlight w:val="none"/>
        </w:rPr>
        <w:t>.集中式冷凝器配置D级以上防雷器。</w:t>
      </w:r>
    </w:p>
    <w:p>
      <w:pPr>
        <w:spacing w:line="360" w:lineRule="auto"/>
        <w:ind w:left="1440" w:leftChars="600" w:right="-180" w:rightChars="-75" w:firstLine="0"/>
        <w:rPr>
          <w:color w:val="auto"/>
          <w:szCs w:val="24"/>
          <w:highlight w:val="none"/>
        </w:rPr>
      </w:pPr>
      <w:r>
        <w:rPr>
          <w:rFonts w:hint="eastAsia"/>
          <w:color w:val="auto"/>
          <w:szCs w:val="24"/>
          <w:highlight w:val="none"/>
        </w:rPr>
        <w:t>4</w:t>
      </w:r>
      <w:r>
        <w:rPr>
          <w:color w:val="auto"/>
          <w:szCs w:val="24"/>
          <w:highlight w:val="none"/>
        </w:rPr>
        <w:t>2</w:t>
      </w:r>
      <w:r>
        <w:rPr>
          <w:rFonts w:hint="eastAsia"/>
          <w:color w:val="auto"/>
          <w:szCs w:val="24"/>
          <w:highlight w:val="none"/>
        </w:rPr>
        <w:t>.集中式冷凝器需具备完全独立的模块化结构，每个</w:t>
      </w:r>
      <w:bookmarkStart w:id="452" w:name="_GoBack"/>
      <w:bookmarkEnd w:id="452"/>
      <w:r>
        <w:rPr>
          <w:rFonts w:hint="eastAsia"/>
          <w:color w:val="auto"/>
          <w:szCs w:val="24"/>
          <w:highlight w:val="none"/>
        </w:rPr>
        <w:t>制冷系统具有独立的风机、冷凝器、控制器、变频调速器，实现完全的独立，提高系统可靠性。</w:t>
      </w:r>
    </w:p>
    <w:p>
      <w:pPr>
        <w:spacing w:line="360" w:lineRule="auto"/>
        <w:ind w:left="1440" w:leftChars="600" w:right="-180" w:rightChars="-75" w:firstLine="0"/>
        <w:rPr>
          <w:color w:val="auto"/>
          <w:szCs w:val="24"/>
          <w:highlight w:val="none"/>
        </w:rPr>
      </w:pPr>
      <w:r>
        <w:rPr>
          <w:rFonts w:hint="eastAsia"/>
          <w:color w:val="auto"/>
          <w:szCs w:val="24"/>
          <w:highlight w:val="none"/>
        </w:rPr>
        <w:t>4</w:t>
      </w:r>
      <w:r>
        <w:rPr>
          <w:color w:val="auto"/>
          <w:szCs w:val="24"/>
          <w:highlight w:val="none"/>
        </w:rPr>
        <w:t>3</w:t>
      </w:r>
      <w:r>
        <w:rPr>
          <w:rFonts w:hint="eastAsia"/>
          <w:color w:val="auto"/>
          <w:szCs w:val="24"/>
          <w:highlight w:val="none"/>
        </w:rPr>
        <w:t>.机房专用空调机组的风冷冷凝器的风机电机、风机调速器、压力控制器等应有良好的防水性能。</w:t>
      </w:r>
    </w:p>
    <w:p>
      <w:pPr>
        <w:spacing w:line="360" w:lineRule="auto"/>
        <w:ind w:left="1440" w:leftChars="600" w:right="-180" w:rightChars="-75" w:firstLine="0"/>
        <w:rPr>
          <w:color w:val="auto"/>
          <w:szCs w:val="24"/>
          <w:highlight w:val="none"/>
        </w:rPr>
      </w:pPr>
      <w:r>
        <w:rPr>
          <w:rFonts w:hint="eastAsia"/>
          <w:color w:val="auto"/>
          <w:szCs w:val="24"/>
          <w:highlight w:val="none"/>
        </w:rPr>
        <w:t>4</w:t>
      </w:r>
      <w:r>
        <w:rPr>
          <w:color w:val="auto"/>
          <w:szCs w:val="24"/>
          <w:highlight w:val="none"/>
        </w:rPr>
        <w:t>4</w:t>
      </w:r>
      <w:r>
        <w:rPr>
          <w:rFonts w:hint="eastAsia"/>
          <w:color w:val="auto"/>
          <w:szCs w:val="24"/>
          <w:highlight w:val="none"/>
        </w:rPr>
        <w:t>.投标方所提供设备的生产制造厂商必须通过IS09001系列质量体系认证、ISO14001环境体系认证、ISO45001职业健康及安全认证、ISO27001信息安全体系认证和ISO50001能源管理体系认证，并提供相应的证书资料。</w:t>
      </w:r>
    </w:p>
    <w:p>
      <w:pPr>
        <w:spacing w:line="360" w:lineRule="auto"/>
        <w:ind w:left="1440" w:leftChars="600" w:right="-180" w:rightChars="-75" w:firstLine="0"/>
        <w:rPr>
          <w:rFonts w:hint="eastAsia"/>
          <w:color w:val="auto"/>
          <w:szCs w:val="24"/>
          <w:highlight w:val="none"/>
        </w:rPr>
      </w:pPr>
      <w:r>
        <w:rPr>
          <w:rFonts w:hint="eastAsia"/>
          <w:color w:val="auto"/>
          <w:szCs w:val="24"/>
          <w:highlight w:val="none"/>
        </w:rPr>
        <w:t>4</w:t>
      </w:r>
      <w:r>
        <w:rPr>
          <w:color w:val="auto"/>
          <w:szCs w:val="24"/>
          <w:highlight w:val="none"/>
        </w:rPr>
        <w:t>5</w:t>
      </w:r>
      <w:r>
        <w:rPr>
          <w:rFonts w:hint="eastAsia"/>
          <w:color w:val="auto"/>
          <w:szCs w:val="24"/>
          <w:highlight w:val="none"/>
        </w:rPr>
        <w:t>.投标方所提供设备的生产制造厂商必须具有由“中国合格评定国家认可委员会”颁发的实验室CNAS认证证书。实验室测试资质必须包含《GB/T 19413-2010计算机和数据处理机房用单元式空气调节机》的测试资质，冷量段测试范围到4</w:t>
      </w:r>
      <w:r>
        <w:rPr>
          <w:color w:val="auto"/>
          <w:szCs w:val="24"/>
          <w:highlight w:val="none"/>
        </w:rPr>
        <w:t>00KW</w:t>
      </w:r>
      <w:r>
        <w:rPr>
          <w:rFonts w:hint="eastAsia"/>
          <w:color w:val="auto"/>
          <w:szCs w:val="24"/>
          <w:highlight w:val="none"/>
        </w:rPr>
        <w:t>以上。</w:t>
      </w:r>
    </w:p>
    <w:p>
      <w:pPr>
        <w:spacing w:line="360" w:lineRule="auto"/>
        <w:ind w:left="1440" w:leftChars="600" w:right="-180" w:rightChars="-75" w:firstLine="0"/>
        <w:rPr>
          <w:rFonts w:hint="default" w:eastAsia="宋体"/>
          <w:color w:val="auto"/>
          <w:szCs w:val="24"/>
          <w:highlight w:val="none"/>
          <w:lang w:val="en-US" w:eastAsia="zh-CN"/>
        </w:rPr>
      </w:pPr>
      <w:r>
        <w:rPr>
          <w:rFonts w:hint="eastAsia"/>
          <w:color w:val="auto"/>
          <w:szCs w:val="24"/>
          <w:highlight w:val="none"/>
          <w:lang w:val="en-US" w:eastAsia="zh-CN"/>
        </w:rPr>
        <w:t>46.投标方所提供设备的生产制造厂家需具有全国性售后服务体系证明，响应时间不高于15min，到达现场时间不高于120min，配件更换时间不大于12小时</w:t>
      </w:r>
    </w:p>
    <w:p>
      <w:pPr>
        <w:pStyle w:val="7"/>
        <w:ind w:left="1134" w:right="-180" w:rightChars="-75" w:hanging="708"/>
        <w:rPr>
          <w:rFonts w:ascii="宋体" w:hAnsi="宋体" w:eastAsia="宋体" w:cs="宋体"/>
          <w:b w:val="0"/>
          <w:bCs w:val="0"/>
          <w:color w:val="auto"/>
          <w:highlight w:val="none"/>
        </w:rPr>
      </w:pPr>
      <w:r>
        <w:rPr>
          <w:rFonts w:hint="eastAsia" w:ascii="宋体" w:hAnsi="宋体" w:eastAsia="宋体" w:cs="宋体"/>
          <w:b w:val="0"/>
          <w:bCs w:val="0"/>
          <w:color w:val="auto"/>
          <w:highlight w:val="none"/>
        </w:rPr>
        <w:t>2）供配电室精密空调技术要求</w:t>
      </w:r>
    </w:p>
    <w:p>
      <w:pPr>
        <w:spacing w:line="360" w:lineRule="auto"/>
        <w:ind w:left="1434" w:right="-180" w:rightChars="-75" w:firstLine="6"/>
        <w:rPr>
          <w:color w:val="auto"/>
          <w:szCs w:val="24"/>
          <w:highlight w:val="none"/>
        </w:rPr>
      </w:pPr>
      <w:r>
        <w:rPr>
          <w:rFonts w:hint="eastAsia"/>
          <w:color w:val="auto"/>
          <w:szCs w:val="24"/>
          <w:highlight w:val="none"/>
        </w:rPr>
        <w:t>1.制冷量≥</w:t>
      </w:r>
      <w:r>
        <w:rPr>
          <w:color w:val="auto"/>
          <w:szCs w:val="24"/>
          <w:highlight w:val="none"/>
        </w:rPr>
        <w:t>48</w:t>
      </w:r>
      <w:r>
        <w:rPr>
          <w:rFonts w:hint="eastAsia"/>
          <w:color w:val="auto"/>
          <w:szCs w:val="24"/>
          <w:highlight w:val="none"/>
        </w:rPr>
        <w:t>KW，显冷量≥45.5KW，显热比≥90%；</w:t>
      </w:r>
    </w:p>
    <w:p>
      <w:pPr>
        <w:spacing w:line="360" w:lineRule="auto"/>
        <w:ind w:left="1434" w:right="-180" w:rightChars="-75" w:firstLine="6"/>
        <w:rPr>
          <w:color w:val="auto"/>
          <w:szCs w:val="24"/>
          <w:highlight w:val="none"/>
        </w:rPr>
      </w:pPr>
      <w:r>
        <w:rPr>
          <w:rFonts w:hint="eastAsia"/>
          <w:color w:val="auto"/>
          <w:szCs w:val="24"/>
          <w:highlight w:val="none"/>
          <w:lang w:val="en-US" w:eastAsia="zh-CN"/>
        </w:rPr>
        <w:t>2</w:t>
      </w:r>
      <w:r>
        <w:rPr>
          <w:rFonts w:hint="eastAsia"/>
          <w:color w:val="auto"/>
          <w:szCs w:val="24"/>
          <w:highlight w:val="none"/>
        </w:rPr>
        <w:t>.风量≥1</w:t>
      </w:r>
      <w:r>
        <w:rPr>
          <w:color w:val="auto"/>
          <w:szCs w:val="24"/>
          <w:highlight w:val="none"/>
        </w:rPr>
        <w:t>4</w:t>
      </w:r>
      <w:r>
        <w:rPr>
          <w:rFonts w:hint="eastAsia"/>
          <w:color w:val="auto"/>
          <w:szCs w:val="24"/>
          <w:highlight w:val="none"/>
        </w:rPr>
        <w:t>500m</w:t>
      </w:r>
      <w:r>
        <w:rPr>
          <w:rFonts w:hint="eastAsia"/>
          <w:color w:val="auto"/>
          <w:szCs w:val="24"/>
          <w:highlight w:val="none"/>
          <w:vertAlign w:val="superscript"/>
        </w:rPr>
        <w:t>3</w:t>
      </w:r>
      <w:r>
        <w:rPr>
          <w:rFonts w:hint="eastAsia"/>
          <w:color w:val="auto"/>
          <w:szCs w:val="24"/>
          <w:highlight w:val="none"/>
        </w:rPr>
        <w:t>/h，加湿量≥4</w:t>
      </w:r>
      <w:r>
        <w:rPr>
          <w:color w:val="auto"/>
          <w:szCs w:val="24"/>
          <w:highlight w:val="none"/>
        </w:rPr>
        <w:t>.5</w:t>
      </w:r>
      <w:r>
        <w:rPr>
          <w:rFonts w:hint="eastAsia"/>
          <w:color w:val="auto"/>
          <w:szCs w:val="24"/>
          <w:highlight w:val="none"/>
        </w:rPr>
        <w:t>kg/h，加热量≥</w:t>
      </w:r>
      <w:r>
        <w:rPr>
          <w:rFonts w:hint="eastAsia"/>
          <w:color w:val="auto"/>
          <w:szCs w:val="24"/>
          <w:highlight w:val="none"/>
          <w:lang w:val="en-US" w:eastAsia="zh-CN"/>
        </w:rPr>
        <w:t>6</w:t>
      </w:r>
      <w:r>
        <w:rPr>
          <w:rFonts w:hint="eastAsia"/>
          <w:color w:val="auto"/>
          <w:szCs w:val="24"/>
          <w:highlight w:val="none"/>
        </w:rPr>
        <w:t>KW</w:t>
      </w:r>
    </w:p>
    <w:p>
      <w:pPr>
        <w:spacing w:line="360" w:lineRule="auto"/>
        <w:ind w:left="1434" w:right="-180" w:rightChars="-75" w:firstLine="6"/>
        <w:rPr>
          <w:color w:val="auto"/>
          <w:szCs w:val="24"/>
          <w:highlight w:val="none"/>
        </w:rPr>
      </w:pPr>
      <w:r>
        <w:rPr>
          <w:rFonts w:hint="eastAsia"/>
          <w:color w:val="auto"/>
          <w:szCs w:val="24"/>
          <w:highlight w:val="none"/>
          <w:lang w:val="en-US" w:eastAsia="zh-CN"/>
        </w:rPr>
        <w:t>3</w:t>
      </w:r>
      <w:r>
        <w:rPr>
          <w:rFonts w:hint="eastAsia"/>
          <w:color w:val="auto"/>
          <w:szCs w:val="24"/>
          <w:highlight w:val="none"/>
        </w:rPr>
        <w:t>.室内机尺寸（宽×深×高）≤1150×1000×2000mm；</w:t>
      </w:r>
    </w:p>
    <w:p>
      <w:pPr>
        <w:spacing w:line="360" w:lineRule="auto"/>
        <w:ind w:left="1434" w:right="-180" w:rightChars="-75" w:firstLine="6"/>
        <w:rPr>
          <w:color w:val="auto"/>
          <w:szCs w:val="24"/>
          <w:highlight w:val="none"/>
        </w:rPr>
      </w:pPr>
      <w:r>
        <w:rPr>
          <w:rFonts w:hint="eastAsia"/>
          <w:color w:val="auto"/>
          <w:szCs w:val="24"/>
          <w:highlight w:val="none"/>
          <w:lang w:val="en-US" w:eastAsia="zh-CN"/>
        </w:rPr>
        <w:t>4</w:t>
      </w:r>
      <w:r>
        <w:rPr>
          <w:rFonts w:hint="eastAsia"/>
          <w:color w:val="auto"/>
          <w:szCs w:val="24"/>
          <w:highlight w:val="none"/>
        </w:rPr>
        <w:t>.外观工艺、检查：机柜表面喷涂均匀、无破损；信号灯、开关、测量显示装置布局合理。</w:t>
      </w:r>
    </w:p>
    <w:p>
      <w:pPr>
        <w:spacing w:line="360" w:lineRule="auto"/>
        <w:ind w:left="1434" w:right="-180" w:rightChars="-75" w:firstLine="6"/>
        <w:rPr>
          <w:color w:val="auto"/>
          <w:szCs w:val="24"/>
          <w:highlight w:val="none"/>
        </w:rPr>
      </w:pPr>
      <w:r>
        <w:rPr>
          <w:rFonts w:hint="eastAsia"/>
          <w:color w:val="auto"/>
          <w:szCs w:val="24"/>
          <w:highlight w:val="none"/>
          <w:lang w:val="en-US" w:eastAsia="zh-CN"/>
        </w:rPr>
        <w:t>5</w:t>
      </w:r>
      <w:r>
        <w:rPr>
          <w:rFonts w:hint="eastAsia"/>
          <w:color w:val="auto"/>
          <w:szCs w:val="24"/>
          <w:highlight w:val="none"/>
        </w:rPr>
        <w:t>.操作及维修安全、方便。</w:t>
      </w:r>
    </w:p>
    <w:p>
      <w:pPr>
        <w:spacing w:line="360" w:lineRule="auto"/>
        <w:ind w:left="1434" w:right="-180" w:rightChars="-75" w:firstLine="6"/>
        <w:rPr>
          <w:color w:val="auto"/>
          <w:szCs w:val="24"/>
          <w:highlight w:val="none"/>
        </w:rPr>
      </w:pPr>
      <w:r>
        <w:rPr>
          <w:rFonts w:hint="eastAsia"/>
          <w:color w:val="auto"/>
          <w:szCs w:val="24"/>
          <w:highlight w:val="none"/>
          <w:lang w:val="en-US" w:eastAsia="zh-CN"/>
        </w:rPr>
        <w:t>6</w:t>
      </w:r>
      <w:r>
        <w:rPr>
          <w:rFonts w:hint="eastAsia"/>
          <w:color w:val="auto"/>
          <w:szCs w:val="24"/>
          <w:highlight w:val="none"/>
        </w:rPr>
        <w:t>.结构工艺：部件排列合理、整齐；导线颜色和截面合理，布放平整；接插件牢固；进出线符合工程需要；具备抗震措施。</w:t>
      </w:r>
    </w:p>
    <w:p>
      <w:pPr>
        <w:spacing w:line="360" w:lineRule="auto"/>
        <w:ind w:left="1434" w:right="-180" w:rightChars="-75" w:firstLine="6"/>
        <w:rPr>
          <w:color w:val="auto"/>
          <w:szCs w:val="24"/>
          <w:highlight w:val="none"/>
        </w:rPr>
      </w:pPr>
      <w:r>
        <w:rPr>
          <w:rFonts w:hint="eastAsia"/>
          <w:color w:val="auto"/>
          <w:szCs w:val="24"/>
          <w:highlight w:val="none"/>
          <w:lang w:val="en-US" w:eastAsia="zh-CN"/>
        </w:rPr>
        <w:t>7</w:t>
      </w:r>
      <w:r>
        <w:rPr>
          <w:rFonts w:hint="eastAsia"/>
          <w:color w:val="auto"/>
          <w:szCs w:val="24"/>
          <w:highlight w:val="none"/>
        </w:rPr>
        <w:t>.标牌、标记：应平整清晰。</w:t>
      </w:r>
    </w:p>
    <w:p>
      <w:pPr>
        <w:spacing w:line="360" w:lineRule="auto"/>
        <w:ind w:left="1434" w:right="-180" w:rightChars="-75" w:firstLine="6"/>
        <w:rPr>
          <w:color w:val="auto"/>
          <w:szCs w:val="24"/>
          <w:highlight w:val="none"/>
        </w:rPr>
      </w:pPr>
      <w:r>
        <w:rPr>
          <w:rFonts w:hint="eastAsia"/>
          <w:color w:val="auto"/>
          <w:szCs w:val="24"/>
          <w:highlight w:val="none"/>
          <w:lang w:val="en-US" w:eastAsia="zh-CN"/>
        </w:rPr>
        <w:t>8</w:t>
      </w:r>
      <w:r>
        <w:rPr>
          <w:rFonts w:hint="eastAsia"/>
          <w:color w:val="auto"/>
          <w:szCs w:val="24"/>
          <w:highlight w:val="none"/>
        </w:rPr>
        <w:t>.机房精密空调机组的电气性能应符合IEC标准</w:t>
      </w:r>
    </w:p>
    <w:p>
      <w:pPr>
        <w:spacing w:line="360" w:lineRule="auto"/>
        <w:ind w:left="1434" w:right="-180" w:rightChars="-75" w:firstLine="6"/>
        <w:rPr>
          <w:color w:val="auto"/>
          <w:szCs w:val="24"/>
          <w:highlight w:val="none"/>
        </w:rPr>
      </w:pPr>
      <w:r>
        <w:rPr>
          <w:rFonts w:hint="eastAsia"/>
          <w:color w:val="auto"/>
          <w:szCs w:val="24"/>
          <w:highlight w:val="none"/>
          <w:lang w:val="en-US" w:eastAsia="zh-CN"/>
        </w:rPr>
        <w:t>9</w:t>
      </w:r>
      <w:r>
        <w:rPr>
          <w:rFonts w:hint="eastAsia"/>
          <w:color w:val="auto"/>
          <w:szCs w:val="24"/>
          <w:highlight w:val="none"/>
        </w:rPr>
        <w:t>.输入电压允许波动范围：220/380V +15% ~ -10%</w:t>
      </w:r>
    </w:p>
    <w:p>
      <w:pPr>
        <w:spacing w:line="360" w:lineRule="auto"/>
        <w:ind w:left="1434" w:right="-180" w:rightChars="-75" w:firstLine="6"/>
        <w:rPr>
          <w:color w:val="auto"/>
          <w:szCs w:val="24"/>
          <w:highlight w:val="none"/>
        </w:rPr>
      </w:pPr>
      <w:r>
        <w:rPr>
          <w:rFonts w:hint="eastAsia"/>
          <w:color w:val="auto"/>
          <w:szCs w:val="24"/>
          <w:highlight w:val="none"/>
        </w:rPr>
        <w:t>1</w:t>
      </w:r>
      <w:r>
        <w:rPr>
          <w:rFonts w:hint="eastAsia"/>
          <w:color w:val="auto"/>
          <w:szCs w:val="24"/>
          <w:highlight w:val="none"/>
          <w:lang w:val="en-US" w:eastAsia="zh-CN"/>
        </w:rPr>
        <w:t>0</w:t>
      </w:r>
      <w:r>
        <w:rPr>
          <w:rFonts w:hint="eastAsia"/>
          <w:color w:val="auto"/>
          <w:szCs w:val="24"/>
          <w:highlight w:val="none"/>
        </w:rPr>
        <w:t xml:space="preserve">.频率：50HZ ± 2HZ </w:t>
      </w:r>
    </w:p>
    <w:p>
      <w:pPr>
        <w:spacing w:line="360" w:lineRule="auto"/>
        <w:ind w:left="1434" w:right="-180" w:rightChars="-75" w:firstLine="6"/>
        <w:rPr>
          <w:color w:val="auto"/>
          <w:szCs w:val="24"/>
          <w:highlight w:val="none"/>
        </w:rPr>
      </w:pPr>
      <w:r>
        <w:rPr>
          <w:rFonts w:hint="eastAsia"/>
          <w:color w:val="auto"/>
          <w:szCs w:val="24"/>
          <w:highlight w:val="none"/>
        </w:rPr>
        <w:t>1</w:t>
      </w:r>
      <w:r>
        <w:rPr>
          <w:rFonts w:hint="eastAsia"/>
          <w:color w:val="auto"/>
          <w:szCs w:val="24"/>
          <w:highlight w:val="none"/>
          <w:lang w:val="en-US" w:eastAsia="zh-CN"/>
        </w:rPr>
        <w:t>1</w:t>
      </w:r>
      <w:r>
        <w:rPr>
          <w:rFonts w:hint="eastAsia"/>
          <w:color w:val="auto"/>
          <w:szCs w:val="24"/>
          <w:highlight w:val="none"/>
        </w:rPr>
        <w:t>.温度：室内：0℃~ 40℃；0℃～40℃；室外：－15℃～＋45℃（低温型-34℃~45℃）。</w:t>
      </w:r>
    </w:p>
    <w:p>
      <w:pPr>
        <w:spacing w:line="360" w:lineRule="auto"/>
        <w:ind w:left="1434" w:right="-180" w:rightChars="-75" w:firstLine="6"/>
        <w:rPr>
          <w:color w:val="auto"/>
          <w:szCs w:val="24"/>
          <w:highlight w:val="none"/>
        </w:rPr>
      </w:pPr>
      <w:r>
        <w:rPr>
          <w:rFonts w:hint="eastAsia"/>
          <w:color w:val="auto"/>
          <w:szCs w:val="24"/>
          <w:highlight w:val="none"/>
        </w:rPr>
        <w:t>1</w:t>
      </w:r>
      <w:r>
        <w:rPr>
          <w:rFonts w:hint="eastAsia"/>
          <w:color w:val="auto"/>
          <w:szCs w:val="24"/>
          <w:highlight w:val="none"/>
          <w:lang w:val="en-US" w:eastAsia="zh-CN"/>
        </w:rPr>
        <w:t>2</w:t>
      </w:r>
      <w:r>
        <w:rPr>
          <w:rFonts w:hint="eastAsia"/>
          <w:color w:val="auto"/>
          <w:szCs w:val="24"/>
          <w:highlight w:val="none"/>
        </w:rPr>
        <w:t>.湿度：≤95%RH</w:t>
      </w:r>
    </w:p>
    <w:p>
      <w:pPr>
        <w:spacing w:line="360" w:lineRule="auto"/>
        <w:ind w:left="1434" w:right="-180" w:rightChars="-75" w:firstLine="6"/>
        <w:rPr>
          <w:color w:val="auto"/>
          <w:szCs w:val="24"/>
          <w:highlight w:val="none"/>
        </w:rPr>
      </w:pPr>
      <w:r>
        <w:rPr>
          <w:rFonts w:hint="eastAsia"/>
          <w:color w:val="auto"/>
          <w:szCs w:val="24"/>
          <w:highlight w:val="none"/>
        </w:rPr>
        <w:t>1</w:t>
      </w:r>
      <w:r>
        <w:rPr>
          <w:rFonts w:hint="eastAsia"/>
          <w:color w:val="auto"/>
          <w:szCs w:val="24"/>
          <w:highlight w:val="none"/>
          <w:lang w:val="en-US" w:eastAsia="zh-CN"/>
        </w:rPr>
        <w:t>3</w:t>
      </w:r>
      <w:r>
        <w:rPr>
          <w:rFonts w:hint="eastAsia"/>
          <w:color w:val="auto"/>
          <w:szCs w:val="24"/>
          <w:highlight w:val="none"/>
        </w:rPr>
        <w:t>.机房精密空调应能按要求自动调节室内温、湿度，具有制冷、加热、加湿、除湿等功能。</w:t>
      </w:r>
    </w:p>
    <w:p>
      <w:pPr>
        <w:spacing w:line="360" w:lineRule="auto"/>
        <w:ind w:left="1434" w:right="-180" w:rightChars="-75" w:firstLine="6"/>
        <w:rPr>
          <w:color w:val="auto"/>
          <w:szCs w:val="24"/>
          <w:highlight w:val="none"/>
        </w:rPr>
      </w:pPr>
      <w:r>
        <w:rPr>
          <w:rFonts w:hint="eastAsia"/>
          <w:color w:val="auto"/>
          <w:szCs w:val="24"/>
          <w:highlight w:val="none"/>
        </w:rPr>
        <w:t>1</w:t>
      </w:r>
      <w:r>
        <w:rPr>
          <w:rFonts w:hint="eastAsia"/>
          <w:color w:val="auto"/>
          <w:szCs w:val="24"/>
          <w:highlight w:val="none"/>
          <w:lang w:val="en-US" w:eastAsia="zh-CN"/>
        </w:rPr>
        <w:t>4</w:t>
      </w:r>
      <w:r>
        <w:rPr>
          <w:rFonts w:hint="eastAsia"/>
          <w:color w:val="auto"/>
          <w:szCs w:val="24"/>
          <w:highlight w:val="none"/>
        </w:rPr>
        <w:t>.温度调节范围：18℃ ~ 35℃。</w:t>
      </w:r>
    </w:p>
    <w:p>
      <w:pPr>
        <w:spacing w:line="360" w:lineRule="auto"/>
        <w:ind w:left="1434" w:right="-180" w:rightChars="-75" w:firstLine="6"/>
        <w:rPr>
          <w:color w:val="auto"/>
          <w:szCs w:val="24"/>
          <w:highlight w:val="none"/>
        </w:rPr>
      </w:pPr>
      <w:r>
        <w:rPr>
          <w:rFonts w:hint="eastAsia"/>
          <w:color w:val="auto"/>
          <w:szCs w:val="24"/>
          <w:highlight w:val="none"/>
        </w:rPr>
        <w:t>1</w:t>
      </w:r>
      <w:r>
        <w:rPr>
          <w:rFonts w:hint="eastAsia"/>
          <w:color w:val="auto"/>
          <w:szCs w:val="24"/>
          <w:highlight w:val="none"/>
          <w:lang w:val="en-US" w:eastAsia="zh-CN"/>
        </w:rPr>
        <w:t>5</w:t>
      </w:r>
      <w:r>
        <w:rPr>
          <w:rFonts w:hint="eastAsia"/>
          <w:color w:val="auto"/>
          <w:szCs w:val="24"/>
          <w:highlight w:val="none"/>
        </w:rPr>
        <w:t>.温度调节精度： ±1℃ ，温度变化率&lt; 5℃/小时。</w:t>
      </w:r>
    </w:p>
    <w:p>
      <w:pPr>
        <w:spacing w:line="360" w:lineRule="auto"/>
        <w:ind w:left="1434" w:right="-180" w:rightChars="-75" w:firstLine="6"/>
        <w:rPr>
          <w:color w:val="auto"/>
          <w:szCs w:val="24"/>
          <w:highlight w:val="none"/>
        </w:rPr>
      </w:pPr>
      <w:r>
        <w:rPr>
          <w:rFonts w:hint="eastAsia"/>
          <w:color w:val="auto"/>
          <w:szCs w:val="24"/>
          <w:highlight w:val="none"/>
        </w:rPr>
        <w:t>1</w:t>
      </w:r>
      <w:r>
        <w:rPr>
          <w:rFonts w:hint="eastAsia"/>
          <w:color w:val="auto"/>
          <w:szCs w:val="24"/>
          <w:highlight w:val="none"/>
          <w:lang w:val="en-US" w:eastAsia="zh-CN"/>
        </w:rPr>
        <w:t>6</w:t>
      </w:r>
      <w:r>
        <w:rPr>
          <w:rFonts w:hint="eastAsia"/>
          <w:color w:val="auto"/>
          <w:szCs w:val="24"/>
          <w:highlight w:val="none"/>
        </w:rPr>
        <w:t>.湿度调节范围：20% ~ 55%RH。</w:t>
      </w:r>
    </w:p>
    <w:p>
      <w:pPr>
        <w:spacing w:line="360" w:lineRule="auto"/>
        <w:ind w:left="1434" w:right="-180" w:rightChars="-75" w:firstLine="6"/>
        <w:rPr>
          <w:color w:val="auto"/>
          <w:szCs w:val="24"/>
          <w:highlight w:val="none"/>
        </w:rPr>
      </w:pPr>
      <w:r>
        <w:rPr>
          <w:rFonts w:hint="eastAsia"/>
          <w:color w:val="auto"/>
          <w:szCs w:val="24"/>
          <w:highlight w:val="none"/>
        </w:rPr>
        <w:t>1</w:t>
      </w:r>
      <w:r>
        <w:rPr>
          <w:rFonts w:hint="eastAsia"/>
          <w:color w:val="auto"/>
          <w:szCs w:val="24"/>
          <w:highlight w:val="none"/>
          <w:lang w:val="en-US" w:eastAsia="zh-CN"/>
        </w:rPr>
        <w:t>7</w:t>
      </w:r>
      <w:r>
        <w:rPr>
          <w:rFonts w:hint="eastAsia"/>
          <w:color w:val="auto"/>
          <w:szCs w:val="24"/>
          <w:highlight w:val="none"/>
        </w:rPr>
        <w:t>.湿度调节精度： ±5 %RH。</w:t>
      </w:r>
    </w:p>
    <w:p>
      <w:pPr>
        <w:spacing w:line="360" w:lineRule="auto"/>
        <w:ind w:left="1434" w:right="-180" w:rightChars="-75" w:firstLine="6"/>
        <w:rPr>
          <w:color w:val="auto"/>
          <w:szCs w:val="24"/>
          <w:highlight w:val="none"/>
        </w:rPr>
      </w:pPr>
      <w:r>
        <w:rPr>
          <w:rFonts w:hint="eastAsia"/>
          <w:color w:val="auto"/>
          <w:szCs w:val="24"/>
          <w:highlight w:val="none"/>
          <w:lang w:val="en-US" w:eastAsia="zh-CN"/>
        </w:rPr>
        <w:t>18</w:t>
      </w:r>
      <w:r>
        <w:rPr>
          <w:rFonts w:hint="eastAsia"/>
          <w:color w:val="auto"/>
          <w:szCs w:val="24"/>
          <w:highlight w:val="none"/>
        </w:rPr>
        <w:t>.温、湿度波动超限应能发出报警信号。</w:t>
      </w:r>
    </w:p>
    <w:p>
      <w:pPr>
        <w:spacing w:line="360" w:lineRule="auto"/>
        <w:ind w:left="1434" w:right="-180" w:rightChars="-75" w:firstLine="6"/>
        <w:rPr>
          <w:color w:val="auto"/>
          <w:szCs w:val="24"/>
          <w:highlight w:val="none"/>
        </w:rPr>
      </w:pPr>
      <w:r>
        <w:rPr>
          <w:rFonts w:hint="eastAsia"/>
          <w:color w:val="auto"/>
          <w:szCs w:val="24"/>
          <w:highlight w:val="none"/>
          <w:lang w:val="en-US" w:eastAsia="zh-CN"/>
        </w:rPr>
        <w:t>19</w:t>
      </w:r>
      <w:r>
        <w:rPr>
          <w:rFonts w:hint="eastAsia"/>
          <w:color w:val="auto"/>
          <w:szCs w:val="24"/>
          <w:highlight w:val="none"/>
        </w:rPr>
        <w:t>.蒸发器采用 “V”型换热器，提高换热面积，保障换热效率；</w:t>
      </w:r>
    </w:p>
    <w:p>
      <w:pPr>
        <w:spacing w:line="360" w:lineRule="auto"/>
        <w:ind w:left="1434" w:right="-180" w:rightChars="-75" w:firstLine="6"/>
        <w:rPr>
          <w:color w:val="auto"/>
          <w:szCs w:val="24"/>
          <w:highlight w:val="none"/>
        </w:rPr>
      </w:pPr>
      <w:r>
        <w:rPr>
          <w:rFonts w:hint="eastAsia"/>
          <w:color w:val="auto"/>
          <w:szCs w:val="24"/>
          <w:highlight w:val="none"/>
        </w:rPr>
        <w:t>2</w:t>
      </w:r>
      <w:r>
        <w:rPr>
          <w:rFonts w:hint="eastAsia"/>
          <w:color w:val="auto"/>
          <w:szCs w:val="24"/>
          <w:highlight w:val="none"/>
          <w:lang w:val="en-US" w:eastAsia="zh-CN"/>
        </w:rPr>
        <w:t>0</w:t>
      </w:r>
      <w:r>
        <w:rPr>
          <w:rFonts w:hint="eastAsia"/>
          <w:color w:val="auto"/>
          <w:szCs w:val="24"/>
          <w:highlight w:val="none"/>
        </w:rPr>
        <w:t>.具备精确除湿功能，减少空气过冷及热补偿需求，降低机房专用空调除湿过程耗电量；</w:t>
      </w:r>
    </w:p>
    <w:p>
      <w:pPr>
        <w:spacing w:line="360" w:lineRule="auto"/>
        <w:ind w:left="1434" w:right="-180" w:rightChars="-75" w:firstLine="6"/>
        <w:rPr>
          <w:color w:val="auto"/>
          <w:szCs w:val="24"/>
          <w:highlight w:val="none"/>
        </w:rPr>
      </w:pPr>
      <w:r>
        <w:rPr>
          <w:rFonts w:hint="eastAsia"/>
          <w:color w:val="auto"/>
          <w:szCs w:val="24"/>
          <w:highlight w:val="none"/>
        </w:rPr>
        <w:t>2</w:t>
      </w:r>
      <w:r>
        <w:rPr>
          <w:rFonts w:hint="eastAsia"/>
          <w:color w:val="auto"/>
          <w:szCs w:val="24"/>
          <w:highlight w:val="none"/>
          <w:lang w:val="en-US" w:eastAsia="zh-CN"/>
        </w:rPr>
        <w:t>1</w:t>
      </w:r>
      <w:r>
        <w:rPr>
          <w:rFonts w:hint="eastAsia"/>
          <w:color w:val="auto"/>
          <w:szCs w:val="24"/>
          <w:highlight w:val="none"/>
        </w:rPr>
        <w:t>.采用电子膨胀阀或热力膨胀阀</w:t>
      </w:r>
    </w:p>
    <w:p>
      <w:pPr>
        <w:spacing w:line="360" w:lineRule="auto"/>
        <w:ind w:left="1434" w:right="-180" w:rightChars="-75" w:firstLine="6"/>
        <w:rPr>
          <w:color w:val="auto"/>
          <w:szCs w:val="24"/>
          <w:highlight w:val="none"/>
        </w:rPr>
      </w:pPr>
      <w:r>
        <w:rPr>
          <w:rFonts w:hint="eastAsia"/>
          <w:color w:val="auto"/>
          <w:szCs w:val="24"/>
          <w:highlight w:val="none"/>
        </w:rPr>
        <w:t>2</w:t>
      </w:r>
      <w:r>
        <w:rPr>
          <w:rFonts w:hint="eastAsia"/>
          <w:color w:val="auto"/>
          <w:szCs w:val="24"/>
          <w:highlight w:val="none"/>
          <w:lang w:val="en-US" w:eastAsia="zh-CN"/>
        </w:rPr>
        <w:t>2</w:t>
      </w:r>
      <w:r>
        <w:rPr>
          <w:rFonts w:hint="eastAsia"/>
          <w:color w:val="auto"/>
          <w:szCs w:val="24"/>
          <w:highlight w:val="none"/>
        </w:rPr>
        <w:t>.室外风机应可根据室外温度无级调速，减少风机能耗。</w:t>
      </w:r>
    </w:p>
    <w:p>
      <w:pPr>
        <w:spacing w:line="360" w:lineRule="auto"/>
        <w:ind w:left="1434" w:right="-180" w:rightChars="-75" w:firstLine="6"/>
        <w:rPr>
          <w:color w:val="auto"/>
          <w:szCs w:val="24"/>
          <w:highlight w:val="none"/>
        </w:rPr>
      </w:pPr>
      <w:r>
        <w:rPr>
          <w:rFonts w:hint="eastAsia"/>
          <w:color w:val="auto"/>
          <w:szCs w:val="24"/>
          <w:highlight w:val="none"/>
        </w:rPr>
        <w:t>2</w:t>
      </w:r>
      <w:r>
        <w:rPr>
          <w:rFonts w:hint="eastAsia"/>
          <w:color w:val="auto"/>
          <w:szCs w:val="24"/>
          <w:highlight w:val="none"/>
          <w:lang w:val="en-US" w:eastAsia="zh-CN"/>
        </w:rPr>
        <w:t>3</w:t>
      </w:r>
      <w:r>
        <w:rPr>
          <w:rFonts w:hint="eastAsia"/>
          <w:color w:val="auto"/>
          <w:szCs w:val="24"/>
          <w:highlight w:val="none"/>
        </w:rPr>
        <w:t>.机房精密空调系统应具有高可靠性，要求机组平均无故障时间MTBF≥10万小时。</w:t>
      </w:r>
    </w:p>
    <w:p>
      <w:pPr>
        <w:spacing w:line="360" w:lineRule="auto"/>
        <w:ind w:left="1434" w:right="-180" w:rightChars="-75" w:firstLine="6"/>
        <w:rPr>
          <w:color w:val="auto"/>
          <w:szCs w:val="24"/>
          <w:highlight w:val="none"/>
        </w:rPr>
      </w:pPr>
      <w:r>
        <w:rPr>
          <w:rFonts w:hint="eastAsia"/>
          <w:color w:val="auto"/>
          <w:szCs w:val="24"/>
          <w:highlight w:val="none"/>
        </w:rPr>
        <w:t>2</w:t>
      </w:r>
      <w:r>
        <w:rPr>
          <w:rFonts w:hint="eastAsia"/>
          <w:color w:val="auto"/>
          <w:szCs w:val="24"/>
          <w:highlight w:val="none"/>
          <w:lang w:val="en-US" w:eastAsia="zh-CN"/>
        </w:rPr>
        <w:t>4</w:t>
      </w:r>
      <w:r>
        <w:rPr>
          <w:rFonts w:hint="eastAsia"/>
          <w:color w:val="auto"/>
          <w:szCs w:val="24"/>
          <w:highlight w:val="none"/>
        </w:rPr>
        <w:t>.机房精密空调系统应标准配置采用环保制冷剂R410A。不得采用R22或R407C冷媒。</w:t>
      </w:r>
    </w:p>
    <w:p>
      <w:pPr>
        <w:spacing w:line="360" w:lineRule="auto"/>
        <w:ind w:left="1434" w:right="-180" w:rightChars="-75" w:firstLine="6"/>
        <w:rPr>
          <w:rFonts w:hint="default" w:eastAsia="宋体"/>
          <w:color w:val="auto"/>
          <w:szCs w:val="24"/>
          <w:highlight w:val="none"/>
          <w:lang w:val="en-US" w:eastAsia="zh-CN"/>
        </w:rPr>
      </w:pPr>
      <w:r>
        <w:rPr>
          <w:rFonts w:hint="eastAsia"/>
          <w:color w:val="auto"/>
          <w:szCs w:val="24"/>
          <w:highlight w:val="none"/>
        </w:rPr>
        <w:t>2</w:t>
      </w:r>
      <w:r>
        <w:rPr>
          <w:rFonts w:hint="eastAsia"/>
          <w:color w:val="auto"/>
          <w:szCs w:val="24"/>
          <w:highlight w:val="none"/>
          <w:lang w:val="en-US" w:eastAsia="zh-CN"/>
        </w:rPr>
        <w:t>5</w:t>
      </w:r>
      <w:r>
        <w:rPr>
          <w:rFonts w:hint="eastAsia"/>
          <w:color w:val="auto"/>
          <w:szCs w:val="24"/>
          <w:highlight w:val="none"/>
        </w:rPr>
        <w:t>.应提供权威第三方检测报告，包括风量、冷量、能效比、显热比等相关数据，满足本标书的要求。</w:t>
      </w:r>
      <w:r>
        <w:rPr>
          <w:rFonts w:hint="eastAsia"/>
          <w:color w:val="auto"/>
          <w:szCs w:val="24"/>
          <w:highlight w:val="none"/>
          <w:lang w:val="en-US" w:eastAsia="zh-CN"/>
        </w:rPr>
        <w:t>测试报告中机组全能能效比AEER</w:t>
      </w:r>
      <w:r>
        <w:rPr>
          <w:rFonts w:hint="eastAsia"/>
          <w:color w:val="auto"/>
          <w:szCs w:val="24"/>
          <w:highlight w:val="none"/>
        </w:rPr>
        <w:t>≥</w:t>
      </w:r>
      <w:r>
        <w:rPr>
          <w:rFonts w:hint="eastAsia"/>
          <w:color w:val="auto"/>
          <w:szCs w:val="24"/>
          <w:highlight w:val="none"/>
          <w:lang w:val="en-US" w:eastAsia="zh-CN"/>
        </w:rPr>
        <w:t>3.5</w:t>
      </w:r>
    </w:p>
    <w:p>
      <w:pPr>
        <w:spacing w:line="360" w:lineRule="auto"/>
        <w:ind w:left="1434" w:right="-180" w:rightChars="-75" w:firstLine="6"/>
        <w:rPr>
          <w:color w:val="auto"/>
          <w:szCs w:val="24"/>
          <w:highlight w:val="none"/>
        </w:rPr>
      </w:pPr>
      <w:r>
        <w:rPr>
          <w:rFonts w:hint="eastAsia"/>
          <w:color w:val="auto"/>
          <w:szCs w:val="24"/>
          <w:highlight w:val="none"/>
        </w:rPr>
        <w:t>2</w:t>
      </w:r>
      <w:r>
        <w:rPr>
          <w:rFonts w:hint="eastAsia"/>
          <w:color w:val="auto"/>
          <w:szCs w:val="24"/>
          <w:highlight w:val="none"/>
          <w:lang w:val="en-US" w:eastAsia="zh-CN"/>
        </w:rPr>
        <w:t>7</w:t>
      </w:r>
      <w:r>
        <w:rPr>
          <w:rFonts w:hint="eastAsia"/>
          <w:color w:val="auto"/>
          <w:szCs w:val="24"/>
          <w:highlight w:val="none"/>
        </w:rPr>
        <w:t>.精密空调的加热性能：具备电子再热器。</w:t>
      </w:r>
    </w:p>
    <w:p>
      <w:pPr>
        <w:spacing w:line="360" w:lineRule="auto"/>
        <w:ind w:left="1434" w:right="-180" w:rightChars="-75" w:firstLine="6"/>
        <w:rPr>
          <w:color w:val="auto"/>
          <w:szCs w:val="24"/>
          <w:highlight w:val="none"/>
        </w:rPr>
      </w:pPr>
      <w:r>
        <w:rPr>
          <w:color w:val="auto"/>
          <w:szCs w:val="24"/>
          <w:highlight w:val="none"/>
        </w:rPr>
        <w:t>2</w:t>
      </w:r>
      <w:r>
        <w:rPr>
          <w:rFonts w:hint="eastAsia"/>
          <w:color w:val="auto"/>
          <w:szCs w:val="24"/>
          <w:highlight w:val="none"/>
          <w:lang w:val="en-US" w:eastAsia="zh-CN"/>
        </w:rPr>
        <w:t>8</w:t>
      </w:r>
      <w:r>
        <w:rPr>
          <w:rFonts w:hint="eastAsia"/>
          <w:color w:val="auto"/>
          <w:szCs w:val="24"/>
          <w:highlight w:val="none"/>
        </w:rPr>
        <w:t>.精密空调的除湿性能：机组应具备精确除湿功能，减少空气过冷及热补偿需求，降低机房专用空调除湿过程耗电量。</w:t>
      </w:r>
    </w:p>
    <w:p>
      <w:pPr>
        <w:spacing w:line="360" w:lineRule="auto"/>
        <w:ind w:left="1434" w:right="-180" w:rightChars="-75" w:firstLine="6"/>
        <w:rPr>
          <w:color w:val="auto"/>
          <w:szCs w:val="24"/>
          <w:highlight w:val="none"/>
        </w:rPr>
      </w:pPr>
      <w:r>
        <w:rPr>
          <w:rFonts w:hint="eastAsia"/>
          <w:color w:val="auto"/>
          <w:szCs w:val="24"/>
          <w:highlight w:val="none"/>
        </w:rPr>
        <w:t>2</w:t>
      </w:r>
      <w:r>
        <w:rPr>
          <w:rFonts w:hint="eastAsia"/>
          <w:color w:val="auto"/>
          <w:szCs w:val="24"/>
          <w:highlight w:val="none"/>
          <w:lang w:val="en-US" w:eastAsia="zh-CN"/>
        </w:rPr>
        <w:t>9</w:t>
      </w:r>
      <w:r>
        <w:rPr>
          <w:rFonts w:hint="eastAsia"/>
          <w:color w:val="auto"/>
          <w:szCs w:val="24"/>
          <w:highlight w:val="none"/>
        </w:rPr>
        <w:t>.精密空调的加湿性能：应采用高效加湿器。要求加湿速度快，确保高效性。为节能环保，采用不受任何水质影响的远红外加湿器。加湿灯管需采用进口知名品牌。所选用加湿器可以在场地进行清理，反复应用。</w:t>
      </w:r>
    </w:p>
    <w:p>
      <w:pPr>
        <w:spacing w:line="360" w:lineRule="auto"/>
        <w:ind w:left="1434" w:right="-180" w:rightChars="-75" w:firstLine="6"/>
        <w:rPr>
          <w:color w:val="auto"/>
          <w:szCs w:val="24"/>
          <w:highlight w:val="none"/>
        </w:rPr>
      </w:pPr>
      <w:r>
        <w:rPr>
          <w:rFonts w:hint="eastAsia"/>
          <w:color w:val="auto"/>
          <w:szCs w:val="24"/>
          <w:highlight w:val="none"/>
          <w:lang w:val="en-US" w:eastAsia="zh-CN"/>
        </w:rPr>
        <w:t>30</w:t>
      </w:r>
      <w:r>
        <w:rPr>
          <w:rFonts w:hint="eastAsia"/>
          <w:color w:val="auto"/>
          <w:szCs w:val="24"/>
          <w:highlight w:val="none"/>
        </w:rPr>
        <w:t>.机房精密空调的空气洁净度：空气过滤器应符合美国ASHRAE52-76或Eurovent4-5标准，并便于更换。</w:t>
      </w:r>
    </w:p>
    <w:p>
      <w:pPr>
        <w:spacing w:line="360" w:lineRule="auto"/>
        <w:ind w:left="1434" w:right="-180" w:rightChars="-75" w:firstLine="6"/>
        <w:rPr>
          <w:color w:val="auto"/>
          <w:szCs w:val="24"/>
          <w:highlight w:val="none"/>
        </w:rPr>
      </w:pPr>
      <w:r>
        <w:rPr>
          <w:rFonts w:hint="eastAsia"/>
          <w:color w:val="auto"/>
          <w:szCs w:val="24"/>
          <w:highlight w:val="none"/>
        </w:rPr>
        <w:t>3</w:t>
      </w:r>
      <w:r>
        <w:rPr>
          <w:rFonts w:hint="eastAsia"/>
          <w:color w:val="auto"/>
          <w:szCs w:val="24"/>
          <w:highlight w:val="none"/>
          <w:lang w:val="en-US" w:eastAsia="zh-CN"/>
        </w:rPr>
        <w:t>1</w:t>
      </w:r>
      <w:r>
        <w:rPr>
          <w:rFonts w:hint="eastAsia"/>
          <w:color w:val="auto"/>
          <w:szCs w:val="24"/>
          <w:highlight w:val="none"/>
        </w:rPr>
        <w:t>.机房精密空调应具有先进的微处理控制器，应采用先进的模糊逻辑控制或PID调节技术 。</w:t>
      </w:r>
    </w:p>
    <w:p>
      <w:pPr>
        <w:spacing w:line="360" w:lineRule="auto"/>
        <w:ind w:left="1434" w:right="-180" w:rightChars="-75" w:firstLine="6"/>
        <w:rPr>
          <w:color w:val="auto"/>
          <w:szCs w:val="24"/>
          <w:highlight w:val="none"/>
        </w:rPr>
      </w:pPr>
      <w:r>
        <w:rPr>
          <w:rFonts w:hint="eastAsia"/>
          <w:color w:val="auto"/>
          <w:szCs w:val="24"/>
          <w:highlight w:val="none"/>
        </w:rPr>
        <w:t>3</w:t>
      </w:r>
      <w:r>
        <w:rPr>
          <w:rFonts w:hint="eastAsia"/>
          <w:color w:val="auto"/>
          <w:szCs w:val="24"/>
          <w:highlight w:val="none"/>
          <w:lang w:val="en-US" w:eastAsia="zh-CN"/>
        </w:rPr>
        <w:t>2</w:t>
      </w:r>
      <w:r>
        <w:rPr>
          <w:rFonts w:hint="eastAsia"/>
          <w:color w:val="auto"/>
          <w:szCs w:val="24"/>
          <w:highlight w:val="none"/>
        </w:rPr>
        <w:t>.机房精密空调具有LCD大屏幕多行中文显示器，能显示温湿度曲线，具有图形显示机组内各组件的运行状态的功能。</w:t>
      </w:r>
    </w:p>
    <w:p>
      <w:pPr>
        <w:spacing w:line="360" w:lineRule="auto"/>
        <w:ind w:left="1434" w:right="-180" w:rightChars="-75" w:firstLine="6"/>
        <w:rPr>
          <w:color w:val="auto"/>
          <w:szCs w:val="24"/>
          <w:highlight w:val="none"/>
        </w:rPr>
      </w:pPr>
      <w:r>
        <w:rPr>
          <w:rFonts w:hint="eastAsia"/>
          <w:color w:val="auto"/>
          <w:szCs w:val="24"/>
          <w:highlight w:val="none"/>
        </w:rPr>
        <w:t>3</w:t>
      </w:r>
      <w:r>
        <w:rPr>
          <w:rFonts w:hint="eastAsia"/>
          <w:color w:val="auto"/>
          <w:szCs w:val="24"/>
          <w:highlight w:val="none"/>
          <w:lang w:val="en-US" w:eastAsia="zh-CN"/>
        </w:rPr>
        <w:t>3</w:t>
      </w:r>
      <w:r>
        <w:rPr>
          <w:rFonts w:hint="eastAsia"/>
          <w:color w:val="auto"/>
          <w:szCs w:val="24"/>
          <w:highlight w:val="none"/>
        </w:rPr>
        <w:t>.机房精密空调应具有大容量的故障报警记录储存的功能，存储历史告警信息不小于200条。</w:t>
      </w:r>
    </w:p>
    <w:p>
      <w:pPr>
        <w:spacing w:line="360" w:lineRule="auto"/>
        <w:ind w:left="1434" w:right="-180" w:rightChars="-75" w:firstLine="6"/>
        <w:rPr>
          <w:color w:val="auto"/>
          <w:szCs w:val="24"/>
          <w:highlight w:val="none"/>
        </w:rPr>
      </w:pPr>
      <w:r>
        <w:rPr>
          <w:rFonts w:hint="eastAsia"/>
          <w:color w:val="auto"/>
          <w:szCs w:val="24"/>
          <w:highlight w:val="none"/>
        </w:rPr>
        <w:t>3</w:t>
      </w:r>
      <w:r>
        <w:rPr>
          <w:rFonts w:hint="eastAsia"/>
          <w:color w:val="auto"/>
          <w:szCs w:val="24"/>
          <w:highlight w:val="none"/>
          <w:lang w:val="en-US" w:eastAsia="zh-CN"/>
        </w:rPr>
        <w:t>4</w:t>
      </w:r>
      <w:r>
        <w:rPr>
          <w:rFonts w:hint="eastAsia"/>
          <w:color w:val="auto"/>
          <w:szCs w:val="24"/>
          <w:highlight w:val="none"/>
        </w:rPr>
        <w:t>.机房精密空调机组应具有过压 、欠压等报警及故、障诊断，告警记录功能，自动保护，自动恢复，自动重启动等功能。 控制系统应具有多级密码保护功能。</w:t>
      </w:r>
    </w:p>
    <w:p>
      <w:pPr>
        <w:spacing w:line="360" w:lineRule="auto"/>
        <w:ind w:left="1434" w:right="-180" w:rightChars="-75" w:firstLine="6"/>
        <w:rPr>
          <w:color w:val="auto"/>
          <w:szCs w:val="24"/>
          <w:highlight w:val="none"/>
        </w:rPr>
      </w:pPr>
      <w:r>
        <w:rPr>
          <w:rFonts w:hint="eastAsia"/>
          <w:color w:val="auto"/>
          <w:szCs w:val="24"/>
          <w:highlight w:val="none"/>
        </w:rPr>
        <w:t>3</w:t>
      </w:r>
      <w:r>
        <w:rPr>
          <w:rFonts w:hint="eastAsia"/>
          <w:color w:val="auto"/>
          <w:szCs w:val="24"/>
          <w:highlight w:val="none"/>
          <w:lang w:val="en-US" w:eastAsia="zh-CN"/>
        </w:rPr>
        <w:t>5</w:t>
      </w:r>
      <w:r>
        <w:rPr>
          <w:rFonts w:hint="eastAsia"/>
          <w:color w:val="auto"/>
          <w:szCs w:val="24"/>
          <w:highlight w:val="none"/>
        </w:rPr>
        <w:t xml:space="preserve">.机房精密空调控制功能包括：备份自动切换功能，当群组中机组发生故障时，备份机组自动投入运行，提高空调系统的可靠性；轮巡：定时切换备份机组 ；根据机房内热负荷的变化自动控制机组中空调机的运行数量；达到节能的目的 ； </w:t>
      </w:r>
    </w:p>
    <w:p>
      <w:pPr>
        <w:spacing w:line="360" w:lineRule="auto"/>
        <w:ind w:left="1434" w:right="-180" w:rightChars="-75" w:firstLine="6"/>
        <w:rPr>
          <w:color w:val="auto"/>
          <w:szCs w:val="24"/>
          <w:highlight w:val="none"/>
        </w:rPr>
      </w:pPr>
      <w:r>
        <w:rPr>
          <w:rFonts w:hint="eastAsia"/>
          <w:color w:val="auto"/>
          <w:szCs w:val="24"/>
          <w:highlight w:val="none"/>
        </w:rPr>
        <w:t>3</w:t>
      </w:r>
      <w:r>
        <w:rPr>
          <w:rFonts w:hint="eastAsia"/>
          <w:color w:val="auto"/>
          <w:szCs w:val="24"/>
          <w:highlight w:val="none"/>
          <w:lang w:val="en-US" w:eastAsia="zh-CN"/>
        </w:rPr>
        <w:t>6</w:t>
      </w:r>
      <w:r>
        <w:rPr>
          <w:rFonts w:hint="eastAsia"/>
          <w:color w:val="auto"/>
          <w:szCs w:val="24"/>
          <w:highlight w:val="none"/>
        </w:rPr>
        <w:t>.机房精密空调每台机组都应具有独立的控制系统、显示器、加热器、加湿器、独立的温湿度传感器。以保证每台机组的正常运行及高精度运行。</w:t>
      </w:r>
    </w:p>
    <w:p>
      <w:pPr>
        <w:spacing w:line="360" w:lineRule="auto"/>
        <w:ind w:left="1434" w:right="-180" w:rightChars="-75" w:firstLine="6"/>
        <w:rPr>
          <w:color w:val="auto"/>
          <w:szCs w:val="24"/>
          <w:highlight w:val="none"/>
        </w:rPr>
      </w:pPr>
      <w:r>
        <w:rPr>
          <w:rFonts w:hint="eastAsia"/>
          <w:color w:val="auto"/>
          <w:szCs w:val="24"/>
          <w:highlight w:val="none"/>
        </w:rPr>
        <w:t>3</w:t>
      </w:r>
      <w:r>
        <w:rPr>
          <w:rFonts w:hint="eastAsia"/>
          <w:color w:val="auto"/>
          <w:szCs w:val="24"/>
          <w:highlight w:val="none"/>
          <w:lang w:val="en-US" w:eastAsia="zh-CN"/>
        </w:rPr>
        <w:t>7</w:t>
      </w:r>
      <w:r>
        <w:rPr>
          <w:rFonts w:hint="eastAsia"/>
          <w:color w:val="auto"/>
          <w:szCs w:val="24"/>
          <w:highlight w:val="none"/>
        </w:rPr>
        <w:t>.机房精密空调每台机组可配置点式漏水探测器并可配置带式漏水探测器，实时监测漏水情况，探知到漏水发生时，声光告警并自动关闭加湿系统。</w:t>
      </w:r>
    </w:p>
    <w:p>
      <w:pPr>
        <w:spacing w:line="360" w:lineRule="auto"/>
        <w:ind w:left="1434" w:right="-180" w:rightChars="-75" w:firstLine="6"/>
        <w:rPr>
          <w:color w:val="auto"/>
          <w:szCs w:val="24"/>
          <w:highlight w:val="none"/>
        </w:rPr>
      </w:pPr>
      <w:r>
        <w:rPr>
          <w:color w:val="auto"/>
          <w:szCs w:val="24"/>
          <w:highlight w:val="none"/>
        </w:rPr>
        <w:t>3</w:t>
      </w:r>
      <w:r>
        <w:rPr>
          <w:rFonts w:hint="eastAsia"/>
          <w:color w:val="auto"/>
          <w:szCs w:val="24"/>
          <w:highlight w:val="none"/>
          <w:lang w:val="en-US" w:eastAsia="zh-CN"/>
        </w:rPr>
        <w:t>8</w:t>
      </w:r>
      <w:r>
        <w:rPr>
          <w:rFonts w:hint="eastAsia"/>
          <w:color w:val="auto"/>
          <w:szCs w:val="24"/>
          <w:highlight w:val="none"/>
        </w:rPr>
        <w:t>.机房精密空调机组应具有方便的现场监控及远程监控能力。</w:t>
      </w:r>
    </w:p>
    <w:p>
      <w:pPr>
        <w:spacing w:line="360" w:lineRule="auto"/>
        <w:ind w:left="1434" w:right="-180" w:rightChars="-75" w:firstLine="6"/>
        <w:rPr>
          <w:color w:val="auto"/>
          <w:szCs w:val="24"/>
          <w:highlight w:val="none"/>
        </w:rPr>
      </w:pPr>
      <w:r>
        <w:rPr>
          <w:rFonts w:hint="eastAsia"/>
          <w:color w:val="auto"/>
          <w:szCs w:val="24"/>
          <w:highlight w:val="none"/>
        </w:rPr>
        <w:t>3</w:t>
      </w:r>
      <w:r>
        <w:rPr>
          <w:rFonts w:hint="eastAsia"/>
          <w:color w:val="auto"/>
          <w:szCs w:val="24"/>
          <w:highlight w:val="none"/>
          <w:lang w:val="en-US" w:eastAsia="zh-CN"/>
        </w:rPr>
        <w:t>9</w:t>
      </w:r>
      <w:r>
        <w:rPr>
          <w:rFonts w:hint="eastAsia"/>
          <w:color w:val="auto"/>
          <w:szCs w:val="24"/>
          <w:highlight w:val="none"/>
        </w:rPr>
        <w:t>.系统应具有三遥性能：遥测项目：送风温度、回风温度、回风湿度、显示机组工作状态等；遥信项目：开/关机，电压、电流过高/低，回风温度过高/低，回风湿度过高/低，过滤器正常/堵塞，风机正常/故障，压缩机正常/故障等 ；遥控项目：空调开/关机</w:t>
      </w:r>
    </w:p>
    <w:p>
      <w:pPr>
        <w:spacing w:line="360" w:lineRule="auto"/>
        <w:ind w:left="1434" w:right="-180" w:rightChars="-75" w:firstLine="6"/>
        <w:rPr>
          <w:color w:val="auto"/>
          <w:szCs w:val="24"/>
          <w:highlight w:val="none"/>
        </w:rPr>
      </w:pPr>
      <w:r>
        <w:rPr>
          <w:rFonts w:hint="eastAsia"/>
          <w:color w:val="auto"/>
          <w:szCs w:val="24"/>
          <w:highlight w:val="none"/>
          <w:lang w:val="en-US" w:eastAsia="zh-CN"/>
        </w:rPr>
        <w:t>40</w:t>
      </w:r>
      <w:r>
        <w:rPr>
          <w:rFonts w:hint="eastAsia"/>
          <w:color w:val="auto"/>
          <w:szCs w:val="24"/>
          <w:highlight w:val="none"/>
        </w:rPr>
        <w:t>.系统应具备通信接口：标准具备RS485接口，且应具有良好的电气隔离；设备运行参数的设置  设备应具有智能判断功能，对于超常规的参数设置（错误命令），应能自动拒绝。</w:t>
      </w:r>
    </w:p>
    <w:p>
      <w:pPr>
        <w:spacing w:line="360" w:lineRule="auto"/>
        <w:ind w:left="1434" w:right="-180" w:rightChars="-75" w:firstLine="6"/>
        <w:rPr>
          <w:color w:val="auto"/>
          <w:szCs w:val="24"/>
          <w:highlight w:val="none"/>
        </w:rPr>
      </w:pPr>
      <w:r>
        <w:rPr>
          <w:rFonts w:hint="eastAsia"/>
          <w:color w:val="auto"/>
          <w:szCs w:val="24"/>
          <w:highlight w:val="none"/>
        </w:rPr>
        <w:t>4</w:t>
      </w:r>
      <w:r>
        <w:rPr>
          <w:rFonts w:hint="eastAsia"/>
          <w:color w:val="auto"/>
          <w:szCs w:val="24"/>
          <w:highlight w:val="none"/>
          <w:lang w:val="en-US" w:eastAsia="zh-CN"/>
        </w:rPr>
        <w:t>1</w:t>
      </w:r>
      <w:r>
        <w:rPr>
          <w:rFonts w:hint="eastAsia"/>
          <w:color w:val="auto"/>
          <w:szCs w:val="24"/>
          <w:highlight w:val="none"/>
        </w:rPr>
        <w:t>.准确度：对三遥量：开关量和控制操作准确度应达到100%；模拟量精确度应达到交流电量误差 ≤2%；非电量误差 ≤5%；设备显示面板或表头显示值应与从通信接口读出的三遥量值保持一致。</w:t>
      </w:r>
    </w:p>
    <w:p>
      <w:pPr>
        <w:spacing w:line="360" w:lineRule="auto"/>
        <w:ind w:left="1434" w:right="-180" w:rightChars="-75" w:firstLine="6"/>
        <w:rPr>
          <w:color w:val="auto"/>
          <w:szCs w:val="24"/>
          <w:highlight w:val="none"/>
        </w:rPr>
      </w:pPr>
      <w:r>
        <w:rPr>
          <w:rFonts w:hint="eastAsia"/>
          <w:color w:val="auto"/>
          <w:szCs w:val="24"/>
          <w:highlight w:val="none"/>
        </w:rPr>
        <w:t>4</w:t>
      </w:r>
      <w:r>
        <w:rPr>
          <w:rFonts w:hint="eastAsia"/>
          <w:color w:val="auto"/>
          <w:szCs w:val="24"/>
          <w:highlight w:val="none"/>
          <w:lang w:val="en-US" w:eastAsia="zh-CN"/>
        </w:rPr>
        <w:t>2</w:t>
      </w:r>
      <w:r>
        <w:rPr>
          <w:rFonts w:hint="eastAsia"/>
          <w:color w:val="auto"/>
          <w:szCs w:val="24"/>
          <w:highlight w:val="none"/>
        </w:rPr>
        <w:t>.机房精密空调机组采用风冷的冷却方式，风冷冷凝器的风机电机、风机调速器、压力控制器等应有良好的防水性能。</w:t>
      </w:r>
    </w:p>
    <w:p>
      <w:pPr>
        <w:spacing w:line="360" w:lineRule="auto"/>
        <w:ind w:left="1434" w:right="-180" w:rightChars="-75" w:firstLine="6"/>
        <w:rPr>
          <w:color w:val="auto"/>
          <w:szCs w:val="24"/>
          <w:highlight w:val="none"/>
        </w:rPr>
      </w:pPr>
      <w:r>
        <w:rPr>
          <w:rFonts w:hint="eastAsia"/>
          <w:color w:val="auto"/>
          <w:szCs w:val="24"/>
          <w:highlight w:val="none"/>
        </w:rPr>
        <w:t>4</w:t>
      </w:r>
      <w:r>
        <w:rPr>
          <w:rFonts w:hint="eastAsia"/>
          <w:color w:val="auto"/>
          <w:szCs w:val="24"/>
          <w:highlight w:val="none"/>
          <w:lang w:val="en-US" w:eastAsia="zh-CN"/>
        </w:rPr>
        <w:t>3</w:t>
      </w:r>
      <w:r>
        <w:rPr>
          <w:rFonts w:hint="eastAsia"/>
          <w:color w:val="auto"/>
          <w:szCs w:val="24"/>
          <w:highlight w:val="none"/>
        </w:rPr>
        <w:t>.机房精密空调室外机应具有良好的刚性和防腐性能，适应多种环境条件。</w:t>
      </w:r>
    </w:p>
    <w:p>
      <w:pPr>
        <w:spacing w:line="360" w:lineRule="auto"/>
        <w:ind w:left="1434" w:right="-180" w:rightChars="-75" w:firstLine="6"/>
        <w:rPr>
          <w:color w:val="auto"/>
          <w:szCs w:val="24"/>
          <w:highlight w:val="none"/>
        </w:rPr>
      </w:pPr>
      <w:r>
        <w:rPr>
          <w:rFonts w:hint="eastAsia"/>
          <w:color w:val="auto"/>
          <w:szCs w:val="24"/>
          <w:highlight w:val="none"/>
        </w:rPr>
        <w:t>4</w:t>
      </w:r>
      <w:r>
        <w:rPr>
          <w:rFonts w:hint="eastAsia"/>
          <w:color w:val="auto"/>
          <w:szCs w:val="24"/>
          <w:highlight w:val="none"/>
          <w:lang w:val="en-US" w:eastAsia="zh-CN"/>
        </w:rPr>
        <w:t>4</w:t>
      </w:r>
      <w:r>
        <w:rPr>
          <w:rFonts w:hint="eastAsia"/>
          <w:color w:val="auto"/>
          <w:szCs w:val="24"/>
          <w:highlight w:val="none"/>
        </w:rPr>
        <w:t>.机房精密空调机组的风冷型室外机组应提供冷凝风扇变速控制器，能根据冷凝器管道内部压力变化自动调节冷凝风扇的运转速度。</w:t>
      </w:r>
    </w:p>
    <w:p>
      <w:pPr>
        <w:spacing w:line="360" w:lineRule="auto"/>
        <w:ind w:left="1434" w:right="-180" w:rightChars="-75" w:firstLine="6"/>
        <w:rPr>
          <w:color w:val="auto"/>
          <w:szCs w:val="24"/>
          <w:highlight w:val="none"/>
        </w:rPr>
      </w:pPr>
      <w:r>
        <w:rPr>
          <w:rFonts w:hint="eastAsia"/>
          <w:color w:val="auto"/>
          <w:szCs w:val="24"/>
          <w:highlight w:val="none"/>
        </w:rPr>
        <w:t>4</w:t>
      </w:r>
      <w:r>
        <w:rPr>
          <w:rFonts w:hint="eastAsia"/>
          <w:color w:val="auto"/>
          <w:szCs w:val="24"/>
          <w:highlight w:val="none"/>
          <w:lang w:val="en-US" w:eastAsia="zh-CN"/>
        </w:rPr>
        <w:t>5</w:t>
      </w:r>
      <w:r>
        <w:rPr>
          <w:rFonts w:hint="eastAsia"/>
          <w:color w:val="auto"/>
          <w:szCs w:val="24"/>
          <w:highlight w:val="none"/>
        </w:rPr>
        <w:t>.机房精密空调机组的冷凝器出厂时应保压，管路端口应有防止异物进入的措施。</w:t>
      </w:r>
    </w:p>
    <w:p>
      <w:pPr>
        <w:spacing w:line="360" w:lineRule="auto"/>
        <w:ind w:left="1434" w:right="-180" w:rightChars="-75" w:firstLine="6"/>
        <w:rPr>
          <w:color w:val="auto"/>
          <w:szCs w:val="24"/>
          <w:highlight w:val="none"/>
        </w:rPr>
      </w:pPr>
      <w:r>
        <w:rPr>
          <w:color w:val="auto"/>
          <w:szCs w:val="24"/>
          <w:highlight w:val="none"/>
        </w:rPr>
        <w:t>4</w:t>
      </w:r>
      <w:r>
        <w:rPr>
          <w:rFonts w:hint="eastAsia"/>
          <w:color w:val="auto"/>
          <w:szCs w:val="24"/>
          <w:highlight w:val="none"/>
          <w:lang w:val="en-US" w:eastAsia="zh-CN"/>
        </w:rPr>
        <w:t>6</w:t>
      </w:r>
      <w:r>
        <w:rPr>
          <w:rFonts w:hint="eastAsia"/>
          <w:color w:val="auto"/>
          <w:szCs w:val="24"/>
          <w:highlight w:val="none"/>
        </w:rPr>
        <w:t>.投标方所提供设备的生产制造厂家需具有全国性售后服务体系证明，</w:t>
      </w:r>
      <w:r>
        <w:rPr>
          <w:rFonts w:hint="eastAsia"/>
          <w:color w:val="auto"/>
          <w:szCs w:val="24"/>
          <w:highlight w:val="none"/>
          <w:lang w:val="en-US" w:eastAsia="zh-CN"/>
        </w:rPr>
        <w:t>响</w:t>
      </w:r>
      <w:r>
        <w:rPr>
          <w:rFonts w:hint="eastAsia"/>
          <w:color w:val="auto"/>
          <w:szCs w:val="24"/>
          <w:highlight w:val="none"/>
        </w:rPr>
        <w:t>应时间不高</w:t>
      </w:r>
      <w:r>
        <w:rPr>
          <w:rFonts w:hint="eastAsia"/>
          <w:color w:val="auto"/>
          <w:szCs w:val="24"/>
          <w:highlight w:val="none"/>
          <w:lang w:val="en-US" w:eastAsia="zh-CN"/>
        </w:rPr>
        <w:t>于</w:t>
      </w:r>
      <w:r>
        <w:rPr>
          <w:rFonts w:hint="eastAsia"/>
          <w:color w:val="auto"/>
          <w:szCs w:val="24"/>
          <w:highlight w:val="none"/>
        </w:rPr>
        <w:t>1</w:t>
      </w:r>
      <w:r>
        <w:rPr>
          <w:color w:val="auto"/>
          <w:szCs w:val="24"/>
          <w:highlight w:val="none"/>
        </w:rPr>
        <w:t>5min</w:t>
      </w:r>
      <w:r>
        <w:rPr>
          <w:rFonts w:hint="eastAsia"/>
          <w:color w:val="auto"/>
          <w:szCs w:val="24"/>
          <w:highlight w:val="none"/>
        </w:rPr>
        <w:t>，到达现场时间不大高</w:t>
      </w:r>
      <w:r>
        <w:rPr>
          <w:rFonts w:hint="eastAsia"/>
          <w:color w:val="auto"/>
          <w:szCs w:val="24"/>
          <w:highlight w:val="none"/>
          <w:lang w:val="en-US" w:eastAsia="zh-CN"/>
        </w:rPr>
        <w:t>于</w:t>
      </w:r>
      <w:r>
        <w:rPr>
          <w:rFonts w:hint="eastAsia"/>
          <w:color w:val="auto"/>
          <w:szCs w:val="24"/>
          <w:highlight w:val="none"/>
        </w:rPr>
        <w:t>1</w:t>
      </w:r>
      <w:r>
        <w:rPr>
          <w:color w:val="auto"/>
          <w:szCs w:val="24"/>
          <w:highlight w:val="none"/>
        </w:rPr>
        <w:t>20min</w:t>
      </w:r>
      <w:r>
        <w:rPr>
          <w:rFonts w:hint="eastAsia"/>
          <w:color w:val="auto"/>
          <w:szCs w:val="24"/>
          <w:highlight w:val="none"/>
        </w:rPr>
        <w:t>，配件</w:t>
      </w:r>
      <w:r>
        <w:rPr>
          <w:rFonts w:hint="eastAsia"/>
          <w:color w:val="auto"/>
          <w:szCs w:val="24"/>
          <w:highlight w:val="none"/>
          <w:lang w:val="en-US" w:eastAsia="zh-CN"/>
        </w:rPr>
        <w:t>更</w:t>
      </w:r>
      <w:r>
        <w:rPr>
          <w:rFonts w:hint="eastAsia"/>
          <w:color w:val="auto"/>
          <w:szCs w:val="24"/>
          <w:highlight w:val="none"/>
        </w:rPr>
        <w:t>换时间不大于</w:t>
      </w:r>
      <w:r>
        <w:rPr>
          <w:color w:val="auto"/>
          <w:szCs w:val="24"/>
          <w:highlight w:val="none"/>
        </w:rPr>
        <w:t>12</w:t>
      </w:r>
      <w:r>
        <w:rPr>
          <w:rFonts w:hint="eastAsia"/>
          <w:color w:val="auto"/>
          <w:szCs w:val="24"/>
          <w:highlight w:val="none"/>
        </w:rPr>
        <w:t>小时。</w:t>
      </w:r>
    </w:p>
    <w:p>
      <w:pPr>
        <w:spacing w:line="360" w:lineRule="auto"/>
        <w:ind w:left="1434" w:right="-180" w:rightChars="-75" w:firstLine="6"/>
        <w:rPr>
          <w:color w:val="auto"/>
          <w:szCs w:val="24"/>
          <w:highlight w:val="none"/>
        </w:rPr>
      </w:pPr>
      <w:r>
        <w:rPr>
          <w:rFonts w:hint="eastAsia"/>
          <w:color w:val="auto"/>
          <w:szCs w:val="24"/>
          <w:highlight w:val="none"/>
        </w:rPr>
        <w:t>4</w:t>
      </w:r>
      <w:r>
        <w:rPr>
          <w:rFonts w:hint="eastAsia"/>
          <w:color w:val="auto"/>
          <w:szCs w:val="24"/>
          <w:highlight w:val="none"/>
          <w:lang w:val="en-US" w:eastAsia="zh-CN"/>
        </w:rPr>
        <w:t>7</w:t>
      </w:r>
      <w:r>
        <w:rPr>
          <w:rFonts w:hint="eastAsia"/>
          <w:color w:val="auto"/>
          <w:szCs w:val="24"/>
          <w:highlight w:val="none"/>
        </w:rPr>
        <w:t>.冷通道采用与列间空调同一品牌。便于兼容、售后维护。</w:t>
      </w:r>
    </w:p>
    <w:p>
      <w:pPr>
        <w:pStyle w:val="7"/>
        <w:ind w:left="1134" w:right="-180" w:rightChars="-75" w:hanging="708"/>
        <w:rPr>
          <w:rFonts w:ascii="宋体" w:hAnsi="宋体" w:eastAsia="宋体" w:cs="宋体"/>
          <w:color w:val="auto"/>
          <w:highlight w:val="none"/>
        </w:rPr>
      </w:pPr>
      <w:r>
        <w:rPr>
          <w:rFonts w:hint="eastAsia" w:ascii="宋体" w:hAnsi="宋体" w:eastAsia="宋体" w:cs="宋体"/>
          <w:color w:val="auto"/>
          <w:highlight w:val="none"/>
        </w:rPr>
        <w:t>3）除湿机主要参数</w:t>
      </w:r>
    </w:p>
    <w:tbl>
      <w:tblPr>
        <w:tblStyle w:val="18"/>
        <w:tblW w:w="9409" w:type="dxa"/>
        <w:tblInd w:w="198" w:type="dxa"/>
        <w:tblLayout w:type="fixed"/>
        <w:tblCellMar>
          <w:top w:w="0" w:type="dxa"/>
          <w:left w:w="108" w:type="dxa"/>
          <w:bottom w:w="0" w:type="dxa"/>
          <w:right w:w="108" w:type="dxa"/>
        </w:tblCellMar>
      </w:tblPr>
      <w:tblGrid>
        <w:gridCol w:w="2119"/>
        <w:gridCol w:w="1654"/>
        <w:gridCol w:w="1411"/>
        <w:gridCol w:w="2507"/>
        <w:gridCol w:w="1718"/>
      </w:tblGrid>
      <w:tr>
        <w:tblPrEx>
          <w:tblCellMar>
            <w:top w:w="0" w:type="dxa"/>
            <w:left w:w="108" w:type="dxa"/>
            <w:bottom w:w="0" w:type="dxa"/>
            <w:right w:w="108" w:type="dxa"/>
          </w:tblCellMar>
        </w:tblPrEx>
        <w:trPr>
          <w:trHeight w:val="285" w:hRule="atLeast"/>
        </w:trPr>
        <w:tc>
          <w:tcPr>
            <w:tcW w:w="211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52"/>
              <w:ind w:left="1134" w:leftChars="0" w:right="-180" w:rightChars="-75" w:hanging="1134" w:firstLineChars="0"/>
              <w:jc w:val="center"/>
              <w:rPr>
                <w:rFonts w:ascii="宋体" w:cs="宋体"/>
                <w:b/>
                <w:bCs/>
                <w:sz w:val="24"/>
                <w:szCs w:val="24"/>
                <w:highlight w:val="none"/>
              </w:rPr>
            </w:pPr>
            <w:r>
              <w:rPr>
                <w:rFonts w:hint="eastAsia" w:ascii="宋体" w:cs="宋体"/>
                <w:b/>
                <w:bCs/>
                <w:sz w:val="24"/>
                <w:szCs w:val="24"/>
                <w:highlight w:val="none"/>
              </w:rPr>
              <w:t>设备</w:t>
            </w:r>
          </w:p>
        </w:tc>
        <w:tc>
          <w:tcPr>
            <w:tcW w:w="1654" w:type="dxa"/>
            <w:tcBorders>
              <w:top w:val="single" w:color="000000" w:sz="4" w:space="0"/>
              <w:left w:val="single" w:color="000000" w:sz="4" w:space="0"/>
              <w:bottom w:val="single" w:color="000000" w:sz="4" w:space="0"/>
              <w:right w:val="single" w:color="000000" w:sz="4" w:space="0"/>
            </w:tcBorders>
          </w:tcPr>
          <w:p>
            <w:pPr>
              <w:pStyle w:val="52"/>
              <w:ind w:left="1134" w:leftChars="0" w:right="-180" w:rightChars="-75" w:hanging="1134" w:firstLineChars="0"/>
              <w:jc w:val="center"/>
              <w:rPr>
                <w:rFonts w:ascii="宋体" w:cs="宋体"/>
                <w:b/>
                <w:bCs/>
                <w:sz w:val="24"/>
                <w:szCs w:val="24"/>
                <w:highlight w:val="none"/>
              </w:rPr>
            </w:pPr>
            <w:r>
              <w:rPr>
                <w:rFonts w:hint="eastAsia" w:ascii="宋体" w:cs="宋体"/>
                <w:b/>
                <w:bCs/>
                <w:sz w:val="24"/>
                <w:szCs w:val="24"/>
                <w:highlight w:val="none"/>
              </w:rPr>
              <w:t>除湿量</w:t>
            </w:r>
          </w:p>
        </w:tc>
        <w:tc>
          <w:tcPr>
            <w:tcW w:w="141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52"/>
              <w:ind w:left="1134" w:leftChars="0" w:right="-180" w:rightChars="-75" w:hanging="1134" w:firstLineChars="0"/>
              <w:jc w:val="center"/>
              <w:rPr>
                <w:rFonts w:ascii="宋体" w:cs="宋体"/>
                <w:b/>
                <w:bCs/>
                <w:sz w:val="24"/>
                <w:szCs w:val="24"/>
                <w:highlight w:val="none"/>
              </w:rPr>
            </w:pPr>
            <w:r>
              <w:rPr>
                <w:rFonts w:hint="eastAsia" w:ascii="宋体" w:cs="宋体"/>
                <w:b/>
                <w:bCs/>
                <w:sz w:val="24"/>
                <w:szCs w:val="24"/>
                <w:highlight w:val="none"/>
              </w:rPr>
              <w:t>功率</w:t>
            </w:r>
          </w:p>
        </w:tc>
        <w:tc>
          <w:tcPr>
            <w:tcW w:w="25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52"/>
              <w:tabs>
                <w:tab w:val="left" w:pos="2160"/>
              </w:tabs>
              <w:ind w:left="14" w:right="127" w:rightChars="53" w:hanging="14"/>
              <w:jc w:val="center"/>
              <w:rPr>
                <w:rFonts w:ascii="宋体" w:cs="宋体"/>
                <w:b/>
                <w:bCs/>
                <w:sz w:val="24"/>
                <w:szCs w:val="24"/>
                <w:highlight w:val="none"/>
              </w:rPr>
            </w:pPr>
            <w:r>
              <w:rPr>
                <w:rFonts w:hint="eastAsia" w:ascii="宋体" w:cs="宋体"/>
                <w:b/>
                <w:bCs/>
                <w:sz w:val="24"/>
                <w:szCs w:val="24"/>
                <w:highlight w:val="none"/>
              </w:rPr>
              <w:t>外形尺寸（宽×厚×高）：</w:t>
            </w:r>
          </w:p>
        </w:tc>
        <w:tc>
          <w:tcPr>
            <w:tcW w:w="171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52"/>
              <w:tabs>
                <w:tab w:val="left" w:pos="240"/>
              </w:tabs>
              <w:ind w:left="1134" w:leftChars="0" w:right="-180" w:rightChars="-75" w:hanging="1134" w:firstLineChars="0"/>
              <w:jc w:val="center"/>
              <w:rPr>
                <w:rFonts w:ascii="宋体" w:cs="宋体"/>
                <w:b/>
                <w:bCs/>
                <w:sz w:val="24"/>
                <w:szCs w:val="24"/>
                <w:highlight w:val="none"/>
              </w:rPr>
            </w:pPr>
            <w:r>
              <w:rPr>
                <w:rFonts w:hint="eastAsia" w:ascii="宋体" w:cs="宋体"/>
                <w:b/>
                <w:bCs/>
                <w:sz w:val="24"/>
                <w:szCs w:val="24"/>
                <w:highlight w:val="none"/>
              </w:rPr>
              <w:t>除湿工况</w:t>
            </w:r>
          </w:p>
        </w:tc>
      </w:tr>
      <w:tr>
        <w:tblPrEx>
          <w:tblCellMar>
            <w:top w:w="0" w:type="dxa"/>
            <w:left w:w="108" w:type="dxa"/>
            <w:bottom w:w="0" w:type="dxa"/>
            <w:right w:w="108" w:type="dxa"/>
          </w:tblCellMar>
        </w:tblPrEx>
        <w:trPr>
          <w:trHeight w:val="330" w:hRule="atLeast"/>
        </w:trPr>
        <w:tc>
          <w:tcPr>
            <w:tcW w:w="211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52"/>
              <w:ind w:left="1134" w:leftChars="0" w:right="-180" w:rightChars="-75" w:hanging="1134" w:firstLineChars="0"/>
              <w:jc w:val="center"/>
              <w:rPr>
                <w:rFonts w:ascii="宋体" w:cs="宋体"/>
                <w:b/>
                <w:bCs/>
                <w:sz w:val="24"/>
                <w:szCs w:val="24"/>
                <w:highlight w:val="none"/>
              </w:rPr>
            </w:pPr>
            <w:r>
              <w:rPr>
                <w:rFonts w:hint="eastAsia" w:ascii="宋体" w:cs="宋体"/>
                <w:b/>
                <w:bCs/>
                <w:sz w:val="24"/>
                <w:szCs w:val="24"/>
                <w:highlight w:val="none"/>
              </w:rPr>
              <w:t>除湿机</w:t>
            </w:r>
            <w:r>
              <w:rPr>
                <w:rFonts w:ascii="宋体" w:cs="宋体"/>
                <w:b/>
                <w:bCs/>
                <w:sz w:val="24"/>
                <w:szCs w:val="24"/>
                <w:highlight w:val="none"/>
              </w:rPr>
              <w:t>1</w:t>
            </w:r>
          </w:p>
        </w:tc>
        <w:tc>
          <w:tcPr>
            <w:tcW w:w="1654" w:type="dxa"/>
            <w:tcBorders>
              <w:top w:val="single" w:color="000000" w:sz="4" w:space="0"/>
              <w:left w:val="single" w:color="000000" w:sz="4" w:space="0"/>
              <w:bottom w:val="single" w:color="000000" w:sz="4" w:space="0"/>
              <w:right w:val="single" w:color="000000" w:sz="4" w:space="0"/>
            </w:tcBorders>
          </w:tcPr>
          <w:p>
            <w:pPr>
              <w:pStyle w:val="52"/>
              <w:ind w:left="1134" w:leftChars="0" w:right="-180" w:rightChars="-75" w:hanging="1134" w:firstLineChars="0"/>
              <w:jc w:val="center"/>
              <w:rPr>
                <w:rFonts w:ascii="宋体" w:cs="宋体"/>
                <w:b/>
                <w:bCs/>
                <w:sz w:val="24"/>
                <w:szCs w:val="24"/>
                <w:highlight w:val="none"/>
              </w:rPr>
            </w:pPr>
            <w:r>
              <w:rPr>
                <w:rFonts w:hint="eastAsia" w:ascii="宋体" w:cs="宋体"/>
                <w:b/>
                <w:bCs/>
                <w:sz w:val="24"/>
                <w:szCs w:val="24"/>
                <w:highlight w:val="none"/>
              </w:rPr>
              <w:t>≥2</w:t>
            </w:r>
            <w:r>
              <w:rPr>
                <w:rFonts w:ascii="宋体" w:cs="宋体"/>
                <w:b/>
                <w:bCs/>
                <w:sz w:val="24"/>
                <w:szCs w:val="24"/>
                <w:highlight w:val="none"/>
              </w:rPr>
              <w:t>350</w:t>
            </w:r>
          </w:p>
        </w:tc>
        <w:tc>
          <w:tcPr>
            <w:tcW w:w="141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52"/>
              <w:ind w:left="1134" w:leftChars="0" w:right="-180" w:rightChars="-75" w:hanging="1134" w:firstLineChars="0"/>
              <w:jc w:val="center"/>
              <w:rPr>
                <w:rFonts w:ascii="宋体" w:cs="宋体"/>
                <w:b/>
                <w:bCs/>
                <w:sz w:val="24"/>
                <w:szCs w:val="24"/>
                <w:highlight w:val="none"/>
              </w:rPr>
            </w:pPr>
            <w:r>
              <w:rPr>
                <w:rFonts w:hint="eastAsia" w:ascii="宋体" w:cs="宋体"/>
                <w:b/>
                <w:bCs/>
                <w:sz w:val="24"/>
                <w:szCs w:val="24"/>
                <w:highlight w:val="none"/>
              </w:rPr>
              <w:t>2.5kw</w:t>
            </w:r>
          </w:p>
        </w:tc>
        <w:tc>
          <w:tcPr>
            <w:tcW w:w="25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52"/>
              <w:tabs>
                <w:tab w:val="left" w:pos="2160"/>
              </w:tabs>
              <w:ind w:left="1134" w:right="-180" w:rightChars="-75" w:hanging="708"/>
              <w:jc w:val="center"/>
              <w:rPr>
                <w:rFonts w:ascii="宋体" w:cs="宋体"/>
                <w:b/>
                <w:bCs/>
                <w:sz w:val="24"/>
                <w:szCs w:val="24"/>
                <w:highlight w:val="none"/>
              </w:rPr>
            </w:pPr>
            <w:r>
              <w:rPr>
                <w:rFonts w:hint="eastAsia" w:ascii="宋体" w:cs="宋体"/>
                <w:b/>
                <w:bCs/>
                <w:sz w:val="24"/>
                <w:szCs w:val="24"/>
                <w:highlight w:val="none"/>
              </w:rPr>
              <w:t>700×500×1530</w:t>
            </w:r>
          </w:p>
        </w:tc>
        <w:tc>
          <w:tcPr>
            <w:tcW w:w="171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52"/>
              <w:tabs>
                <w:tab w:val="left" w:pos="240"/>
              </w:tabs>
              <w:ind w:left="1134" w:leftChars="0" w:right="-180" w:rightChars="-75" w:hanging="1134" w:firstLineChars="0"/>
              <w:jc w:val="center"/>
              <w:rPr>
                <w:rFonts w:ascii="宋体" w:cs="宋体"/>
                <w:b/>
                <w:bCs/>
                <w:sz w:val="24"/>
                <w:szCs w:val="24"/>
                <w:highlight w:val="none"/>
              </w:rPr>
            </w:pPr>
            <w:r>
              <w:rPr>
                <w:rFonts w:hint="eastAsia" w:ascii="宋体" w:cs="宋体"/>
                <w:b/>
                <w:bCs/>
                <w:sz w:val="24"/>
                <w:szCs w:val="24"/>
                <w:highlight w:val="none"/>
              </w:rPr>
              <w:t>32℃38%RH</w:t>
            </w:r>
          </w:p>
        </w:tc>
      </w:tr>
      <w:tr>
        <w:trPr>
          <w:trHeight w:val="315" w:hRule="atLeast"/>
        </w:trPr>
        <w:tc>
          <w:tcPr>
            <w:tcW w:w="211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52"/>
              <w:ind w:left="1134" w:leftChars="0" w:right="-180" w:rightChars="-75" w:hanging="1134" w:firstLineChars="0"/>
              <w:jc w:val="center"/>
              <w:rPr>
                <w:rFonts w:ascii="宋体" w:cs="宋体"/>
                <w:b/>
                <w:bCs/>
                <w:sz w:val="24"/>
                <w:szCs w:val="24"/>
                <w:highlight w:val="none"/>
              </w:rPr>
            </w:pPr>
            <w:r>
              <w:rPr>
                <w:rFonts w:hint="eastAsia" w:ascii="宋体" w:cs="宋体"/>
                <w:b/>
                <w:bCs/>
                <w:sz w:val="24"/>
                <w:szCs w:val="24"/>
                <w:highlight w:val="none"/>
              </w:rPr>
              <w:t>除湿机</w:t>
            </w:r>
            <w:r>
              <w:rPr>
                <w:rFonts w:ascii="宋体" w:cs="宋体"/>
                <w:b/>
                <w:bCs/>
                <w:sz w:val="24"/>
                <w:szCs w:val="24"/>
                <w:highlight w:val="none"/>
              </w:rPr>
              <w:t>2</w:t>
            </w:r>
          </w:p>
        </w:tc>
        <w:tc>
          <w:tcPr>
            <w:tcW w:w="1654" w:type="dxa"/>
            <w:tcBorders>
              <w:top w:val="single" w:color="000000" w:sz="4" w:space="0"/>
              <w:left w:val="single" w:color="000000" w:sz="4" w:space="0"/>
              <w:bottom w:val="single" w:color="000000" w:sz="4" w:space="0"/>
              <w:right w:val="single" w:color="000000" w:sz="4" w:space="0"/>
            </w:tcBorders>
          </w:tcPr>
          <w:p>
            <w:pPr>
              <w:pStyle w:val="52"/>
              <w:ind w:left="1134" w:leftChars="0" w:right="-180" w:rightChars="-75" w:hanging="1134" w:firstLineChars="0"/>
              <w:jc w:val="center"/>
              <w:rPr>
                <w:rFonts w:ascii="宋体" w:cs="宋体"/>
                <w:b/>
                <w:bCs/>
                <w:sz w:val="24"/>
                <w:szCs w:val="24"/>
                <w:highlight w:val="none"/>
              </w:rPr>
            </w:pPr>
            <w:r>
              <w:rPr>
                <w:rFonts w:hint="eastAsia" w:ascii="宋体" w:cs="宋体"/>
                <w:b/>
                <w:bCs/>
                <w:sz w:val="24"/>
                <w:szCs w:val="24"/>
                <w:highlight w:val="none"/>
              </w:rPr>
              <w:t>≥6</w:t>
            </w:r>
            <w:r>
              <w:rPr>
                <w:rFonts w:ascii="宋体" w:cs="宋体"/>
                <w:b/>
                <w:bCs/>
                <w:sz w:val="24"/>
                <w:szCs w:val="24"/>
                <w:highlight w:val="none"/>
              </w:rPr>
              <w:t>700</w:t>
            </w:r>
          </w:p>
        </w:tc>
        <w:tc>
          <w:tcPr>
            <w:tcW w:w="141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52"/>
              <w:ind w:left="1134" w:leftChars="0" w:right="-180" w:rightChars="-75" w:hanging="1134" w:firstLineChars="0"/>
              <w:jc w:val="center"/>
              <w:rPr>
                <w:rFonts w:ascii="宋体" w:cs="宋体"/>
                <w:b/>
                <w:bCs/>
                <w:sz w:val="24"/>
                <w:szCs w:val="24"/>
                <w:highlight w:val="none"/>
              </w:rPr>
            </w:pPr>
            <w:r>
              <w:rPr>
                <w:rFonts w:hint="eastAsia" w:ascii="宋体" w:cs="宋体"/>
                <w:b/>
                <w:bCs/>
                <w:sz w:val="24"/>
                <w:szCs w:val="24"/>
                <w:highlight w:val="none"/>
              </w:rPr>
              <w:t>5.4kw</w:t>
            </w:r>
          </w:p>
        </w:tc>
        <w:tc>
          <w:tcPr>
            <w:tcW w:w="25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52"/>
              <w:tabs>
                <w:tab w:val="left" w:pos="2160"/>
              </w:tabs>
              <w:ind w:left="1134" w:right="-180" w:rightChars="-75" w:hanging="708"/>
              <w:jc w:val="center"/>
              <w:rPr>
                <w:rFonts w:ascii="宋体" w:cs="宋体"/>
                <w:b/>
                <w:bCs/>
                <w:sz w:val="24"/>
                <w:szCs w:val="24"/>
                <w:highlight w:val="none"/>
              </w:rPr>
            </w:pPr>
            <w:r>
              <w:rPr>
                <w:rFonts w:hint="eastAsia" w:ascii="宋体" w:cs="宋体"/>
                <w:b/>
                <w:bCs/>
                <w:sz w:val="24"/>
                <w:szCs w:val="24"/>
                <w:highlight w:val="none"/>
              </w:rPr>
              <w:t>950×550×180</w:t>
            </w:r>
            <w:r>
              <w:rPr>
                <w:rFonts w:ascii="宋体" w:cs="宋体"/>
                <w:b/>
                <w:bCs/>
                <w:sz w:val="24"/>
                <w:szCs w:val="24"/>
                <w:highlight w:val="none"/>
              </w:rPr>
              <w:t>1</w:t>
            </w:r>
          </w:p>
        </w:tc>
        <w:tc>
          <w:tcPr>
            <w:tcW w:w="171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52"/>
              <w:tabs>
                <w:tab w:val="left" w:pos="240"/>
              </w:tabs>
              <w:ind w:left="1134" w:leftChars="0" w:right="-180" w:rightChars="-75" w:hanging="1134" w:firstLineChars="0"/>
              <w:jc w:val="center"/>
              <w:rPr>
                <w:rFonts w:ascii="宋体" w:cs="宋体"/>
                <w:b/>
                <w:bCs/>
                <w:sz w:val="24"/>
                <w:szCs w:val="24"/>
                <w:highlight w:val="none"/>
              </w:rPr>
            </w:pPr>
            <w:r>
              <w:rPr>
                <w:rFonts w:hint="eastAsia" w:ascii="宋体" w:cs="宋体"/>
                <w:b/>
                <w:bCs/>
                <w:sz w:val="24"/>
                <w:szCs w:val="24"/>
                <w:highlight w:val="none"/>
              </w:rPr>
              <w:t>32℃38%RH</w:t>
            </w:r>
          </w:p>
        </w:tc>
      </w:tr>
      <w:tr>
        <w:trPr>
          <w:trHeight w:val="315" w:hRule="atLeast"/>
        </w:trPr>
        <w:tc>
          <w:tcPr>
            <w:tcW w:w="211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52"/>
              <w:ind w:left="1134" w:leftChars="0" w:right="-180" w:rightChars="-75" w:hanging="1134" w:firstLineChars="0"/>
              <w:jc w:val="center"/>
              <w:rPr>
                <w:rFonts w:ascii="宋体" w:cs="宋体"/>
                <w:b/>
                <w:bCs/>
                <w:sz w:val="24"/>
                <w:szCs w:val="24"/>
                <w:highlight w:val="none"/>
              </w:rPr>
            </w:pPr>
            <w:r>
              <w:rPr>
                <w:rFonts w:hint="eastAsia" w:ascii="宋体" w:cs="宋体"/>
                <w:b/>
                <w:bCs/>
                <w:sz w:val="24"/>
                <w:szCs w:val="24"/>
                <w:highlight w:val="none"/>
              </w:rPr>
              <w:t>除湿机</w:t>
            </w:r>
            <w:r>
              <w:rPr>
                <w:rFonts w:ascii="宋体" w:cs="宋体"/>
                <w:b/>
                <w:bCs/>
                <w:sz w:val="24"/>
                <w:szCs w:val="24"/>
                <w:highlight w:val="none"/>
              </w:rPr>
              <w:t>3</w:t>
            </w:r>
          </w:p>
        </w:tc>
        <w:tc>
          <w:tcPr>
            <w:tcW w:w="1654" w:type="dxa"/>
            <w:tcBorders>
              <w:top w:val="single" w:color="000000" w:sz="4" w:space="0"/>
              <w:left w:val="single" w:color="000000" w:sz="4" w:space="0"/>
              <w:bottom w:val="single" w:color="000000" w:sz="4" w:space="0"/>
              <w:right w:val="single" w:color="000000" w:sz="4" w:space="0"/>
            </w:tcBorders>
          </w:tcPr>
          <w:p>
            <w:pPr>
              <w:pStyle w:val="52"/>
              <w:ind w:left="1134" w:leftChars="0" w:right="-180" w:rightChars="-75" w:hanging="1134" w:firstLineChars="0"/>
              <w:jc w:val="center"/>
              <w:rPr>
                <w:rFonts w:ascii="宋体" w:cs="宋体"/>
                <w:b/>
                <w:bCs/>
                <w:sz w:val="24"/>
                <w:szCs w:val="24"/>
                <w:highlight w:val="none"/>
              </w:rPr>
            </w:pPr>
            <w:r>
              <w:rPr>
                <w:rFonts w:hint="eastAsia" w:ascii="宋体" w:cs="宋体"/>
                <w:b/>
                <w:bCs/>
                <w:sz w:val="24"/>
                <w:szCs w:val="24"/>
                <w:highlight w:val="none"/>
              </w:rPr>
              <w:t>≥3</w:t>
            </w:r>
            <w:r>
              <w:rPr>
                <w:rFonts w:ascii="宋体" w:cs="宋体"/>
                <w:b/>
                <w:bCs/>
                <w:sz w:val="24"/>
                <w:szCs w:val="24"/>
                <w:highlight w:val="none"/>
              </w:rPr>
              <w:t>900</w:t>
            </w:r>
          </w:p>
        </w:tc>
        <w:tc>
          <w:tcPr>
            <w:tcW w:w="141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52"/>
              <w:ind w:left="1134" w:leftChars="0" w:right="-180" w:rightChars="-75" w:hanging="1134" w:firstLineChars="0"/>
              <w:jc w:val="center"/>
              <w:rPr>
                <w:rFonts w:ascii="宋体" w:cs="宋体"/>
                <w:b/>
                <w:bCs/>
                <w:sz w:val="24"/>
                <w:szCs w:val="24"/>
                <w:highlight w:val="none"/>
              </w:rPr>
            </w:pPr>
            <w:r>
              <w:rPr>
                <w:rFonts w:hint="eastAsia" w:ascii="宋体" w:cs="宋体"/>
                <w:b/>
                <w:bCs/>
                <w:sz w:val="24"/>
                <w:szCs w:val="24"/>
                <w:highlight w:val="none"/>
              </w:rPr>
              <w:t>4.10kw</w:t>
            </w:r>
          </w:p>
        </w:tc>
        <w:tc>
          <w:tcPr>
            <w:tcW w:w="25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52"/>
              <w:tabs>
                <w:tab w:val="left" w:pos="2160"/>
              </w:tabs>
              <w:ind w:left="1134" w:right="-180" w:rightChars="-75" w:hanging="708"/>
              <w:jc w:val="center"/>
              <w:rPr>
                <w:rFonts w:ascii="宋体" w:cs="宋体"/>
                <w:b/>
                <w:bCs/>
                <w:sz w:val="24"/>
                <w:szCs w:val="24"/>
                <w:highlight w:val="none"/>
              </w:rPr>
            </w:pPr>
            <w:r>
              <w:rPr>
                <w:rFonts w:hint="eastAsia" w:ascii="宋体" w:cs="宋体"/>
                <w:b/>
                <w:bCs/>
                <w:sz w:val="24"/>
                <w:szCs w:val="24"/>
                <w:highlight w:val="none"/>
              </w:rPr>
              <w:t>870×530×1700</w:t>
            </w:r>
          </w:p>
        </w:tc>
        <w:tc>
          <w:tcPr>
            <w:tcW w:w="171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52"/>
              <w:tabs>
                <w:tab w:val="left" w:pos="240"/>
              </w:tabs>
              <w:ind w:left="1134" w:leftChars="0" w:right="-180" w:rightChars="-75" w:hanging="1134" w:firstLineChars="0"/>
              <w:jc w:val="center"/>
              <w:rPr>
                <w:rFonts w:ascii="宋体" w:cs="宋体"/>
                <w:b/>
                <w:bCs/>
                <w:sz w:val="24"/>
                <w:szCs w:val="24"/>
                <w:highlight w:val="none"/>
              </w:rPr>
            </w:pPr>
            <w:r>
              <w:rPr>
                <w:rFonts w:hint="eastAsia" w:ascii="宋体" w:cs="宋体"/>
                <w:b/>
                <w:bCs/>
                <w:sz w:val="24"/>
                <w:szCs w:val="24"/>
                <w:highlight w:val="none"/>
              </w:rPr>
              <w:t>32℃38%RH</w:t>
            </w:r>
          </w:p>
        </w:tc>
      </w:tr>
    </w:tbl>
    <w:p>
      <w:pPr>
        <w:spacing w:line="360" w:lineRule="auto"/>
        <w:ind w:left="1134" w:right="-180" w:rightChars="-75" w:firstLine="482" w:firstLineChars="200"/>
        <w:rPr>
          <w:b/>
          <w:bCs/>
          <w:color w:val="auto"/>
          <w:szCs w:val="24"/>
          <w:highlight w:val="none"/>
        </w:rPr>
      </w:pPr>
      <w:r>
        <w:rPr>
          <w:rFonts w:hint="eastAsia"/>
          <w:b/>
          <w:bCs/>
          <w:color w:val="auto"/>
          <w:szCs w:val="24"/>
          <w:highlight w:val="none"/>
        </w:rPr>
        <w:t>1)</w:t>
      </w:r>
      <w:r>
        <w:rPr>
          <w:b/>
          <w:bCs/>
          <w:color w:val="auto"/>
          <w:szCs w:val="24"/>
          <w:highlight w:val="none"/>
        </w:rPr>
        <w:t>柜体：采用碳钢金属框架，壁厚1.5mm。面板采用喷塑金属板，面板厚度1.2mm</w:t>
      </w:r>
      <w:r>
        <w:rPr>
          <w:rFonts w:hint="eastAsia"/>
          <w:b/>
          <w:bCs/>
          <w:color w:val="auto"/>
          <w:szCs w:val="24"/>
          <w:highlight w:val="none"/>
        </w:rPr>
        <w:t>，</w:t>
      </w:r>
      <w:r>
        <w:rPr>
          <w:b/>
          <w:bCs/>
          <w:color w:val="auto"/>
          <w:szCs w:val="24"/>
          <w:highlight w:val="none"/>
        </w:rPr>
        <w:t>应具有较强的防锈性能</w:t>
      </w:r>
      <w:r>
        <w:rPr>
          <w:rFonts w:hint="eastAsia"/>
          <w:b/>
          <w:bCs/>
          <w:color w:val="auto"/>
          <w:szCs w:val="24"/>
          <w:highlight w:val="none"/>
        </w:rPr>
        <w:t>，</w:t>
      </w:r>
      <w:r>
        <w:rPr>
          <w:b/>
          <w:bCs/>
          <w:color w:val="auto"/>
          <w:szCs w:val="24"/>
          <w:highlight w:val="none"/>
        </w:rPr>
        <w:t>防火等级A0 级。</w:t>
      </w:r>
    </w:p>
    <w:p>
      <w:pPr>
        <w:spacing w:line="360" w:lineRule="auto"/>
        <w:ind w:left="1134" w:right="-180" w:rightChars="-75" w:firstLine="480" w:firstLineChars="200"/>
        <w:rPr>
          <w:color w:val="auto"/>
          <w:szCs w:val="24"/>
          <w:highlight w:val="none"/>
        </w:rPr>
      </w:pPr>
      <w:r>
        <w:rPr>
          <w:color w:val="auto"/>
          <w:szCs w:val="24"/>
          <w:highlight w:val="none"/>
        </w:rPr>
        <w:t>2</w:t>
      </w:r>
      <w:r>
        <w:rPr>
          <w:rFonts w:hint="eastAsia"/>
          <w:color w:val="auto"/>
          <w:szCs w:val="24"/>
          <w:highlight w:val="none"/>
        </w:rPr>
        <w:t>)</w:t>
      </w:r>
      <w:r>
        <w:rPr>
          <w:color w:val="auto"/>
          <w:szCs w:val="24"/>
          <w:highlight w:val="none"/>
        </w:rPr>
        <w:t>智能控制：</w:t>
      </w:r>
      <w:r>
        <w:rPr>
          <w:rFonts w:hint="eastAsia"/>
          <w:color w:val="auto"/>
          <w:szCs w:val="24"/>
          <w:highlight w:val="none"/>
        </w:rPr>
        <w:t>除</w:t>
      </w:r>
      <w:r>
        <w:rPr>
          <w:color w:val="auto"/>
          <w:szCs w:val="24"/>
          <w:highlight w:val="none"/>
        </w:rPr>
        <w:t>湿器采用</w:t>
      </w:r>
      <w:r>
        <w:rPr>
          <w:rFonts w:hint="eastAsia"/>
          <w:color w:val="auto"/>
          <w:szCs w:val="24"/>
          <w:highlight w:val="none"/>
        </w:rPr>
        <w:t>智能</w:t>
      </w:r>
      <w:r>
        <w:rPr>
          <w:color w:val="auto"/>
          <w:szCs w:val="24"/>
          <w:highlight w:val="none"/>
        </w:rPr>
        <w:t>控制系统，配置彩色</w:t>
      </w:r>
      <w:r>
        <w:rPr>
          <w:rFonts w:hint="eastAsia"/>
          <w:color w:val="auto"/>
          <w:szCs w:val="24"/>
          <w:highlight w:val="none"/>
        </w:rPr>
        <w:t>触摸</w:t>
      </w:r>
      <w:r>
        <w:rPr>
          <w:color w:val="auto"/>
          <w:szCs w:val="24"/>
          <w:highlight w:val="none"/>
        </w:rPr>
        <w:t>显示屏，可控制和</w:t>
      </w:r>
      <w:r>
        <w:rPr>
          <w:rFonts w:hint="eastAsia"/>
          <w:color w:val="auto"/>
          <w:szCs w:val="24"/>
          <w:highlight w:val="none"/>
        </w:rPr>
        <w:t>除湿</w:t>
      </w:r>
      <w:r>
        <w:rPr>
          <w:color w:val="auto"/>
          <w:szCs w:val="24"/>
          <w:highlight w:val="none"/>
        </w:rPr>
        <w:t>风机、</w:t>
      </w:r>
      <w:r>
        <w:rPr>
          <w:rFonts w:hint="eastAsia"/>
          <w:color w:val="auto"/>
          <w:szCs w:val="24"/>
          <w:highlight w:val="none"/>
        </w:rPr>
        <w:t>压缩机状态，</w:t>
      </w:r>
      <w:r>
        <w:rPr>
          <w:color w:val="auto"/>
          <w:szCs w:val="24"/>
          <w:highlight w:val="none"/>
        </w:rPr>
        <w:t>环境温度、湿度的显示状态和设备运行参数状态以及故障报警信息，现场可以根据需要设定湿度值。标配RS485接口，支持Modbus通信协议。可以通过RS485接口与上位机连接，实现对</w:t>
      </w:r>
      <w:r>
        <w:rPr>
          <w:rFonts w:hint="eastAsia"/>
          <w:color w:val="auto"/>
          <w:szCs w:val="24"/>
          <w:highlight w:val="none"/>
        </w:rPr>
        <w:t>设备</w:t>
      </w:r>
      <w:r>
        <w:rPr>
          <w:color w:val="auto"/>
          <w:szCs w:val="24"/>
          <w:highlight w:val="none"/>
        </w:rPr>
        <w:t>远程监控、远程操作、远程诊断，并通过管理软件可远程修改加湿器的设置参数（如开/关机、风机运行模式、湿度设定等）。</w:t>
      </w:r>
    </w:p>
    <w:p>
      <w:pPr>
        <w:spacing w:line="360" w:lineRule="auto"/>
        <w:ind w:left="1134" w:right="-180" w:rightChars="-75" w:firstLine="480" w:firstLineChars="200"/>
        <w:rPr>
          <w:color w:val="auto"/>
          <w:szCs w:val="24"/>
          <w:highlight w:val="none"/>
        </w:rPr>
      </w:pPr>
      <w:r>
        <w:rPr>
          <w:color w:val="auto"/>
          <w:szCs w:val="24"/>
          <w:highlight w:val="none"/>
        </w:rPr>
        <w:t>3</w:t>
      </w:r>
      <w:r>
        <w:rPr>
          <w:rFonts w:hint="eastAsia"/>
          <w:color w:val="auto"/>
          <w:szCs w:val="24"/>
          <w:highlight w:val="none"/>
        </w:rPr>
        <w:t>)含漏水报警。</w:t>
      </w:r>
    </w:p>
    <w:p>
      <w:pPr>
        <w:pStyle w:val="7"/>
        <w:ind w:left="1134" w:right="-180" w:rightChars="-75" w:hanging="708"/>
        <w:rPr>
          <w:rFonts w:ascii="宋体" w:hAnsi="宋体" w:eastAsia="宋体" w:cs="宋体"/>
          <w:color w:val="auto"/>
          <w:highlight w:val="none"/>
        </w:rPr>
      </w:pPr>
      <w:r>
        <w:rPr>
          <w:rFonts w:hint="eastAsia" w:ascii="宋体" w:hAnsi="宋体" w:eastAsia="宋体" w:cs="宋体"/>
          <w:color w:val="auto"/>
          <w:highlight w:val="none"/>
        </w:rPr>
        <w:t>4）主控室冷暖天花机要求</w:t>
      </w:r>
    </w:p>
    <w:p>
      <w:pPr>
        <w:pStyle w:val="48"/>
        <w:numPr>
          <w:ilvl w:val="0"/>
          <w:numId w:val="74"/>
        </w:numPr>
        <w:tabs>
          <w:tab w:val="left" w:pos="1680"/>
        </w:tabs>
        <w:spacing w:line="360" w:lineRule="auto"/>
        <w:ind w:left="1434" w:right="-180" w:rightChars="-75" w:firstLine="6" w:firstLineChars="0"/>
        <w:rPr>
          <w:rFonts w:ascii="宋体" w:hAnsi="宋体" w:eastAsia="宋体" w:cs="宋体"/>
          <w:sz w:val="24"/>
          <w:szCs w:val="24"/>
          <w:highlight w:val="none"/>
        </w:rPr>
      </w:pPr>
      <w:r>
        <w:rPr>
          <w:rFonts w:hint="eastAsia" w:ascii="宋体" w:hAnsi="宋体" w:eastAsia="宋体" w:cs="宋体"/>
          <w:sz w:val="24"/>
          <w:szCs w:val="24"/>
          <w:highlight w:val="none"/>
        </w:rPr>
        <w:t>制冷量12KW，制热量14KW</w:t>
      </w:r>
    </w:p>
    <w:p>
      <w:pPr>
        <w:pStyle w:val="48"/>
        <w:numPr>
          <w:ilvl w:val="0"/>
          <w:numId w:val="74"/>
        </w:numPr>
        <w:tabs>
          <w:tab w:val="left" w:pos="1680"/>
        </w:tabs>
        <w:spacing w:line="360" w:lineRule="auto"/>
        <w:ind w:left="1434" w:right="-180" w:rightChars="-75" w:firstLine="6" w:firstLineChars="0"/>
        <w:rPr>
          <w:rFonts w:ascii="宋体" w:hAnsi="宋体" w:eastAsia="宋体" w:cs="宋体"/>
          <w:sz w:val="24"/>
          <w:szCs w:val="24"/>
          <w:highlight w:val="none"/>
        </w:rPr>
      </w:pPr>
      <w:r>
        <w:rPr>
          <w:rFonts w:hint="eastAsia" w:ascii="宋体" w:hAnsi="宋体" w:eastAsia="宋体" w:cs="宋体"/>
          <w:sz w:val="24"/>
          <w:szCs w:val="24"/>
          <w:highlight w:val="none"/>
        </w:rPr>
        <w:t>电源：三相 380V，50Hz</w:t>
      </w:r>
    </w:p>
    <w:p>
      <w:pPr>
        <w:pStyle w:val="48"/>
        <w:numPr>
          <w:ilvl w:val="0"/>
          <w:numId w:val="74"/>
        </w:numPr>
        <w:tabs>
          <w:tab w:val="left" w:pos="1680"/>
        </w:tabs>
        <w:spacing w:line="360" w:lineRule="auto"/>
        <w:ind w:left="1434" w:right="-180" w:rightChars="-75" w:firstLine="6" w:firstLineChars="0"/>
        <w:rPr>
          <w:rFonts w:ascii="宋体" w:hAnsi="宋体" w:eastAsia="宋体" w:cs="宋体"/>
          <w:sz w:val="24"/>
          <w:szCs w:val="24"/>
          <w:highlight w:val="none"/>
        </w:rPr>
      </w:pPr>
      <w:r>
        <w:rPr>
          <w:rFonts w:hint="eastAsia" w:ascii="宋体" w:hAnsi="宋体" w:eastAsia="宋体" w:cs="宋体"/>
          <w:sz w:val="24"/>
          <w:szCs w:val="24"/>
          <w:highlight w:val="none"/>
        </w:rPr>
        <w:t>送风量27/23/19 M3/MIN</w:t>
      </w:r>
    </w:p>
    <w:p>
      <w:pPr>
        <w:pStyle w:val="48"/>
        <w:numPr>
          <w:ilvl w:val="0"/>
          <w:numId w:val="74"/>
        </w:numPr>
        <w:tabs>
          <w:tab w:val="left" w:pos="1680"/>
        </w:tabs>
        <w:spacing w:line="360" w:lineRule="auto"/>
        <w:ind w:left="1434" w:right="-180" w:rightChars="-75" w:firstLine="6" w:firstLineChars="0"/>
        <w:rPr>
          <w:rFonts w:ascii="宋体" w:hAnsi="宋体" w:eastAsia="宋体" w:cs="宋体"/>
          <w:sz w:val="24"/>
          <w:szCs w:val="24"/>
          <w:highlight w:val="none"/>
        </w:rPr>
      </w:pPr>
      <w:r>
        <w:rPr>
          <w:rFonts w:hint="eastAsia" w:ascii="宋体" w:hAnsi="宋体" w:eastAsia="宋体" w:cs="宋体"/>
          <w:sz w:val="24"/>
          <w:szCs w:val="24"/>
          <w:highlight w:val="none"/>
        </w:rPr>
        <w:t xml:space="preserve">配置有线墙面操作面板，以及无线红外遥控组件 </w:t>
      </w:r>
    </w:p>
    <w:p>
      <w:pPr>
        <w:numPr>
          <w:ilvl w:val="2"/>
          <w:numId w:val="3"/>
        </w:numPr>
        <w:spacing w:after="0" w:line="360" w:lineRule="auto"/>
        <w:ind w:left="1134" w:right="-180" w:rightChars="-75" w:hanging="708"/>
        <w:rPr>
          <w:color w:val="auto"/>
          <w:szCs w:val="24"/>
          <w:highlight w:val="none"/>
        </w:rPr>
      </w:pPr>
      <w:r>
        <w:rPr>
          <w:rFonts w:hint="eastAsia"/>
          <w:color w:val="auto"/>
          <w:szCs w:val="24"/>
          <w:highlight w:val="none"/>
        </w:rPr>
        <w:t>送排风系统</w:t>
      </w:r>
    </w:p>
    <w:p>
      <w:pPr>
        <w:pStyle w:val="7"/>
        <w:ind w:left="1134" w:right="-180" w:rightChars="-75" w:hanging="708"/>
        <w:rPr>
          <w:rFonts w:ascii="宋体" w:hAnsi="宋体" w:eastAsia="宋体" w:cs="宋体"/>
          <w:color w:val="auto"/>
          <w:highlight w:val="none"/>
        </w:rPr>
      </w:pPr>
      <w:r>
        <w:rPr>
          <w:rFonts w:hint="eastAsia" w:ascii="宋体" w:hAnsi="宋体" w:eastAsia="宋体" w:cs="宋体"/>
          <w:color w:val="auto"/>
          <w:highlight w:val="none"/>
        </w:rPr>
        <w:t>1）新风机</w:t>
      </w:r>
    </w:p>
    <w:p>
      <w:pPr>
        <w:pStyle w:val="48"/>
        <w:numPr>
          <w:ilvl w:val="0"/>
          <w:numId w:val="75"/>
        </w:numPr>
        <w:tabs>
          <w:tab w:val="left" w:pos="1680"/>
        </w:tabs>
        <w:spacing w:line="360" w:lineRule="auto"/>
        <w:ind w:left="1434" w:right="-180" w:rightChars="-75" w:firstLine="6" w:firstLineChars="0"/>
        <w:rPr>
          <w:rFonts w:ascii="宋体" w:hAnsi="宋体" w:eastAsia="宋体" w:cs="宋体"/>
          <w:sz w:val="24"/>
          <w:szCs w:val="24"/>
          <w:highlight w:val="none"/>
        </w:rPr>
      </w:pPr>
      <w:r>
        <w:rPr>
          <w:rFonts w:hint="eastAsia" w:ascii="宋体" w:hAnsi="宋体" w:eastAsia="宋体" w:cs="宋体"/>
          <w:sz w:val="24"/>
          <w:szCs w:val="24"/>
          <w:highlight w:val="none"/>
        </w:rPr>
        <w:t>电源：三相 380V，功率700W</w:t>
      </w:r>
    </w:p>
    <w:p>
      <w:pPr>
        <w:pStyle w:val="48"/>
        <w:numPr>
          <w:ilvl w:val="0"/>
          <w:numId w:val="75"/>
        </w:numPr>
        <w:tabs>
          <w:tab w:val="left" w:pos="1680"/>
        </w:tabs>
        <w:spacing w:line="360" w:lineRule="auto"/>
        <w:ind w:left="1434" w:right="-180" w:rightChars="-75" w:firstLine="6" w:firstLineChars="0"/>
        <w:rPr>
          <w:rFonts w:ascii="宋体" w:hAnsi="宋体" w:eastAsia="宋体" w:cs="宋体"/>
          <w:sz w:val="24"/>
          <w:szCs w:val="24"/>
          <w:highlight w:val="none"/>
        </w:rPr>
      </w:pPr>
      <w:r>
        <w:rPr>
          <w:rFonts w:hint="eastAsia" w:ascii="宋体" w:hAnsi="宋体" w:eastAsia="宋体" w:cs="宋体"/>
          <w:sz w:val="24"/>
          <w:szCs w:val="24"/>
          <w:highlight w:val="none"/>
        </w:rPr>
        <w:t>尺寸：900×1040×460mm</w:t>
      </w:r>
    </w:p>
    <w:p>
      <w:pPr>
        <w:pStyle w:val="48"/>
        <w:numPr>
          <w:ilvl w:val="0"/>
          <w:numId w:val="75"/>
        </w:numPr>
        <w:tabs>
          <w:tab w:val="left" w:pos="1680"/>
        </w:tabs>
        <w:spacing w:line="360" w:lineRule="auto"/>
        <w:ind w:left="1434" w:right="-180" w:rightChars="-75" w:firstLine="6" w:firstLineChars="0"/>
        <w:rPr>
          <w:rFonts w:ascii="宋体" w:hAnsi="宋体" w:eastAsia="宋体" w:cs="宋体"/>
          <w:sz w:val="24"/>
          <w:szCs w:val="24"/>
          <w:highlight w:val="none"/>
        </w:rPr>
      </w:pPr>
      <w:r>
        <w:rPr>
          <w:rFonts w:hint="eastAsia" w:ascii="宋体" w:hAnsi="宋体" w:eastAsia="宋体" w:cs="宋体"/>
          <w:sz w:val="24"/>
          <w:szCs w:val="24"/>
          <w:highlight w:val="none"/>
        </w:rPr>
        <w:t>送风量3500 M3/H，</w:t>
      </w:r>
    </w:p>
    <w:p>
      <w:pPr>
        <w:pStyle w:val="48"/>
        <w:numPr>
          <w:ilvl w:val="0"/>
          <w:numId w:val="75"/>
        </w:numPr>
        <w:tabs>
          <w:tab w:val="left" w:pos="1680"/>
        </w:tabs>
        <w:spacing w:line="360" w:lineRule="auto"/>
        <w:ind w:left="1434" w:right="-180" w:rightChars="-75" w:firstLine="6" w:firstLineChars="0"/>
        <w:rPr>
          <w:rFonts w:ascii="宋体" w:hAnsi="宋体" w:eastAsia="宋体" w:cs="宋体"/>
          <w:sz w:val="24"/>
          <w:szCs w:val="24"/>
          <w:highlight w:val="none"/>
        </w:rPr>
      </w:pPr>
      <w:r>
        <w:rPr>
          <w:rFonts w:hint="eastAsia" w:ascii="宋体" w:hAnsi="宋体" w:eastAsia="宋体" w:cs="宋体"/>
          <w:sz w:val="24"/>
          <w:szCs w:val="24"/>
          <w:highlight w:val="none"/>
        </w:rPr>
        <w:t>Pj=240Pa</w:t>
      </w:r>
    </w:p>
    <w:p>
      <w:pPr>
        <w:pStyle w:val="48"/>
        <w:numPr>
          <w:ilvl w:val="0"/>
          <w:numId w:val="75"/>
        </w:numPr>
        <w:tabs>
          <w:tab w:val="left" w:pos="1680"/>
        </w:tabs>
        <w:spacing w:line="360" w:lineRule="auto"/>
        <w:ind w:left="1434" w:right="-180" w:rightChars="-75" w:firstLine="6" w:firstLineChars="0"/>
        <w:rPr>
          <w:rFonts w:ascii="宋体" w:hAnsi="宋体" w:eastAsia="宋体" w:cs="宋体"/>
          <w:sz w:val="24"/>
          <w:szCs w:val="24"/>
          <w:highlight w:val="none"/>
        </w:rPr>
      </w:pPr>
      <w:r>
        <w:rPr>
          <w:rFonts w:hint="eastAsia" w:ascii="宋体" w:hAnsi="宋体" w:eastAsia="宋体" w:cs="宋体"/>
          <w:sz w:val="24"/>
          <w:szCs w:val="24"/>
          <w:highlight w:val="none"/>
        </w:rPr>
        <w:t>三级过滤，含滤网</w:t>
      </w:r>
    </w:p>
    <w:p>
      <w:pPr>
        <w:pStyle w:val="48"/>
        <w:numPr>
          <w:ilvl w:val="0"/>
          <w:numId w:val="75"/>
        </w:numPr>
        <w:tabs>
          <w:tab w:val="left" w:pos="1680"/>
        </w:tabs>
        <w:spacing w:line="360" w:lineRule="auto"/>
        <w:ind w:left="1434" w:right="-180" w:rightChars="-75" w:firstLine="6" w:firstLineChars="0"/>
        <w:rPr>
          <w:rFonts w:ascii="宋体" w:hAnsi="宋体" w:eastAsia="宋体" w:cs="宋体"/>
          <w:sz w:val="24"/>
          <w:szCs w:val="24"/>
          <w:highlight w:val="none"/>
        </w:rPr>
      </w:pPr>
      <w:r>
        <w:rPr>
          <w:rFonts w:hint="eastAsia" w:ascii="宋体" w:hAnsi="宋体" w:eastAsia="宋体" w:cs="宋体"/>
          <w:sz w:val="24"/>
          <w:szCs w:val="24"/>
          <w:highlight w:val="none"/>
        </w:rPr>
        <w:t>静音风机</w:t>
      </w:r>
    </w:p>
    <w:p>
      <w:pPr>
        <w:pStyle w:val="48"/>
        <w:numPr>
          <w:ilvl w:val="0"/>
          <w:numId w:val="75"/>
        </w:numPr>
        <w:tabs>
          <w:tab w:val="left" w:pos="1680"/>
        </w:tabs>
        <w:spacing w:line="360" w:lineRule="auto"/>
        <w:ind w:left="1434" w:right="-180" w:rightChars="-75" w:firstLine="6" w:firstLineChars="0"/>
        <w:rPr>
          <w:rFonts w:ascii="宋体" w:hAnsi="宋体" w:eastAsia="宋体" w:cs="宋体"/>
          <w:sz w:val="24"/>
          <w:szCs w:val="24"/>
          <w:highlight w:val="none"/>
        </w:rPr>
      </w:pPr>
      <w:r>
        <w:rPr>
          <w:rFonts w:hint="eastAsia" w:ascii="宋体" w:hAnsi="宋体" w:eastAsia="宋体" w:cs="宋体"/>
          <w:sz w:val="24"/>
          <w:szCs w:val="24"/>
          <w:highlight w:val="none"/>
        </w:rPr>
        <w:t>含风管：镀锌钢板，尺寸：500×350mm，300×300mm，保温：20橡塑板</w:t>
      </w:r>
    </w:p>
    <w:p>
      <w:pPr>
        <w:pStyle w:val="48"/>
        <w:numPr>
          <w:ilvl w:val="0"/>
          <w:numId w:val="75"/>
        </w:numPr>
        <w:tabs>
          <w:tab w:val="left" w:pos="1680"/>
        </w:tabs>
        <w:spacing w:line="360" w:lineRule="auto"/>
        <w:ind w:left="1434" w:right="-180" w:rightChars="-75" w:firstLine="6" w:firstLineChars="0"/>
        <w:rPr>
          <w:rFonts w:ascii="宋体" w:hAnsi="宋体" w:eastAsia="宋体" w:cs="宋体"/>
          <w:sz w:val="24"/>
          <w:szCs w:val="24"/>
          <w:highlight w:val="none"/>
        </w:rPr>
      </w:pPr>
      <w:r>
        <w:rPr>
          <w:rFonts w:hint="eastAsia" w:ascii="宋体" w:hAnsi="宋体" w:eastAsia="宋体" w:cs="宋体"/>
          <w:sz w:val="24"/>
          <w:szCs w:val="24"/>
          <w:highlight w:val="none"/>
        </w:rPr>
        <w:t>含外墙百叶风口：500×350mm；调节阀风口：300×300mm</w:t>
      </w:r>
    </w:p>
    <w:p>
      <w:pPr>
        <w:pStyle w:val="48"/>
        <w:numPr>
          <w:ilvl w:val="0"/>
          <w:numId w:val="75"/>
        </w:numPr>
        <w:tabs>
          <w:tab w:val="left" w:pos="1680"/>
        </w:tabs>
        <w:spacing w:line="360" w:lineRule="auto"/>
        <w:ind w:left="1434" w:right="-180" w:rightChars="-75" w:firstLine="6" w:firstLineChars="0"/>
        <w:rPr>
          <w:rFonts w:ascii="宋体" w:hAnsi="宋体" w:eastAsia="宋体" w:cs="宋体"/>
          <w:sz w:val="24"/>
          <w:szCs w:val="24"/>
          <w:highlight w:val="none"/>
        </w:rPr>
      </w:pPr>
      <w:r>
        <w:rPr>
          <w:rFonts w:hint="eastAsia" w:ascii="宋体" w:hAnsi="宋体" w:eastAsia="宋体" w:cs="宋体"/>
          <w:sz w:val="24"/>
          <w:szCs w:val="24"/>
          <w:highlight w:val="none"/>
        </w:rPr>
        <w:t>含安装辅材。</w:t>
      </w:r>
    </w:p>
    <w:p>
      <w:pPr>
        <w:pStyle w:val="7"/>
        <w:ind w:left="1134" w:right="-180" w:rightChars="-75" w:hanging="708"/>
        <w:rPr>
          <w:rFonts w:ascii="宋体" w:hAnsi="宋体" w:eastAsia="宋体" w:cs="宋体"/>
          <w:color w:val="auto"/>
          <w:highlight w:val="none"/>
        </w:rPr>
      </w:pPr>
      <w:r>
        <w:rPr>
          <w:rFonts w:hint="eastAsia" w:ascii="宋体" w:hAnsi="宋体" w:eastAsia="宋体" w:cs="宋体"/>
          <w:color w:val="auto"/>
          <w:highlight w:val="none"/>
        </w:rPr>
        <w:t>2）排风机</w:t>
      </w:r>
    </w:p>
    <w:p>
      <w:pPr>
        <w:pStyle w:val="48"/>
        <w:numPr>
          <w:ilvl w:val="0"/>
          <w:numId w:val="76"/>
        </w:numPr>
        <w:tabs>
          <w:tab w:val="left" w:pos="1680"/>
        </w:tabs>
        <w:spacing w:line="360" w:lineRule="auto"/>
        <w:ind w:left="1434" w:right="-180" w:rightChars="-75" w:firstLine="6" w:firstLineChars="0"/>
        <w:rPr>
          <w:rFonts w:ascii="宋体" w:hAnsi="宋体" w:eastAsia="宋体" w:cs="宋体"/>
          <w:sz w:val="24"/>
          <w:szCs w:val="24"/>
          <w:highlight w:val="none"/>
        </w:rPr>
      </w:pPr>
      <w:r>
        <w:rPr>
          <w:rFonts w:hint="eastAsia" w:ascii="宋体" w:hAnsi="宋体" w:eastAsia="宋体" w:cs="宋体"/>
          <w:sz w:val="24"/>
          <w:szCs w:val="24"/>
          <w:highlight w:val="none"/>
        </w:rPr>
        <w:t>电源：三相 380V，功率1100W</w:t>
      </w:r>
    </w:p>
    <w:p>
      <w:pPr>
        <w:pStyle w:val="48"/>
        <w:numPr>
          <w:ilvl w:val="0"/>
          <w:numId w:val="76"/>
        </w:numPr>
        <w:tabs>
          <w:tab w:val="left" w:pos="1680"/>
        </w:tabs>
        <w:spacing w:line="360" w:lineRule="auto"/>
        <w:ind w:left="1434" w:right="-180" w:rightChars="-75" w:firstLine="6" w:firstLineChars="0"/>
        <w:rPr>
          <w:rFonts w:ascii="宋体" w:hAnsi="宋体" w:eastAsia="宋体" w:cs="宋体"/>
          <w:sz w:val="24"/>
          <w:szCs w:val="24"/>
          <w:highlight w:val="none"/>
        </w:rPr>
      </w:pPr>
      <w:r>
        <w:rPr>
          <w:rFonts w:hint="eastAsia" w:ascii="宋体" w:hAnsi="宋体" w:eastAsia="宋体" w:cs="宋体"/>
          <w:sz w:val="24"/>
          <w:szCs w:val="24"/>
          <w:highlight w:val="none"/>
        </w:rPr>
        <w:t>尺寸：900×730×430mm</w:t>
      </w:r>
    </w:p>
    <w:p>
      <w:pPr>
        <w:pStyle w:val="48"/>
        <w:numPr>
          <w:ilvl w:val="0"/>
          <w:numId w:val="76"/>
        </w:numPr>
        <w:tabs>
          <w:tab w:val="left" w:pos="1680"/>
        </w:tabs>
        <w:spacing w:line="360" w:lineRule="auto"/>
        <w:ind w:left="1434" w:right="-180" w:rightChars="-75" w:firstLine="6" w:firstLineChars="0"/>
        <w:rPr>
          <w:rFonts w:ascii="宋体" w:hAnsi="宋体" w:eastAsia="宋体" w:cs="宋体"/>
          <w:sz w:val="24"/>
          <w:szCs w:val="24"/>
          <w:highlight w:val="none"/>
        </w:rPr>
      </w:pPr>
      <w:r>
        <w:rPr>
          <w:rFonts w:hint="eastAsia" w:ascii="宋体" w:hAnsi="宋体" w:eastAsia="宋体" w:cs="宋体"/>
          <w:sz w:val="24"/>
          <w:szCs w:val="24"/>
          <w:highlight w:val="none"/>
        </w:rPr>
        <w:t>送风量2500 M3/H，Pj=150Pa</w:t>
      </w:r>
    </w:p>
    <w:p>
      <w:pPr>
        <w:pStyle w:val="48"/>
        <w:numPr>
          <w:ilvl w:val="0"/>
          <w:numId w:val="76"/>
        </w:numPr>
        <w:tabs>
          <w:tab w:val="left" w:pos="1680"/>
        </w:tabs>
        <w:spacing w:line="360" w:lineRule="auto"/>
        <w:ind w:left="1434" w:right="-180" w:rightChars="-75" w:firstLine="6" w:firstLineChars="0"/>
        <w:rPr>
          <w:rFonts w:ascii="宋体" w:hAnsi="宋体" w:eastAsia="宋体" w:cs="宋体"/>
          <w:sz w:val="24"/>
          <w:szCs w:val="24"/>
          <w:highlight w:val="none"/>
        </w:rPr>
      </w:pPr>
      <w:r>
        <w:rPr>
          <w:rFonts w:hint="eastAsia" w:ascii="宋体" w:hAnsi="宋体" w:eastAsia="宋体" w:cs="宋体"/>
          <w:sz w:val="24"/>
          <w:szCs w:val="24"/>
          <w:highlight w:val="none"/>
        </w:rPr>
        <w:t>静音风机，三级过滤</w:t>
      </w:r>
    </w:p>
    <w:p>
      <w:pPr>
        <w:pStyle w:val="48"/>
        <w:numPr>
          <w:ilvl w:val="0"/>
          <w:numId w:val="76"/>
        </w:numPr>
        <w:tabs>
          <w:tab w:val="left" w:pos="1680"/>
        </w:tabs>
        <w:spacing w:line="360" w:lineRule="auto"/>
        <w:ind w:left="1434" w:right="-180" w:rightChars="-75" w:firstLine="6" w:firstLineChars="0"/>
        <w:rPr>
          <w:rFonts w:ascii="宋体" w:hAnsi="宋体" w:eastAsia="宋体" w:cs="宋体"/>
          <w:sz w:val="24"/>
          <w:szCs w:val="24"/>
          <w:highlight w:val="none"/>
        </w:rPr>
      </w:pPr>
      <w:r>
        <w:rPr>
          <w:rFonts w:hint="eastAsia" w:ascii="宋体" w:hAnsi="宋体" w:eastAsia="宋体" w:cs="宋体"/>
          <w:sz w:val="24"/>
          <w:szCs w:val="24"/>
          <w:highlight w:val="none"/>
        </w:rPr>
        <w:t>含风管：镀锌钢板，尺寸：500×350mm，400×300mm，保温：20橡塑板</w:t>
      </w:r>
    </w:p>
    <w:p>
      <w:pPr>
        <w:pStyle w:val="48"/>
        <w:numPr>
          <w:ilvl w:val="0"/>
          <w:numId w:val="76"/>
        </w:numPr>
        <w:tabs>
          <w:tab w:val="left" w:pos="1680"/>
        </w:tabs>
        <w:spacing w:line="360" w:lineRule="auto"/>
        <w:ind w:left="1434" w:right="-180" w:rightChars="-75" w:firstLine="6" w:firstLineChars="0"/>
        <w:rPr>
          <w:rFonts w:ascii="宋体" w:hAnsi="宋体" w:eastAsia="宋体" w:cs="宋体"/>
          <w:sz w:val="24"/>
          <w:szCs w:val="24"/>
          <w:highlight w:val="none"/>
        </w:rPr>
      </w:pPr>
      <w:r>
        <w:rPr>
          <w:rFonts w:hint="eastAsia" w:ascii="宋体" w:hAnsi="宋体" w:eastAsia="宋体" w:cs="宋体"/>
          <w:sz w:val="24"/>
          <w:szCs w:val="24"/>
          <w:highlight w:val="none"/>
        </w:rPr>
        <w:t>含外墙百叶风口：500×350mm；调节阀风口：300×300mm</w:t>
      </w:r>
    </w:p>
    <w:p>
      <w:pPr>
        <w:pStyle w:val="48"/>
        <w:numPr>
          <w:ilvl w:val="0"/>
          <w:numId w:val="76"/>
        </w:numPr>
        <w:tabs>
          <w:tab w:val="left" w:pos="1680"/>
        </w:tabs>
        <w:spacing w:line="360" w:lineRule="auto"/>
        <w:ind w:left="1434" w:right="-180" w:rightChars="-75" w:firstLine="6" w:firstLineChars="0"/>
        <w:rPr>
          <w:rFonts w:ascii="宋体" w:hAnsi="宋体" w:eastAsia="宋体" w:cs="宋体"/>
          <w:sz w:val="24"/>
          <w:szCs w:val="24"/>
          <w:highlight w:val="none"/>
        </w:rPr>
      </w:pPr>
      <w:r>
        <w:rPr>
          <w:rFonts w:hint="eastAsia" w:ascii="宋体" w:hAnsi="宋体" w:eastAsia="宋体" w:cs="宋体"/>
          <w:sz w:val="24"/>
          <w:szCs w:val="24"/>
          <w:highlight w:val="none"/>
        </w:rPr>
        <w:t>含安装辅材。</w:t>
      </w:r>
    </w:p>
    <w:p>
      <w:pPr>
        <w:pStyle w:val="7"/>
        <w:ind w:left="1134" w:right="-180" w:rightChars="-75" w:hanging="708"/>
        <w:rPr>
          <w:rFonts w:ascii="宋体" w:hAnsi="宋体" w:eastAsia="宋体" w:cs="宋体"/>
          <w:color w:val="auto"/>
          <w:highlight w:val="none"/>
        </w:rPr>
      </w:pPr>
      <w:r>
        <w:rPr>
          <w:rFonts w:hint="eastAsia" w:ascii="宋体" w:hAnsi="宋体" w:eastAsia="宋体" w:cs="宋体"/>
          <w:color w:val="auto"/>
          <w:highlight w:val="none"/>
        </w:rPr>
        <w:t>7）控制箱</w:t>
      </w:r>
    </w:p>
    <w:p>
      <w:pPr>
        <w:pStyle w:val="48"/>
        <w:numPr>
          <w:ilvl w:val="0"/>
          <w:numId w:val="77"/>
        </w:numPr>
        <w:tabs>
          <w:tab w:val="left" w:pos="1440"/>
          <w:tab w:val="left" w:pos="1680"/>
        </w:tabs>
        <w:spacing w:line="360" w:lineRule="auto"/>
        <w:ind w:left="1440" w:leftChars="60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尺寸：400*500*200</w:t>
      </w:r>
    </w:p>
    <w:p>
      <w:pPr>
        <w:pStyle w:val="48"/>
        <w:numPr>
          <w:ilvl w:val="0"/>
          <w:numId w:val="77"/>
        </w:numPr>
        <w:tabs>
          <w:tab w:val="left" w:pos="1440"/>
          <w:tab w:val="left" w:pos="1680"/>
        </w:tabs>
        <w:spacing w:line="360" w:lineRule="auto"/>
        <w:ind w:left="1440" w:leftChars="60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含空开、接触器等。</w:t>
      </w:r>
    </w:p>
    <w:p>
      <w:pPr>
        <w:pStyle w:val="48"/>
        <w:numPr>
          <w:ilvl w:val="0"/>
          <w:numId w:val="77"/>
        </w:numPr>
        <w:tabs>
          <w:tab w:val="left" w:pos="1440"/>
          <w:tab w:val="left" w:pos="1680"/>
        </w:tabs>
        <w:spacing w:line="360" w:lineRule="auto"/>
        <w:ind w:left="1440" w:leftChars="60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带手自动、启停、运行状态、故障报警等内容二次接线端</w:t>
      </w:r>
    </w:p>
    <w:p>
      <w:pPr>
        <w:pStyle w:val="48"/>
        <w:numPr>
          <w:ilvl w:val="0"/>
          <w:numId w:val="77"/>
        </w:numPr>
        <w:tabs>
          <w:tab w:val="left" w:pos="1440"/>
          <w:tab w:val="left" w:pos="1680"/>
        </w:tabs>
        <w:spacing w:line="360" w:lineRule="auto"/>
        <w:ind w:left="1440" w:leftChars="60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配置动环系统开关量控制模块，带RS485通讯接口，投标人应根据控制点位的数量配足相应的模块。</w:t>
      </w:r>
    </w:p>
    <w:p>
      <w:pPr>
        <w:pStyle w:val="5"/>
        <w:numPr>
          <w:ilvl w:val="0"/>
          <w:numId w:val="58"/>
        </w:numPr>
        <w:ind w:left="1134" w:right="-180" w:rightChars="-75" w:hanging="708"/>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综合布线系统</w:t>
      </w:r>
    </w:p>
    <w:p>
      <w:pPr>
        <w:pStyle w:val="6"/>
        <w:ind w:left="1134" w:right="-180" w:rightChars="-75" w:hanging="708"/>
        <w:rPr>
          <w:color w:val="auto"/>
          <w:sz w:val="24"/>
          <w:szCs w:val="24"/>
          <w:highlight w:val="none"/>
        </w:rPr>
      </w:pPr>
      <w:r>
        <w:rPr>
          <w:rFonts w:hint="eastAsia"/>
          <w:color w:val="auto"/>
          <w:sz w:val="24"/>
          <w:szCs w:val="24"/>
          <w:highlight w:val="none"/>
        </w:rPr>
        <w:t>1、综合布线系统概述</w:t>
      </w:r>
    </w:p>
    <w:p>
      <w:pPr>
        <w:spacing w:line="360" w:lineRule="auto"/>
        <w:ind w:left="254" w:right="-180" w:rightChars="-75" w:firstLine="465" w:firstLineChars="194"/>
        <w:rPr>
          <w:color w:val="auto"/>
          <w:szCs w:val="24"/>
          <w:highlight w:val="none"/>
        </w:rPr>
      </w:pPr>
      <w:r>
        <w:rPr>
          <w:rFonts w:hint="eastAsia"/>
          <w:color w:val="auto"/>
          <w:szCs w:val="24"/>
          <w:highlight w:val="none"/>
        </w:rPr>
        <w:t>1)承担数据业务的主干子系统应采用OM4多模光缆，传输介质各组成部分的等级应保持一致，并应采用冗余配置。</w:t>
      </w:r>
    </w:p>
    <w:p>
      <w:pPr>
        <w:spacing w:line="360" w:lineRule="auto"/>
        <w:ind w:left="254" w:right="-180" w:rightChars="-75" w:firstLine="465" w:firstLineChars="194"/>
        <w:rPr>
          <w:color w:val="auto"/>
          <w:szCs w:val="24"/>
          <w:highlight w:val="none"/>
        </w:rPr>
      </w:pPr>
      <w:r>
        <w:rPr>
          <w:rFonts w:hint="eastAsia"/>
          <w:color w:val="auto"/>
          <w:szCs w:val="24"/>
          <w:highlight w:val="none"/>
        </w:rPr>
        <w:t>2)机房布线系统应以数据信号传输为主，语音信号传输为辅，兼顾保安、门禁和集中控制系统信号的传输。</w:t>
      </w:r>
    </w:p>
    <w:p>
      <w:pPr>
        <w:spacing w:line="360" w:lineRule="auto"/>
        <w:ind w:left="254" w:right="-180" w:rightChars="-75" w:firstLine="465" w:firstLineChars="194"/>
        <w:rPr>
          <w:color w:val="auto"/>
          <w:szCs w:val="24"/>
          <w:highlight w:val="none"/>
        </w:rPr>
      </w:pPr>
      <w:r>
        <w:rPr>
          <w:color w:val="auto"/>
          <w:szCs w:val="24"/>
          <w:highlight w:val="none"/>
        </w:rPr>
        <w:t>3</w:t>
      </w:r>
      <w:r>
        <w:rPr>
          <w:rFonts w:hint="eastAsia"/>
          <w:color w:val="auto"/>
          <w:szCs w:val="24"/>
          <w:highlight w:val="none"/>
        </w:rPr>
        <w:t>)线缆需要根据功能进行分色。</w:t>
      </w:r>
    </w:p>
    <w:p>
      <w:pPr>
        <w:spacing w:line="360" w:lineRule="auto"/>
        <w:ind w:left="254" w:right="-180" w:rightChars="-75" w:firstLine="465" w:firstLineChars="194"/>
        <w:rPr>
          <w:color w:val="auto"/>
          <w:szCs w:val="24"/>
          <w:highlight w:val="none"/>
        </w:rPr>
      </w:pPr>
      <w:r>
        <w:rPr>
          <w:color w:val="auto"/>
          <w:szCs w:val="24"/>
          <w:highlight w:val="none"/>
        </w:rPr>
        <w:t>4</w:t>
      </w:r>
      <w:r>
        <w:rPr>
          <w:rFonts w:hint="eastAsia"/>
          <w:color w:val="auto"/>
          <w:szCs w:val="24"/>
          <w:highlight w:val="none"/>
        </w:rPr>
        <w:t>)机房布线线缆、配线架和信息插座都应配有清晰耐磨的标签。</w:t>
      </w:r>
    </w:p>
    <w:p>
      <w:pPr>
        <w:spacing w:line="360" w:lineRule="auto"/>
        <w:ind w:left="254" w:right="-180" w:rightChars="-75" w:firstLine="465" w:firstLineChars="194"/>
        <w:rPr>
          <w:color w:val="auto"/>
          <w:szCs w:val="24"/>
          <w:highlight w:val="none"/>
        </w:rPr>
      </w:pPr>
      <w:r>
        <w:rPr>
          <w:color w:val="auto"/>
          <w:szCs w:val="24"/>
          <w:highlight w:val="none"/>
        </w:rPr>
        <w:t>5</w:t>
      </w:r>
      <w:r>
        <w:rPr>
          <w:rFonts w:hint="eastAsia"/>
          <w:color w:val="auto"/>
          <w:szCs w:val="24"/>
          <w:highlight w:val="none"/>
        </w:rPr>
        <w:t>)机房采用天花板下布线方式时，线槽和桥架的顶部距离天花板或其他障碍物不应小于300mm。</w:t>
      </w:r>
    </w:p>
    <w:p>
      <w:pPr>
        <w:spacing w:line="360" w:lineRule="auto"/>
        <w:ind w:left="254" w:right="-180" w:rightChars="-75" w:firstLine="465" w:firstLineChars="194"/>
        <w:rPr>
          <w:color w:val="auto"/>
          <w:szCs w:val="24"/>
          <w:highlight w:val="none"/>
        </w:rPr>
      </w:pPr>
      <w:r>
        <w:rPr>
          <w:rFonts w:hint="eastAsia"/>
          <w:color w:val="auto"/>
          <w:szCs w:val="24"/>
          <w:highlight w:val="none"/>
        </w:rPr>
        <w:t>6)使用预端接</w:t>
      </w:r>
      <w:r>
        <w:rPr>
          <w:color w:val="auto"/>
          <w:szCs w:val="24"/>
          <w:highlight w:val="none"/>
        </w:rPr>
        <w:t>光缆系统在有限的空间环境中</w:t>
      </w:r>
      <w:r>
        <w:rPr>
          <w:rFonts w:hint="eastAsia"/>
          <w:color w:val="auto"/>
          <w:szCs w:val="24"/>
          <w:highlight w:val="none"/>
        </w:rPr>
        <w:t>，</w:t>
      </w:r>
      <w:r>
        <w:rPr>
          <w:color w:val="auto"/>
          <w:szCs w:val="24"/>
          <w:highlight w:val="none"/>
        </w:rPr>
        <w:t>大大简化光纤网络的配置流程</w:t>
      </w:r>
      <w:r>
        <w:rPr>
          <w:rFonts w:hint="eastAsia"/>
          <w:color w:val="auto"/>
          <w:szCs w:val="24"/>
          <w:highlight w:val="none"/>
        </w:rPr>
        <w:t>。</w:t>
      </w:r>
    </w:p>
    <w:p>
      <w:pPr>
        <w:spacing w:line="360" w:lineRule="auto"/>
        <w:ind w:left="254" w:right="-180" w:rightChars="-75" w:firstLine="465" w:firstLineChars="194"/>
        <w:rPr>
          <w:color w:val="auto"/>
          <w:szCs w:val="24"/>
          <w:highlight w:val="none"/>
        </w:rPr>
      </w:pPr>
      <w:r>
        <w:rPr>
          <w:rFonts w:hint="eastAsia"/>
          <w:color w:val="auto"/>
          <w:szCs w:val="24"/>
          <w:highlight w:val="none"/>
        </w:rPr>
        <w:t>7)</w:t>
      </w:r>
      <w:r>
        <w:rPr>
          <w:color w:val="auto"/>
          <w:szCs w:val="24"/>
          <w:highlight w:val="none"/>
        </w:rPr>
        <w:t xml:space="preserve"> 综合布线是数据通信系统运行的基础，采取中心进行开放式结构化布线，支持语音及多种计算机数据和图像传输，支持以太网及异步传输模式等在内的多种网络系统。</w:t>
      </w:r>
    </w:p>
    <w:p>
      <w:pPr>
        <w:spacing w:line="360" w:lineRule="auto"/>
        <w:ind w:left="254" w:right="-180" w:rightChars="-75" w:firstLine="465" w:firstLineChars="194"/>
        <w:rPr>
          <w:color w:val="auto"/>
          <w:szCs w:val="24"/>
          <w:highlight w:val="none"/>
        </w:rPr>
      </w:pPr>
      <w:r>
        <w:rPr>
          <w:rFonts w:hint="eastAsia"/>
          <w:color w:val="auto"/>
          <w:szCs w:val="24"/>
          <w:highlight w:val="none"/>
        </w:rPr>
        <w:t>8）在应用上能满足多媒体等系统的需要；满足虚拟局域网（</w:t>
      </w:r>
      <w:r>
        <w:rPr>
          <w:color w:val="auto"/>
          <w:szCs w:val="24"/>
          <w:highlight w:val="none"/>
        </w:rPr>
        <w:t>VPN）的要求；满足非对称数字用户环路（ADSL）的要求;满足VOIP(Voice over Internet Protocol)应用的要求。</w:t>
      </w:r>
    </w:p>
    <w:p>
      <w:pPr>
        <w:spacing w:line="360" w:lineRule="auto"/>
        <w:ind w:left="254" w:right="-180" w:rightChars="-75" w:firstLine="465" w:firstLineChars="194"/>
        <w:rPr>
          <w:color w:val="auto"/>
          <w:szCs w:val="24"/>
          <w:highlight w:val="none"/>
        </w:rPr>
      </w:pPr>
      <w:r>
        <w:rPr>
          <w:color w:val="auto"/>
          <w:szCs w:val="24"/>
          <w:highlight w:val="none"/>
        </w:rPr>
        <w:t>9</w:t>
      </w:r>
      <w:r>
        <w:rPr>
          <w:rFonts w:hint="eastAsia"/>
          <w:color w:val="auto"/>
          <w:szCs w:val="24"/>
          <w:highlight w:val="none"/>
        </w:rPr>
        <w:t>）标识施工为方便布线系统的实施以及今后的管理和维护，对布线系统的信息点、管理区、线缆等应进行编号及色标管理。</w:t>
      </w:r>
    </w:p>
    <w:p>
      <w:pPr>
        <w:spacing w:line="360" w:lineRule="auto"/>
        <w:ind w:left="254" w:right="-180" w:rightChars="-75" w:firstLine="465" w:firstLineChars="194"/>
        <w:rPr>
          <w:color w:val="auto"/>
          <w:szCs w:val="24"/>
          <w:highlight w:val="none"/>
        </w:rPr>
      </w:pPr>
      <w:r>
        <w:rPr>
          <w:rFonts w:hint="eastAsia"/>
          <w:color w:val="auto"/>
          <w:szCs w:val="24"/>
          <w:highlight w:val="none"/>
        </w:rPr>
        <w:t>综合布线系统的每一条电缆、配线设备、端接点、安装通道和安装空间均应给定唯一的标志。标志可包括名称、编号、颜色及其它标志。电缆两端均应标明相同的编号。配线设备、线缆、信息插座等硬件均应设置不易脱落和磨损的标志。</w:t>
      </w:r>
    </w:p>
    <w:p>
      <w:pPr>
        <w:spacing w:line="360" w:lineRule="auto"/>
        <w:ind w:left="254" w:right="-180" w:rightChars="-75" w:firstLine="465" w:firstLineChars="194"/>
        <w:rPr>
          <w:color w:val="auto"/>
          <w:szCs w:val="24"/>
          <w:highlight w:val="none"/>
        </w:rPr>
      </w:pPr>
      <w:r>
        <w:rPr>
          <w:rFonts w:hint="eastAsia"/>
          <w:color w:val="auto"/>
          <w:szCs w:val="24"/>
          <w:highlight w:val="none"/>
        </w:rPr>
        <w:t>对所有的机柜/配线架／地面信息端口予以标识，标签的标准为TIA／EIA606。所有使用的标签应为专用机器打印。标签应打印在永久的粘贴性的标签上，并用永久性防水薄膜覆盖。</w:t>
      </w:r>
    </w:p>
    <w:p>
      <w:pPr>
        <w:spacing w:line="360" w:lineRule="auto"/>
        <w:ind w:left="254" w:right="-180" w:rightChars="-75" w:firstLine="465" w:firstLineChars="194"/>
        <w:rPr>
          <w:color w:val="auto"/>
          <w:szCs w:val="24"/>
          <w:highlight w:val="none"/>
        </w:rPr>
      </w:pPr>
      <w:r>
        <w:rPr>
          <w:rFonts w:hint="eastAsia"/>
          <w:color w:val="auto"/>
          <w:szCs w:val="24"/>
          <w:highlight w:val="none"/>
        </w:rPr>
        <w:t>所有电缆应单独标签，终端的配线架放置所有的标签，所有配线架都用标签以标识，所有插座端口须用安全的固定的标签加以标识。所有的配线及跳线标识应单独编号。</w:t>
      </w:r>
    </w:p>
    <w:p>
      <w:pPr>
        <w:pStyle w:val="6"/>
        <w:ind w:left="1134" w:right="-180" w:rightChars="-75" w:hanging="708"/>
        <w:rPr>
          <w:color w:val="auto"/>
          <w:sz w:val="24"/>
          <w:szCs w:val="24"/>
          <w:highlight w:val="none"/>
        </w:rPr>
      </w:pPr>
      <w:r>
        <w:rPr>
          <w:color w:val="auto"/>
          <w:sz w:val="24"/>
          <w:szCs w:val="24"/>
          <w:highlight w:val="none"/>
        </w:rPr>
        <w:t>3</w:t>
      </w:r>
      <w:r>
        <w:rPr>
          <w:rFonts w:hint="eastAsia"/>
          <w:color w:val="auto"/>
          <w:sz w:val="24"/>
          <w:szCs w:val="24"/>
          <w:highlight w:val="none"/>
        </w:rPr>
        <w:t>、</w:t>
      </w:r>
      <w:r>
        <w:rPr>
          <w:color w:val="auto"/>
          <w:sz w:val="24"/>
          <w:szCs w:val="24"/>
          <w:highlight w:val="none"/>
        </w:rPr>
        <w:t>系统及主要设备一般技术要求</w:t>
      </w:r>
    </w:p>
    <w:p>
      <w:pPr>
        <w:spacing w:line="360" w:lineRule="auto"/>
        <w:ind w:left="254" w:right="-180" w:rightChars="-75" w:firstLine="465" w:firstLineChars="194"/>
        <w:rPr>
          <w:color w:val="auto"/>
          <w:szCs w:val="24"/>
          <w:highlight w:val="none"/>
        </w:rPr>
      </w:pPr>
      <w:r>
        <w:rPr>
          <w:rFonts w:hint="eastAsia"/>
          <w:color w:val="auto"/>
          <w:szCs w:val="24"/>
          <w:highlight w:val="none"/>
        </w:rPr>
        <w:t>综合布线系统采用开放式网络拓扑结构，应能支持语音、数据、图像、多媒体业务等信息的传递</w:t>
      </w:r>
    </w:p>
    <w:p>
      <w:pPr>
        <w:spacing w:line="360" w:lineRule="auto"/>
        <w:ind w:left="254" w:right="-180" w:rightChars="-75" w:firstLine="465" w:firstLineChars="194"/>
        <w:rPr>
          <w:color w:val="auto"/>
          <w:szCs w:val="24"/>
          <w:highlight w:val="none"/>
        </w:rPr>
      </w:pPr>
      <w:r>
        <w:rPr>
          <w:rFonts w:hint="eastAsia"/>
          <w:color w:val="auto"/>
          <w:szCs w:val="24"/>
          <w:highlight w:val="none"/>
        </w:rPr>
        <w:t>综合布线系统包括各种线缆，光纤，模块和面板，跳线，连接器等，要求综合布线系统配线架，跳线，模块等，其传输特性必须与线缆的传输特性相一致，或高于线缆的传输特性。</w:t>
      </w:r>
    </w:p>
    <w:p>
      <w:pPr>
        <w:pStyle w:val="6"/>
        <w:ind w:left="1134" w:right="-180" w:rightChars="-75" w:hanging="708"/>
        <w:rPr>
          <w:color w:val="auto"/>
          <w:sz w:val="24"/>
          <w:szCs w:val="24"/>
          <w:highlight w:val="none"/>
        </w:rPr>
      </w:pPr>
      <w:r>
        <w:rPr>
          <w:color w:val="auto"/>
          <w:sz w:val="24"/>
          <w:szCs w:val="24"/>
          <w:highlight w:val="none"/>
        </w:rPr>
        <w:t>4</w:t>
      </w:r>
      <w:r>
        <w:rPr>
          <w:rFonts w:hint="eastAsia"/>
          <w:color w:val="auto"/>
          <w:sz w:val="24"/>
          <w:szCs w:val="24"/>
          <w:highlight w:val="none"/>
        </w:rPr>
        <w:t>、主要设备技术参数要求</w:t>
      </w:r>
    </w:p>
    <w:p>
      <w:pPr>
        <w:pStyle w:val="7"/>
        <w:ind w:left="1134" w:right="-180" w:rightChars="-75" w:hanging="708"/>
        <w:rPr>
          <w:rFonts w:ascii="宋体" w:hAnsi="宋体" w:eastAsia="宋体" w:cs="宋体"/>
          <w:highlight w:val="none"/>
        </w:rPr>
      </w:pPr>
      <w:r>
        <w:rPr>
          <w:rFonts w:hint="eastAsia" w:ascii="宋体" w:hAnsi="宋体" w:eastAsia="宋体" w:cs="宋体"/>
          <w:highlight w:val="none"/>
        </w:rPr>
        <w:t>1）光纤配线架 1U，96芯LC多模，含4个24芯LC双工多模适配器面板</w:t>
      </w:r>
    </w:p>
    <w:p>
      <w:pPr>
        <w:tabs>
          <w:tab w:val="left" w:pos="240"/>
        </w:tabs>
        <w:spacing w:line="360" w:lineRule="auto"/>
        <w:ind w:left="1440" w:right="-180" w:rightChars="-75" w:firstLine="0"/>
        <w:rPr>
          <w:color w:val="auto"/>
          <w:szCs w:val="24"/>
          <w:highlight w:val="none"/>
        </w:rPr>
      </w:pPr>
      <w:r>
        <w:rPr>
          <w:rFonts w:hint="eastAsia"/>
          <w:color w:val="auto"/>
          <w:szCs w:val="24"/>
          <w:highlight w:val="none"/>
        </w:rPr>
        <w:t>1.1U规格产品预端接布线最高配置密度96芯（LC）或者32口（MTP/MPO）；</w:t>
      </w:r>
    </w:p>
    <w:p>
      <w:pPr>
        <w:tabs>
          <w:tab w:val="left" w:pos="240"/>
        </w:tabs>
        <w:spacing w:line="360" w:lineRule="auto"/>
        <w:ind w:left="1440" w:right="-180" w:rightChars="-75" w:firstLine="0"/>
        <w:rPr>
          <w:color w:val="auto"/>
          <w:szCs w:val="24"/>
          <w:highlight w:val="none"/>
        </w:rPr>
      </w:pPr>
      <w:r>
        <w:rPr>
          <w:rFonts w:hint="eastAsia"/>
          <w:color w:val="auto"/>
          <w:szCs w:val="24"/>
          <w:highlight w:val="none"/>
        </w:rPr>
        <w:t>2．卡接式主干固定设计，布线快速可靠；</w:t>
      </w:r>
    </w:p>
    <w:p>
      <w:pPr>
        <w:tabs>
          <w:tab w:val="left" w:pos="240"/>
        </w:tabs>
        <w:spacing w:line="360" w:lineRule="auto"/>
        <w:ind w:left="1440" w:right="-180" w:rightChars="-75" w:firstLine="0"/>
        <w:rPr>
          <w:color w:val="auto"/>
          <w:szCs w:val="24"/>
          <w:highlight w:val="none"/>
        </w:rPr>
      </w:pPr>
      <w:r>
        <w:rPr>
          <w:rFonts w:hint="eastAsia"/>
          <w:color w:val="auto"/>
          <w:szCs w:val="24"/>
          <w:highlight w:val="none"/>
        </w:rPr>
        <w:t>3.透明上盖，免工具安装，方便抽出；</w:t>
      </w:r>
    </w:p>
    <w:p>
      <w:pPr>
        <w:tabs>
          <w:tab w:val="left" w:pos="240"/>
        </w:tabs>
        <w:spacing w:line="360" w:lineRule="auto"/>
        <w:ind w:left="1440" w:right="-180" w:rightChars="-75" w:firstLine="0"/>
        <w:rPr>
          <w:color w:val="auto"/>
          <w:szCs w:val="24"/>
          <w:highlight w:val="none"/>
        </w:rPr>
      </w:pPr>
      <w:r>
        <w:rPr>
          <w:rFonts w:hint="eastAsia"/>
          <w:color w:val="auto"/>
          <w:szCs w:val="24"/>
          <w:highlight w:val="none"/>
        </w:rPr>
        <w:t>4.专业金属滚珠静音导轨，顺滑耐用；</w:t>
      </w:r>
    </w:p>
    <w:p>
      <w:pPr>
        <w:tabs>
          <w:tab w:val="left" w:pos="240"/>
        </w:tabs>
        <w:spacing w:line="360" w:lineRule="auto"/>
        <w:ind w:left="1440" w:right="-180" w:rightChars="-75" w:firstLine="0"/>
        <w:rPr>
          <w:color w:val="auto"/>
          <w:szCs w:val="24"/>
          <w:highlight w:val="none"/>
        </w:rPr>
      </w:pPr>
      <w:r>
        <w:rPr>
          <w:rFonts w:hint="eastAsia"/>
          <w:color w:val="auto"/>
          <w:szCs w:val="24"/>
          <w:highlight w:val="none"/>
        </w:rPr>
        <w:t>5.层级抽屉式设计，每层抽屉和模块盒均模块化设计，互换性强；每层单独理线；</w:t>
      </w:r>
    </w:p>
    <w:p>
      <w:pPr>
        <w:tabs>
          <w:tab w:val="left" w:pos="240"/>
        </w:tabs>
        <w:spacing w:line="360" w:lineRule="auto"/>
        <w:ind w:left="1440" w:right="-180" w:rightChars="-75" w:firstLine="0"/>
        <w:rPr>
          <w:color w:val="auto"/>
          <w:szCs w:val="24"/>
          <w:highlight w:val="none"/>
        </w:rPr>
      </w:pPr>
      <w:r>
        <w:rPr>
          <w:rFonts w:hint="eastAsia"/>
          <w:color w:val="auto"/>
          <w:szCs w:val="24"/>
          <w:highlight w:val="none"/>
        </w:rPr>
        <w:t>6.插拔操作档位设计，维护操作便利安全；</w:t>
      </w:r>
    </w:p>
    <w:p>
      <w:pPr>
        <w:tabs>
          <w:tab w:val="left" w:pos="240"/>
        </w:tabs>
        <w:spacing w:line="360" w:lineRule="auto"/>
        <w:ind w:left="1440" w:right="-180" w:rightChars="-75" w:firstLine="0"/>
        <w:rPr>
          <w:color w:val="auto"/>
          <w:szCs w:val="24"/>
          <w:highlight w:val="none"/>
        </w:rPr>
      </w:pPr>
      <w:r>
        <w:rPr>
          <w:rFonts w:hint="eastAsia"/>
          <w:color w:val="auto"/>
          <w:szCs w:val="24"/>
          <w:highlight w:val="none"/>
        </w:rPr>
        <w:t>7.专业金属滚珠静音导轨，顺滑耐用；托盘可全部抽出，支持全柜前安装；</w:t>
      </w:r>
    </w:p>
    <w:p>
      <w:pPr>
        <w:tabs>
          <w:tab w:val="left" w:pos="240"/>
        </w:tabs>
        <w:spacing w:line="360" w:lineRule="auto"/>
        <w:ind w:left="1440" w:right="-180" w:rightChars="-75" w:firstLine="0"/>
        <w:rPr>
          <w:color w:val="auto"/>
          <w:szCs w:val="24"/>
          <w:highlight w:val="none"/>
        </w:rPr>
      </w:pPr>
      <w:r>
        <w:rPr>
          <w:rFonts w:hint="eastAsia"/>
          <w:color w:val="auto"/>
          <w:szCs w:val="24"/>
          <w:highlight w:val="none"/>
        </w:rPr>
        <w:t>8.定制式理线器设计，铝合金前盖板，布线整洁安全；</w:t>
      </w:r>
    </w:p>
    <w:p>
      <w:pPr>
        <w:tabs>
          <w:tab w:val="left" w:pos="240"/>
        </w:tabs>
        <w:spacing w:line="360" w:lineRule="auto"/>
        <w:ind w:left="1440" w:right="-180" w:rightChars="-75" w:firstLine="0"/>
        <w:rPr>
          <w:color w:val="auto"/>
          <w:szCs w:val="24"/>
          <w:highlight w:val="none"/>
        </w:rPr>
      </w:pPr>
      <w:r>
        <w:rPr>
          <w:rFonts w:hint="eastAsia"/>
          <w:color w:val="auto"/>
          <w:szCs w:val="24"/>
          <w:highlight w:val="none"/>
        </w:rPr>
        <w:t>9.合理的布线密度设计，配合64/128口交换机使用时，可以简化至1种跳线长度，布线快速简洁；</w:t>
      </w:r>
    </w:p>
    <w:p>
      <w:pPr>
        <w:tabs>
          <w:tab w:val="left" w:pos="240"/>
        </w:tabs>
        <w:spacing w:line="360" w:lineRule="auto"/>
        <w:ind w:left="1440" w:right="-180" w:rightChars="-75" w:firstLine="0"/>
        <w:rPr>
          <w:color w:val="auto"/>
          <w:szCs w:val="24"/>
          <w:highlight w:val="none"/>
        </w:rPr>
      </w:pPr>
      <w:r>
        <w:rPr>
          <w:rFonts w:hint="eastAsia"/>
          <w:color w:val="auto"/>
          <w:szCs w:val="24"/>
          <w:highlight w:val="none"/>
        </w:rPr>
        <w:t>10.前端自带离线器，理线器深度95mm</w:t>
      </w:r>
    </w:p>
    <w:p>
      <w:pPr>
        <w:tabs>
          <w:tab w:val="left" w:pos="240"/>
        </w:tabs>
        <w:spacing w:line="360" w:lineRule="auto"/>
        <w:ind w:left="1440" w:right="-180" w:rightChars="-75" w:firstLine="0"/>
        <w:rPr>
          <w:color w:val="auto"/>
          <w:szCs w:val="24"/>
          <w:highlight w:val="none"/>
        </w:rPr>
      </w:pPr>
      <w:r>
        <w:rPr>
          <w:rFonts w:hint="eastAsia"/>
          <w:color w:val="auto"/>
          <w:szCs w:val="24"/>
          <w:highlight w:val="none"/>
        </w:rPr>
        <w:t>11.1U机体尺寸：440X43.6X380，</w:t>
      </w:r>
    </w:p>
    <w:p>
      <w:pPr>
        <w:tabs>
          <w:tab w:val="left" w:pos="240"/>
        </w:tabs>
        <w:spacing w:line="360" w:lineRule="auto"/>
        <w:ind w:left="1440" w:right="-180" w:rightChars="-75" w:firstLine="0"/>
        <w:rPr>
          <w:color w:val="auto"/>
          <w:szCs w:val="24"/>
          <w:highlight w:val="none"/>
        </w:rPr>
      </w:pPr>
      <w:r>
        <w:rPr>
          <w:rFonts w:hint="eastAsia"/>
          <w:color w:val="auto"/>
          <w:szCs w:val="24"/>
          <w:highlight w:val="none"/>
        </w:rPr>
        <w:t>12.中标后提供泰尔实验室的光信道测试认证报告</w:t>
      </w:r>
    </w:p>
    <w:p>
      <w:pPr>
        <w:pStyle w:val="7"/>
        <w:ind w:left="1134" w:right="-180" w:rightChars="-75" w:hanging="708"/>
        <w:rPr>
          <w:rFonts w:ascii="宋体" w:hAnsi="宋体" w:eastAsia="宋体" w:cs="宋体"/>
          <w:highlight w:val="none"/>
        </w:rPr>
      </w:pPr>
      <w:r>
        <w:rPr>
          <w:rFonts w:hint="eastAsia" w:ascii="宋体" w:hAnsi="宋体" w:eastAsia="宋体" w:cs="宋体"/>
          <w:highlight w:val="none"/>
        </w:rPr>
        <w:t>2）24芯LC适配器板</w:t>
      </w:r>
    </w:p>
    <w:p>
      <w:pPr>
        <w:tabs>
          <w:tab w:val="left" w:pos="1440"/>
        </w:tabs>
        <w:spacing w:line="360" w:lineRule="auto"/>
        <w:ind w:left="1440" w:leftChars="600" w:right="-180" w:rightChars="-75" w:firstLine="0"/>
        <w:rPr>
          <w:color w:val="auto"/>
          <w:szCs w:val="24"/>
          <w:highlight w:val="none"/>
        </w:rPr>
      </w:pPr>
      <w:r>
        <w:rPr>
          <w:rFonts w:hint="eastAsia"/>
          <w:color w:val="auto"/>
          <w:szCs w:val="24"/>
          <w:highlight w:val="none"/>
        </w:rPr>
        <w:t>1.符合TIA/EIA-568-C.3,ISO/IEC11801,TIA-604-3,TIA-604-10,</w:t>
      </w:r>
    </w:p>
    <w:p>
      <w:pPr>
        <w:tabs>
          <w:tab w:val="left" w:pos="1440"/>
        </w:tabs>
        <w:spacing w:line="360" w:lineRule="auto"/>
        <w:ind w:left="1440" w:leftChars="600" w:right="-180" w:rightChars="-75" w:firstLine="0"/>
        <w:rPr>
          <w:color w:val="auto"/>
          <w:szCs w:val="24"/>
          <w:highlight w:val="none"/>
        </w:rPr>
      </w:pPr>
      <w:r>
        <w:rPr>
          <w:rFonts w:hint="eastAsia"/>
          <w:color w:val="auto"/>
          <w:szCs w:val="24"/>
          <w:highlight w:val="none"/>
        </w:rPr>
        <w:t>2.IEC61754-4,IEC61754-20,EIA/ECA310-D,UL94-V0,IEC 60297等相关标准</w:t>
      </w:r>
    </w:p>
    <w:p>
      <w:pPr>
        <w:tabs>
          <w:tab w:val="left" w:pos="1440"/>
        </w:tabs>
        <w:spacing w:line="360" w:lineRule="auto"/>
        <w:ind w:left="1440" w:leftChars="600" w:right="-180" w:rightChars="-75" w:firstLine="0"/>
        <w:rPr>
          <w:color w:val="auto"/>
          <w:szCs w:val="24"/>
          <w:highlight w:val="none"/>
        </w:rPr>
      </w:pPr>
      <w:r>
        <w:rPr>
          <w:rFonts w:hint="eastAsia"/>
          <w:color w:val="auto"/>
          <w:szCs w:val="24"/>
          <w:highlight w:val="none"/>
        </w:rPr>
        <w:t>3.连接器损耗：单模IL≤0.2dB；多模IL≤0.2dB</w:t>
      </w:r>
    </w:p>
    <w:p>
      <w:pPr>
        <w:tabs>
          <w:tab w:val="left" w:pos="1440"/>
        </w:tabs>
        <w:spacing w:line="360" w:lineRule="auto"/>
        <w:ind w:left="1440" w:leftChars="600" w:right="-180" w:rightChars="-75" w:firstLine="0"/>
        <w:rPr>
          <w:color w:val="auto"/>
          <w:szCs w:val="24"/>
          <w:highlight w:val="none"/>
        </w:rPr>
      </w:pPr>
      <w:r>
        <w:rPr>
          <w:rFonts w:hint="eastAsia"/>
          <w:color w:val="auto"/>
          <w:szCs w:val="24"/>
          <w:highlight w:val="none"/>
        </w:rPr>
        <w:t>4.预装6个/12个双工LC耦合器</w:t>
      </w:r>
    </w:p>
    <w:p>
      <w:pPr>
        <w:tabs>
          <w:tab w:val="left" w:pos="1440"/>
        </w:tabs>
        <w:spacing w:line="360" w:lineRule="auto"/>
        <w:ind w:left="1440" w:leftChars="600" w:right="-180" w:rightChars="-75" w:firstLine="0"/>
        <w:rPr>
          <w:color w:val="auto"/>
          <w:szCs w:val="24"/>
          <w:highlight w:val="none"/>
        </w:rPr>
      </w:pPr>
      <w:r>
        <w:rPr>
          <w:rFonts w:hint="eastAsia"/>
          <w:color w:val="auto"/>
          <w:szCs w:val="24"/>
          <w:highlight w:val="none"/>
        </w:rPr>
        <w:t>5.耦合器材质要求：氧化锆高精度陶瓷芯</w:t>
      </w:r>
    </w:p>
    <w:p>
      <w:pPr>
        <w:tabs>
          <w:tab w:val="left" w:pos="1440"/>
        </w:tabs>
        <w:spacing w:line="360" w:lineRule="auto"/>
        <w:ind w:left="1440" w:leftChars="600" w:right="-180" w:rightChars="-75" w:firstLine="0"/>
        <w:rPr>
          <w:color w:val="auto"/>
          <w:szCs w:val="24"/>
          <w:highlight w:val="none"/>
        </w:rPr>
      </w:pPr>
      <w:r>
        <w:rPr>
          <w:rFonts w:hint="eastAsia"/>
          <w:color w:val="auto"/>
          <w:szCs w:val="24"/>
          <w:highlight w:val="none"/>
        </w:rPr>
        <w:t>6.耦合器出厂带有完善的防尘帽设计</w:t>
      </w:r>
    </w:p>
    <w:p>
      <w:pPr>
        <w:tabs>
          <w:tab w:val="left" w:pos="1440"/>
        </w:tabs>
        <w:spacing w:line="360" w:lineRule="auto"/>
        <w:ind w:left="1440" w:leftChars="600" w:right="-180" w:rightChars="-75" w:firstLine="0"/>
        <w:rPr>
          <w:color w:val="auto"/>
          <w:szCs w:val="24"/>
          <w:highlight w:val="none"/>
        </w:rPr>
      </w:pPr>
      <w:r>
        <w:rPr>
          <w:rFonts w:hint="eastAsia"/>
          <w:color w:val="auto"/>
          <w:szCs w:val="24"/>
          <w:highlight w:val="none"/>
        </w:rPr>
        <w:t>7.适配器颜色符合国际标准要求</w:t>
      </w:r>
    </w:p>
    <w:p>
      <w:pPr>
        <w:tabs>
          <w:tab w:val="left" w:pos="1440"/>
        </w:tabs>
        <w:spacing w:line="360" w:lineRule="auto"/>
        <w:ind w:left="1440" w:leftChars="600" w:right="-180" w:rightChars="-75" w:firstLine="0"/>
        <w:rPr>
          <w:color w:val="auto"/>
          <w:szCs w:val="24"/>
          <w:highlight w:val="none"/>
        </w:rPr>
      </w:pPr>
      <w:r>
        <w:rPr>
          <w:rFonts w:hint="eastAsia"/>
          <w:color w:val="auto"/>
          <w:szCs w:val="24"/>
          <w:highlight w:val="none"/>
        </w:rPr>
        <w:t>8.环境条件：工作温度：-25 ℃∽+55℃；相对湿度：≤93%（+40℃时）；</w:t>
      </w:r>
    </w:p>
    <w:p>
      <w:pPr>
        <w:tabs>
          <w:tab w:val="left" w:pos="1440"/>
        </w:tabs>
        <w:spacing w:line="360" w:lineRule="auto"/>
        <w:ind w:left="1440" w:leftChars="600" w:right="-180" w:rightChars="-75" w:firstLine="0"/>
        <w:rPr>
          <w:color w:val="auto"/>
          <w:szCs w:val="24"/>
          <w:highlight w:val="none"/>
        </w:rPr>
      </w:pPr>
      <w:r>
        <w:rPr>
          <w:rFonts w:hint="eastAsia"/>
          <w:color w:val="auto"/>
          <w:szCs w:val="24"/>
          <w:highlight w:val="none"/>
        </w:rPr>
        <w:t>9．耐久性：LC 型耐久性≥500 次,</w:t>
      </w:r>
    </w:p>
    <w:p>
      <w:pPr>
        <w:tabs>
          <w:tab w:val="left" w:pos="1440"/>
        </w:tabs>
        <w:spacing w:line="360" w:lineRule="auto"/>
        <w:ind w:left="1440" w:leftChars="600" w:right="-180" w:rightChars="-75" w:firstLine="0"/>
        <w:rPr>
          <w:color w:val="auto"/>
          <w:szCs w:val="24"/>
          <w:highlight w:val="none"/>
        </w:rPr>
      </w:pPr>
      <w:r>
        <w:rPr>
          <w:rFonts w:hint="eastAsia"/>
          <w:color w:val="auto"/>
          <w:szCs w:val="24"/>
          <w:highlight w:val="none"/>
        </w:rPr>
        <w:t>10.插拔力：LC型：允许的插入力＜19.6N，允许的拔出力＜19.6N；</w:t>
      </w:r>
    </w:p>
    <w:p>
      <w:pPr>
        <w:tabs>
          <w:tab w:val="left" w:pos="1440"/>
        </w:tabs>
        <w:spacing w:line="360" w:lineRule="auto"/>
        <w:ind w:left="1440" w:leftChars="600" w:right="-180" w:rightChars="-75" w:firstLine="0"/>
        <w:rPr>
          <w:color w:val="auto"/>
          <w:szCs w:val="24"/>
          <w:highlight w:val="none"/>
        </w:rPr>
      </w:pPr>
      <w:r>
        <w:rPr>
          <w:rFonts w:hint="eastAsia"/>
          <w:color w:val="auto"/>
          <w:szCs w:val="24"/>
          <w:highlight w:val="none"/>
        </w:rPr>
        <w:t>11.面板塑胶件阻燃性能符合UL94-V0要求。</w:t>
      </w:r>
    </w:p>
    <w:p>
      <w:pPr>
        <w:pStyle w:val="7"/>
        <w:ind w:left="1134" w:right="-180" w:rightChars="-75" w:hanging="708"/>
        <w:rPr>
          <w:rFonts w:ascii="宋体" w:hAnsi="宋体" w:eastAsia="宋体" w:cs="宋体"/>
          <w:highlight w:val="none"/>
        </w:rPr>
      </w:pPr>
      <w:r>
        <w:rPr>
          <w:rFonts w:hint="eastAsia" w:ascii="宋体" w:hAnsi="宋体" w:eastAsia="宋体" w:cs="宋体"/>
          <w:highlight w:val="none"/>
        </w:rPr>
        <w:t>3）24/48芯LC-LC预端接主干光缆OM4</w:t>
      </w:r>
    </w:p>
    <w:p>
      <w:pPr>
        <w:tabs>
          <w:tab w:val="left" w:pos="960"/>
          <w:tab w:val="left" w:pos="1440"/>
        </w:tabs>
        <w:spacing w:line="360" w:lineRule="auto"/>
        <w:ind w:left="1440" w:right="-180" w:rightChars="-75" w:firstLine="0"/>
        <w:rPr>
          <w:color w:val="auto"/>
          <w:szCs w:val="24"/>
          <w:highlight w:val="none"/>
        </w:rPr>
      </w:pPr>
      <w:r>
        <w:rPr>
          <w:rFonts w:hint="eastAsia"/>
          <w:color w:val="auto"/>
          <w:szCs w:val="24"/>
          <w:highlight w:val="none"/>
        </w:rPr>
        <w:t>1.符合TIA/EIA-568-C.3和ISO/IEC 11801 相关标准</w:t>
      </w:r>
    </w:p>
    <w:p>
      <w:pPr>
        <w:tabs>
          <w:tab w:val="left" w:pos="960"/>
          <w:tab w:val="left" w:pos="1440"/>
        </w:tabs>
        <w:spacing w:line="360" w:lineRule="auto"/>
        <w:ind w:left="1440" w:right="-180" w:rightChars="-75" w:firstLine="0"/>
        <w:rPr>
          <w:color w:val="auto"/>
          <w:szCs w:val="24"/>
          <w:highlight w:val="none"/>
        </w:rPr>
      </w:pPr>
      <w:r>
        <w:rPr>
          <w:rFonts w:hint="eastAsia"/>
          <w:color w:val="auto"/>
          <w:szCs w:val="24"/>
          <w:highlight w:val="none"/>
        </w:rPr>
        <w:t>2.通过Telcordia GR-1435-CORE认证</w:t>
      </w:r>
    </w:p>
    <w:p>
      <w:pPr>
        <w:tabs>
          <w:tab w:val="left" w:pos="960"/>
          <w:tab w:val="left" w:pos="1440"/>
        </w:tabs>
        <w:spacing w:line="360" w:lineRule="auto"/>
        <w:ind w:left="1440" w:right="-180" w:rightChars="-75" w:firstLine="0"/>
        <w:rPr>
          <w:color w:val="auto"/>
          <w:szCs w:val="24"/>
          <w:highlight w:val="none"/>
        </w:rPr>
      </w:pPr>
      <w:r>
        <w:rPr>
          <w:rFonts w:hint="eastAsia"/>
          <w:color w:val="auto"/>
          <w:szCs w:val="24"/>
          <w:highlight w:val="none"/>
        </w:rPr>
        <w:t>3.纤芯：多模采用抗弯OM4光纤</w:t>
      </w:r>
    </w:p>
    <w:p>
      <w:pPr>
        <w:tabs>
          <w:tab w:val="left" w:pos="960"/>
          <w:tab w:val="left" w:pos="1440"/>
        </w:tabs>
        <w:spacing w:line="360" w:lineRule="auto"/>
        <w:ind w:left="1440" w:right="-180" w:rightChars="-75" w:firstLine="0"/>
        <w:rPr>
          <w:color w:val="auto"/>
          <w:szCs w:val="24"/>
          <w:highlight w:val="none"/>
        </w:rPr>
      </w:pPr>
      <w:r>
        <w:rPr>
          <w:rFonts w:hint="eastAsia"/>
          <w:color w:val="auto"/>
          <w:szCs w:val="24"/>
          <w:highlight w:val="none"/>
        </w:rPr>
        <w:t>4.线缆外径：5.0±0.2mm</w:t>
      </w:r>
    </w:p>
    <w:p>
      <w:pPr>
        <w:tabs>
          <w:tab w:val="left" w:pos="960"/>
          <w:tab w:val="left" w:pos="1440"/>
        </w:tabs>
        <w:spacing w:line="360" w:lineRule="auto"/>
        <w:ind w:left="1440" w:right="-180" w:rightChars="-75" w:firstLine="0"/>
        <w:rPr>
          <w:color w:val="auto"/>
          <w:szCs w:val="24"/>
          <w:highlight w:val="none"/>
        </w:rPr>
      </w:pPr>
      <w:r>
        <w:rPr>
          <w:rFonts w:hint="eastAsia"/>
          <w:color w:val="auto"/>
          <w:szCs w:val="24"/>
          <w:highlight w:val="none"/>
        </w:rPr>
        <w:t>5.插入衰减≤0.25dB@850nm&amp;1300nm</w:t>
      </w:r>
    </w:p>
    <w:p>
      <w:pPr>
        <w:tabs>
          <w:tab w:val="left" w:pos="960"/>
          <w:tab w:val="left" w:pos="1440"/>
        </w:tabs>
        <w:spacing w:line="360" w:lineRule="auto"/>
        <w:ind w:left="1440" w:right="-180" w:rightChars="-75" w:firstLine="0"/>
        <w:rPr>
          <w:color w:val="auto"/>
          <w:szCs w:val="24"/>
          <w:highlight w:val="none"/>
        </w:rPr>
      </w:pPr>
      <w:r>
        <w:rPr>
          <w:rFonts w:hint="eastAsia"/>
          <w:color w:val="auto"/>
          <w:szCs w:val="24"/>
          <w:highlight w:val="none"/>
        </w:rPr>
        <w:t>6.回波损耗≥36dB</w:t>
      </w:r>
    </w:p>
    <w:p>
      <w:pPr>
        <w:tabs>
          <w:tab w:val="left" w:pos="960"/>
          <w:tab w:val="left" w:pos="1440"/>
        </w:tabs>
        <w:spacing w:line="360" w:lineRule="auto"/>
        <w:ind w:left="1440" w:right="-180" w:rightChars="-75" w:firstLine="0"/>
        <w:rPr>
          <w:color w:val="auto"/>
          <w:szCs w:val="24"/>
          <w:highlight w:val="none"/>
        </w:rPr>
      </w:pPr>
      <w:r>
        <w:rPr>
          <w:rFonts w:hint="eastAsia"/>
          <w:color w:val="auto"/>
          <w:szCs w:val="24"/>
          <w:highlight w:val="none"/>
        </w:rPr>
        <w:t>7.采用低烟无卤外皮，阻燃符合IEC 60332-1,气体排放符合IEC 60754-2,低烟无卤排放符合IEC61034-2标准</w:t>
      </w:r>
    </w:p>
    <w:p>
      <w:pPr>
        <w:tabs>
          <w:tab w:val="left" w:pos="960"/>
          <w:tab w:val="left" w:pos="1440"/>
        </w:tabs>
        <w:spacing w:line="360" w:lineRule="auto"/>
        <w:ind w:left="1440" w:right="-180" w:rightChars="-75" w:firstLine="0"/>
        <w:rPr>
          <w:color w:val="auto"/>
          <w:szCs w:val="24"/>
          <w:highlight w:val="none"/>
        </w:rPr>
      </w:pPr>
      <w:r>
        <w:rPr>
          <w:rFonts w:hint="eastAsia"/>
          <w:color w:val="auto"/>
          <w:szCs w:val="24"/>
          <w:highlight w:val="none"/>
        </w:rPr>
        <w:t>8.拉力：可承受450牛顿的拉力</w:t>
      </w:r>
    </w:p>
    <w:p>
      <w:pPr>
        <w:tabs>
          <w:tab w:val="left" w:pos="960"/>
          <w:tab w:val="left" w:pos="1440"/>
        </w:tabs>
        <w:spacing w:line="360" w:lineRule="auto"/>
        <w:ind w:left="1440" w:right="-180" w:rightChars="-75" w:firstLine="0"/>
        <w:rPr>
          <w:color w:val="auto"/>
          <w:szCs w:val="24"/>
          <w:highlight w:val="none"/>
        </w:rPr>
      </w:pPr>
      <w:r>
        <w:rPr>
          <w:rFonts w:hint="eastAsia"/>
          <w:color w:val="auto"/>
          <w:szCs w:val="24"/>
          <w:highlight w:val="none"/>
        </w:rPr>
        <w:t>9.插拔500次不变形，保证插拔精度</w:t>
      </w:r>
    </w:p>
    <w:p>
      <w:pPr>
        <w:tabs>
          <w:tab w:val="left" w:pos="960"/>
          <w:tab w:val="left" w:pos="1440"/>
        </w:tabs>
        <w:spacing w:line="360" w:lineRule="auto"/>
        <w:ind w:left="1440" w:right="-180" w:rightChars="-75" w:firstLine="0"/>
        <w:rPr>
          <w:color w:val="auto"/>
          <w:szCs w:val="24"/>
          <w:highlight w:val="none"/>
        </w:rPr>
      </w:pPr>
      <w:r>
        <w:rPr>
          <w:rFonts w:hint="eastAsia"/>
          <w:color w:val="auto"/>
          <w:szCs w:val="24"/>
          <w:highlight w:val="none"/>
        </w:rPr>
        <w:t>10.分支器卡入式设计，免工具安装</w:t>
      </w:r>
    </w:p>
    <w:p>
      <w:pPr>
        <w:tabs>
          <w:tab w:val="left" w:pos="960"/>
          <w:tab w:val="left" w:pos="1440"/>
        </w:tabs>
        <w:spacing w:line="360" w:lineRule="auto"/>
        <w:ind w:left="1440" w:right="-180" w:rightChars="-75" w:firstLine="0"/>
        <w:rPr>
          <w:color w:val="auto"/>
          <w:szCs w:val="24"/>
          <w:highlight w:val="none"/>
        </w:rPr>
      </w:pPr>
      <w:r>
        <w:rPr>
          <w:rFonts w:hint="eastAsia"/>
          <w:color w:val="auto"/>
          <w:szCs w:val="24"/>
          <w:highlight w:val="none"/>
        </w:rPr>
        <w:t>11.抗弯曲超低损光纤使用：多模：≤2.4 dB/km@850nm，≤0.6dB/km@1300nm</w:t>
      </w:r>
    </w:p>
    <w:p>
      <w:pPr>
        <w:tabs>
          <w:tab w:val="left" w:pos="960"/>
          <w:tab w:val="left" w:pos="1440"/>
        </w:tabs>
        <w:spacing w:line="360" w:lineRule="auto"/>
        <w:ind w:left="1440" w:right="-180" w:rightChars="-75" w:firstLine="0"/>
        <w:rPr>
          <w:color w:val="auto"/>
          <w:szCs w:val="24"/>
          <w:highlight w:val="none"/>
        </w:rPr>
      </w:pPr>
      <w:r>
        <w:rPr>
          <w:rFonts w:hint="eastAsia"/>
          <w:color w:val="auto"/>
          <w:szCs w:val="24"/>
          <w:highlight w:val="none"/>
        </w:rPr>
        <w:t>12.LC 连接器光学性能：满YD/T1272.5-2009 中的4.5 条款。</w:t>
      </w:r>
    </w:p>
    <w:p>
      <w:pPr>
        <w:tabs>
          <w:tab w:val="left" w:pos="960"/>
          <w:tab w:val="left" w:pos="1440"/>
        </w:tabs>
        <w:spacing w:line="360" w:lineRule="auto"/>
        <w:ind w:left="1440" w:right="-180" w:rightChars="-75" w:firstLine="0"/>
        <w:rPr>
          <w:color w:val="auto"/>
          <w:szCs w:val="24"/>
          <w:highlight w:val="none"/>
        </w:rPr>
      </w:pPr>
      <w:r>
        <w:rPr>
          <w:rFonts w:hint="eastAsia"/>
          <w:color w:val="auto"/>
          <w:szCs w:val="24"/>
          <w:highlight w:val="none"/>
        </w:rPr>
        <w:t>13.预端接连接器（LC）符合IEC-61754-7和YIA/EIA-604-5(FOCIS 5)定义</w:t>
      </w:r>
    </w:p>
    <w:p>
      <w:pPr>
        <w:pStyle w:val="7"/>
        <w:ind w:left="1134" w:right="-180" w:rightChars="-75" w:hanging="708"/>
        <w:rPr>
          <w:rFonts w:ascii="宋体" w:hAnsi="宋体" w:eastAsia="宋体" w:cs="宋体"/>
          <w:highlight w:val="none"/>
        </w:rPr>
      </w:pPr>
      <w:r>
        <w:rPr>
          <w:rFonts w:hint="eastAsia" w:ascii="宋体" w:hAnsi="宋体" w:eastAsia="宋体" w:cs="宋体"/>
          <w:highlight w:val="none"/>
        </w:rPr>
        <w:t>4）24/48芯LC-LC预端接主干光缆OS2</w:t>
      </w:r>
    </w:p>
    <w:p>
      <w:pPr>
        <w:tabs>
          <w:tab w:val="left" w:pos="1155"/>
        </w:tabs>
        <w:spacing w:line="360" w:lineRule="auto"/>
        <w:ind w:left="1440" w:right="-180" w:rightChars="-75" w:firstLine="0"/>
        <w:rPr>
          <w:color w:val="auto"/>
          <w:szCs w:val="24"/>
          <w:highlight w:val="none"/>
        </w:rPr>
      </w:pPr>
      <w:r>
        <w:rPr>
          <w:rFonts w:hint="eastAsia"/>
          <w:color w:val="auto"/>
          <w:szCs w:val="24"/>
          <w:highlight w:val="none"/>
        </w:rPr>
        <w:t>1.符合TIA/EIA-568-C.3和ISO/IEC 11801 相关标准</w:t>
      </w:r>
    </w:p>
    <w:p>
      <w:pPr>
        <w:tabs>
          <w:tab w:val="left" w:pos="1155"/>
        </w:tabs>
        <w:spacing w:line="360" w:lineRule="auto"/>
        <w:ind w:left="1440" w:right="-180" w:rightChars="-75" w:firstLine="0"/>
        <w:rPr>
          <w:color w:val="auto"/>
          <w:szCs w:val="24"/>
          <w:highlight w:val="none"/>
        </w:rPr>
      </w:pPr>
      <w:r>
        <w:rPr>
          <w:rFonts w:hint="eastAsia"/>
          <w:color w:val="auto"/>
          <w:szCs w:val="24"/>
          <w:highlight w:val="none"/>
        </w:rPr>
        <w:t>2.通过Telcordia GR-1435-CORE认证</w:t>
      </w:r>
    </w:p>
    <w:p>
      <w:pPr>
        <w:tabs>
          <w:tab w:val="left" w:pos="1155"/>
        </w:tabs>
        <w:spacing w:line="360" w:lineRule="auto"/>
        <w:ind w:left="1440" w:right="-180" w:rightChars="-75" w:firstLine="0"/>
        <w:rPr>
          <w:color w:val="auto"/>
          <w:szCs w:val="24"/>
          <w:highlight w:val="none"/>
        </w:rPr>
      </w:pPr>
      <w:r>
        <w:rPr>
          <w:rFonts w:hint="eastAsia"/>
          <w:color w:val="auto"/>
          <w:szCs w:val="24"/>
          <w:highlight w:val="none"/>
        </w:rPr>
        <w:t>3.纤芯：单模采用抗弯OS2光纤</w:t>
      </w:r>
    </w:p>
    <w:p>
      <w:pPr>
        <w:tabs>
          <w:tab w:val="left" w:pos="1155"/>
        </w:tabs>
        <w:spacing w:line="360" w:lineRule="auto"/>
        <w:ind w:left="1440" w:right="-180" w:rightChars="-75" w:firstLine="0"/>
        <w:rPr>
          <w:color w:val="auto"/>
          <w:szCs w:val="24"/>
          <w:highlight w:val="none"/>
        </w:rPr>
      </w:pPr>
      <w:r>
        <w:rPr>
          <w:rFonts w:hint="eastAsia"/>
          <w:color w:val="auto"/>
          <w:szCs w:val="24"/>
          <w:highlight w:val="none"/>
        </w:rPr>
        <w:t>4.线缆外径：5.0±0.2mm</w:t>
      </w:r>
    </w:p>
    <w:p>
      <w:pPr>
        <w:tabs>
          <w:tab w:val="left" w:pos="1155"/>
        </w:tabs>
        <w:spacing w:line="360" w:lineRule="auto"/>
        <w:ind w:left="1440" w:right="-180" w:rightChars="-75" w:firstLine="0"/>
        <w:rPr>
          <w:color w:val="auto"/>
          <w:szCs w:val="24"/>
          <w:highlight w:val="none"/>
        </w:rPr>
      </w:pPr>
      <w:r>
        <w:rPr>
          <w:rFonts w:hint="eastAsia"/>
          <w:color w:val="auto"/>
          <w:szCs w:val="24"/>
          <w:highlight w:val="none"/>
        </w:rPr>
        <w:t>5.插入衰减≤0.25dB@1310nm&amp;1550nm</w:t>
      </w:r>
    </w:p>
    <w:p>
      <w:pPr>
        <w:tabs>
          <w:tab w:val="left" w:pos="1155"/>
        </w:tabs>
        <w:spacing w:line="360" w:lineRule="auto"/>
        <w:ind w:left="1440" w:right="-180" w:rightChars="-75" w:firstLine="0"/>
        <w:rPr>
          <w:color w:val="auto"/>
          <w:szCs w:val="24"/>
          <w:highlight w:val="none"/>
        </w:rPr>
      </w:pPr>
      <w:r>
        <w:rPr>
          <w:rFonts w:hint="eastAsia"/>
          <w:color w:val="auto"/>
          <w:szCs w:val="24"/>
          <w:highlight w:val="none"/>
        </w:rPr>
        <w:t>6.回波损耗≥36dB</w:t>
      </w:r>
    </w:p>
    <w:p>
      <w:pPr>
        <w:tabs>
          <w:tab w:val="left" w:pos="1155"/>
        </w:tabs>
        <w:spacing w:line="360" w:lineRule="auto"/>
        <w:ind w:left="1440" w:right="-180" w:rightChars="-75" w:firstLine="0"/>
        <w:rPr>
          <w:color w:val="auto"/>
          <w:szCs w:val="24"/>
          <w:highlight w:val="none"/>
        </w:rPr>
      </w:pPr>
      <w:r>
        <w:rPr>
          <w:rFonts w:hint="eastAsia"/>
          <w:color w:val="auto"/>
          <w:szCs w:val="24"/>
          <w:highlight w:val="none"/>
        </w:rPr>
        <w:t>7.采用低烟无卤外皮，阻燃符合IEC 60332-1,气体排放符合IEC 60754-2,低烟无卤排放符合IEC61034-2标准</w:t>
      </w:r>
    </w:p>
    <w:p>
      <w:pPr>
        <w:tabs>
          <w:tab w:val="left" w:pos="1155"/>
        </w:tabs>
        <w:spacing w:line="360" w:lineRule="auto"/>
        <w:ind w:left="1440" w:right="-180" w:rightChars="-75" w:firstLine="0"/>
        <w:rPr>
          <w:color w:val="auto"/>
          <w:szCs w:val="24"/>
          <w:highlight w:val="none"/>
        </w:rPr>
      </w:pPr>
      <w:r>
        <w:rPr>
          <w:rFonts w:hint="eastAsia"/>
          <w:color w:val="auto"/>
          <w:szCs w:val="24"/>
          <w:highlight w:val="none"/>
        </w:rPr>
        <w:t>8.拉力：可承受450牛顿的拉力</w:t>
      </w:r>
    </w:p>
    <w:p>
      <w:pPr>
        <w:tabs>
          <w:tab w:val="left" w:pos="1155"/>
        </w:tabs>
        <w:spacing w:line="360" w:lineRule="auto"/>
        <w:ind w:left="1440" w:right="-180" w:rightChars="-75" w:firstLine="0"/>
        <w:rPr>
          <w:color w:val="auto"/>
          <w:szCs w:val="24"/>
          <w:highlight w:val="none"/>
        </w:rPr>
      </w:pPr>
      <w:r>
        <w:rPr>
          <w:rFonts w:hint="eastAsia"/>
          <w:color w:val="auto"/>
          <w:szCs w:val="24"/>
          <w:highlight w:val="none"/>
        </w:rPr>
        <w:t>9.插拔500次不变形，保证插拔精度</w:t>
      </w:r>
    </w:p>
    <w:p>
      <w:pPr>
        <w:tabs>
          <w:tab w:val="left" w:pos="1155"/>
        </w:tabs>
        <w:spacing w:line="360" w:lineRule="auto"/>
        <w:ind w:left="1440" w:right="-180" w:rightChars="-75" w:firstLine="0"/>
        <w:rPr>
          <w:color w:val="auto"/>
          <w:szCs w:val="24"/>
          <w:highlight w:val="none"/>
        </w:rPr>
      </w:pPr>
      <w:r>
        <w:rPr>
          <w:rFonts w:hint="eastAsia"/>
          <w:color w:val="auto"/>
          <w:szCs w:val="24"/>
          <w:highlight w:val="none"/>
        </w:rPr>
        <w:t>10.分支器卡入式设计，免工具安装</w:t>
      </w:r>
    </w:p>
    <w:p>
      <w:pPr>
        <w:tabs>
          <w:tab w:val="left" w:pos="1155"/>
        </w:tabs>
        <w:spacing w:line="360" w:lineRule="auto"/>
        <w:ind w:left="1440" w:right="-180" w:rightChars="-75" w:firstLine="0"/>
        <w:rPr>
          <w:color w:val="auto"/>
          <w:szCs w:val="24"/>
          <w:highlight w:val="none"/>
        </w:rPr>
      </w:pPr>
      <w:r>
        <w:rPr>
          <w:rFonts w:hint="eastAsia"/>
          <w:color w:val="auto"/>
          <w:szCs w:val="24"/>
          <w:highlight w:val="none"/>
        </w:rPr>
        <w:t>11.抗弯曲超低损光纤使用：单模：≤0.35 dB/km@1310nm，≤0.21dB/km@1550nm</w:t>
      </w:r>
    </w:p>
    <w:p>
      <w:pPr>
        <w:pStyle w:val="7"/>
        <w:ind w:left="1134" w:right="-180" w:rightChars="-75" w:hanging="708"/>
        <w:rPr>
          <w:rFonts w:ascii="宋体" w:hAnsi="宋体" w:eastAsia="宋体" w:cs="宋体"/>
          <w:highlight w:val="none"/>
        </w:rPr>
      </w:pPr>
      <w:r>
        <w:rPr>
          <w:rFonts w:hint="eastAsia" w:ascii="宋体" w:hAnsi="宋体" w:eastAsia="宋体" w:cs="宋体"/>
          <w:highlight w:val="none"/>
        </w:rPr>
        <w:t>5） LC双工光纤跳线  OS2</w:t>
      </w:r>
    </w:p>
    <w:p>
      <w:pPr>
        <w:tabs>
          <w:tab w:val="left" w:pos="960"/>
        </w:tabs>
        <w:spacing w:line="360" w:lineRule="auto"/>
        <w:ind w:left="1440" w:right="-180" w:rightChars="-75" w:firstLine="0"/>
        <w:rPr>
          <w:color w:val="auto"/>
          <w:szCs w:val="24"/>
          <w:highlight w:val="none"/>
        </w:rPr>
      </w:pPr>
      <w:r>
        <w:rPr>
          <w:rFonts w:hint="eastAsia"/>
          <w:color w:val="auto"/>
          <w:szCs w:val="24"/>
          <w:highlight w:val="none"/>
        </w:rPr>
        <w:t>1.符合ANSI/TIA/EIA 568-C.3以及ISO/IEC 11801标准</w:t>
      </w:r>
    </w:p>
    <w:p>
      <w:pPr>
        <w:tabs>
          <w:tab w:val="left" w:pos="960"/>
        </w:tabs>
        <w:spacing w:line="360" w:lineRule="auto"/>
        <w:ind w:left="1440" w:right="-180" w:rightChars="-75" w:firstLine="0"/>
        <w:rPr>
          <w:color w:val="auto"/>
          <w:szCs w:val="24"/>
          <w:highlight w:val="none"/>
        </w:rPr>
      </w:pPr>
      <w:r>
        <w:rPr>
          <w:rFonts w:hint="eastAsia"/>
          <w:color w:val="auto"/>
          <w:szCs w:val="24"/>
          <w:highlight w:val="none"/>
        </w:rPr>
        <w:t>2.通过Telcordia GR-326-CORE认证；</w:t>
      </w:r>
    </w:p>
    <w:p>
      <w:pPr>
        <w:tabs>
          <w:tab w:val="left" w:pos="960"/>
        </w:tabs>
        <w:spacing w:line="360" w:lineRule="auto"/>
        <w:ind w:left="1440" w:right="-180" w:rightChars="-75" w:firstLine="0"/>
        <w:rPr>
          <w:color w:val="auto"/>
          <w:szCs w:val="24"/>
          <w:highlight w:val="none"/>
        </w:rPr>
      </w:pPr>
      <w:r>
        <w:rPr>
          <w:rFonts w:hint="eastAsia"/>
          <w:color w:val="auto"/>
          <w:szCs w:val="24"/>
          <w:highlight w:val="none"/>
        </w:rPr>
        <w:t>3.纤芯9/125um ,采用G657.A2纤芯</w:t>
      </w:r>
    </w:p>
    <w:p>
      <w:pPr>
        <w:tabs>
          <w:tab w:val="left" w:pos="960"/>
        </w:tabs>
        <w:spacing w:line="360" w:lineRule="auto"/>
        <w:ind w:left="1440" w:right="-180" w:rightChars="-75" w:firstLine="0"/>
        <w:rPr>
          <w:color w:val="auto"/>
          <w:szCs w:val="24"/>
          <w:highlight w:val="none"/>
        </w:rPr>
      </w:pPr>
      <w:r>
        <w:rPr>
          <w:rFonts w:hint="eastAsia"/>
          <w:color w:val="auto"/>
          <w:szCs w:val="24"/>
          <w:highlight w:val="none"/>
        </w:rPr>
        <w:t>4.线缆外径≤2.0mm</w:t>
      </w:r>
    </w:p>
    <w:p>
      <w:pPr>
        <w:tabs>
          <w:tab w:val="left" w:pos="960"/>
        </w:tabs>
        <w:spacing w:line="360" w:lineRule="auto"/>
        <w:ind w:left="1440" w:right="-180" w:rightChars="-75" w:firstLine="0"/>
        <w:rPr>
          <w:color w:val="auto"/>
          <w:szCs w:val="24"/>
          <w:highlight w:val="none"/>
        </w:rPr>
      </w:pPr>
      <w:r>
        <w:rPr>
          <w:rFonts w:hint="eastAsia"/>
          <w:color w:val="auto"/>
          <w:szCs w:val="24"/>
          <w:highlight w:val="none"/>
        </w:rPr>
        <w:t>5.插入衰减≤0.3dB@1310nm&amp;1550nm</w:t>
      </w:r>
    </w:p>
    <w:p>
      <w:pPr>
        <w:tabs>
          <w:tab w:val="left" w:pos="960"/>
        </w:tabs>
        <w:spacing w:line="360" w:lineRule="auto"/>
        <w:ind w:left="1440" w:right="-180" w:rightChars="-75" w:firstLine="0"/>
        <w:rPr>
          <w:color w:val="auto"/>
          <w:szCs w:val="24"/>
          <w:highlight w:val="none"/>
        </w:rPr>
      </w:pPr>
      <w:r>
        <w:rPr>
          <w:rFonts w:hint="eastAsia"/>
          <w:color w:val="auto"/>
          <w:szCs w:val="24"/>
          <w:highlight w:val="none"/>
        </w:rPr>
        <w:t>6.回波损耗≥50dB</w:t>
      </w:r>
    </w:p>
    <w:p>
      <w:pPr>
        <w:tabs>
          <w:tab w:val="left" w:pos="960"/>
        </w:tabs>
        <w:spacing w:line="360" w:lineRule="auto"/>
        <w:ind w:left="1440" w:right="-180" w:rightChars="-75" w:firstLine="0"/>
        <w:rPr>
          <w:color w:val="auto"/>
          <w:szCs w:val="24"/>
          <w:highlight w:val="none"/>
        </w:rPr>
      </w:pPr>
      <w:r>
        <w:rPr>
          <w:rFonts w:hint="eastAsia"/>
          <w:color w:val="auto"/>
          <w:szCs w:val="24"/>
          <w:highlight w:val="none"/>
        </w:rPr>
        <w:t>7.陶瓷插芯</w:t>
      </w:r>
    </w:p>
    <w:p>
      <w:pPr>
        <w:tabs>
          <w:tab w:val="left" w:pos="960"/>
        </w:tabs>
        <w:spacing w:line="360" w:lineRule="auto"/>
        <w:ind w:left="1440" w:right="-180" w:rightChars="-75" w:firstLine="0"/>
        <w:rPr>
          <w:color w:val="auto"/>
          <w:szCs w:val="24"/>
          <w:highlight w:val="none"/>
        </w:rPr>
      </w:pPr>
      <w:r>
        <w:rPr>
          <w:rFonts w:hint="eastAsia"/>
          <w:color w:val="auto"/>
          <w:szCs w:val="24"/>
          <w:highlight w:val="none"/>
        </w:rPr>
        <w:t>8.低烟无卤（LSZH）外皮；符合IEC60332-1阻燃标准，气体排放符合IEC 60754-2,低烟无卤排放符合IEC61034-2标准</w:t>
      </w:r>
    </w:p>
    <w:p>
      <w:pPr>
        <w:tabs>
          <w:tab w:val="left" w:pos="960"/>
        </w:tabs>
        <w:spacing w:line="360" w:lineRule="auto"/>
        <w:ind w:left="1440" w:right="-180" w:rightChars="-75" w:firstLine="0"/>
        <w:rPr>
          <w:color w:val="auto"/>
          <w:szCs w:val="24"/>
          <w:highlight w:val="none"/>
        </w:rPr>
      </w:pPr>
      <w:r>
        <w:rPr>
          <w:rFonts w:hint="eastAsia"/>
          <w:color w:val="auto"/>
          <w:szCs w:val="24"/>
          <w:highlight w:val="none"/>
        </w:rPr>
        <w:t>9.弯曲半径（静态/动态）：45mm/70mm</w:t>
      </w:r>
    </w:p>
    <w:p>
      <w:pPr>
        <w:tabs>
          <w:tab w:val="left" w:pos="960"/>
        </w:tabs>
        <w:spacing w:line="360" w:lineRule="auto"/>
        <w:ind w:left="1440" w:right="-180" w:rightChars="-75" w:firstLine="0"/>
        <w:rPr>
          <w:color w:val="auto"/>
          <w:szCs w:val="24"/>
          <w:highlight w:val="none"/>
        </w:rPr>
      </w:pPr>
      <w:r>
        <w:rPr>
          <w:rFonts w:hint="eastAsia"/>
          <w:color w:val="auto"/>
          <w:szCs w:val="24"/>
          <w:highlight w:val="none"/>
        </w:rPr>
        <w:t>10.光纤跳线长度提供1/2/3/5/10米多种长度可选，其他长度定制</w:t>
      </w:r>
    </w:p>
    <w:p>
      <w:pPr>
        <w:tabs>
          <w:tab w:val="left" w:pos="960"/>
        </w:tabs>
        <w:spacing w:line="360" w:lineRule="auto"/>
        <w:ind w:left="1440" w:right="-180" w:rightChars="-75" w:firstLine="0"/>
        <w:rPr>
          <w:color w:val="auto"/>
          <w:szCs w:val="24"/>
          <w:highlight w:val="none"/>
        </w:rPr>
      </w:pPr>
      <w:r>
        <w:rPr>
          <w:rFonts w:hint="eastAsia"/>
          <w:color w:val="auto"/>
          <w:szCs w:val="24"/>
          <w:highlight w:val="none"/>
        </w:rPr>
        <w:t>11.使用抗微弯光纤材料</w:t>
      </w:r>
    </w:p>
    <w:p>
      <w:pPr>
        <w:pStyle w:val="7"/>
        <w:ind w:left="1134" w:right="-180" w:rightChars="-75" w:hanging="708"/>
        <w:rPr>
          <w:rFonts w:ascii="宋体" w:hAnsi="宋体" w:eastAsia="宋体" w:cs="宋体"/>
          <w:highlight w:val="none"/>
        </w:rPr>
      </w:pPr>
      <w:r>
        <w:rPr>
          <w:rFonts w:hint="eastAsia" w:ascii="宋体" w:hAnsi="宋体" w:eastAsia="宋体" w:cs="宋体"/>
          <w:highlight w:val="none"/>
        </w:rPr>
        <w:t>6） LC双工光纤跳线多模 OM4</w:t>
      </w:r>
    </w:p>
    <w:p>
      <w:pPr>
        <w:tabs>
          <w:tab w:val="left" w:pos="1440"/>
        </w:tabs>
        <w:spacing w:line="360" w:lineRule="auto"/>
        <w:ind w:left="1440" w:leftChars="600" w:right="-180" w:rightChars="-75" w:firstLine="0"/>
        <w:rPr>
          <w:color w:val="auto"/>
          <w:szCs w:val="24"/>
          <w:highlight w:val="none"/>
        </w:rPr>
      </w:pPr>
      <w:r>
        <w:rPr>
          <w:rFonts w:hint="eastAsia"/>
          <w:color w:val="auto"/>
          <w:szCs w:val="24"/>
          <w:highlight w:val="none"/>
        </w:rPr>
        <w:t>1.符合ANSI/TIA/EIA 568-C.3以及ISO/IEC 11801标准</w:t>
      </w:r>
    </w:p>
    <w:p>
      <w:pPr>
        <w:tabs>
          <w:tab w:val="left" w:pos="1440"/>
        </w:tabs>
        <w:spacing w:line="360" w:lineRule="auto"/>
        <w:ind w:left="1440" w:leftChars="600" w:right="-180" w:rightChars="-75" w:firstLine="0"/>
        <w:rPr>
          <w:color w:val="auto"/>
          <w:szCs w:val="24"/>
          <w:highlight w:val="none"/>
        </w:rPr>
      </w:pPr>
      <w:r>
        <w:rPr>
          <w:rFonts w:hint="eastAsia"/>
          <w:color w:val="auto"/>
          <w:szCs w:val="24"/>
          <w:highlight w:val="none"/>
        </w:rPr>
        <w:t>2.通过Telcordia GR-326-CORE认证；</w:t>
      </w:r>
    </w:p>
    <w:p>
      <w:pPr>
        <w:tabs>
          <w:tab w:val="left" w:pos="1440"/>
        </w:tabs>
        <w:spacing w:line="360" w:lineRule="auto"/>
        <w:ind w:left="1440" w:leftChars="600" w:right="-180" w:rightChars="-75" w:firstLine="0"/>
        <w:rPr>
          <w:color w:val="auto"/>
          <w:szCs w:val="24"/>
          <w:highlight w:val="none"/>
        </w:rPr>
      </w:pPr>
      <w:r>
        <w:rPr>
          <w:rFonts w:hint="eastAsia"/>
          <w:color w:val="auto"/>
          <w:szCs w:val="24"/>
          <w:highlight w:val="none"/>
        </w:rPr>
        <w:t>3.纤芯50/125um ,</w:t>
      </w:r>
    </w:p>
    <w:p>
      <w:pPr>
        <w:tabs>
          <w:tab w:val="left" w:pos="1440"/>
        </w:tabs>
        <w:spacing w:line="360" w:lineRule="auto"/>
        <w:ind w:left="1440" w:leftChars="600" w:right="-180" w:rightChars="-75" w:firstLine="0"/>
        <w:rPr>
          <w:color w:val="auto"/>
          <w:szCs w:val="24"/>
          <w:highlight w:val="none"/>
        </w:rPr>
      </w:pPr>
      <w:r>
        <w:rPr>
          <w:rFonts w:hint="eastAsia"/>
          <w:color w:val="auto"/>
          <w:szCs w:val="24"/>
          <w:highlight w:val="none"/>
        </w:rPr>
        <w:t>4.线缆外径≤2.0mm</w:t>
      </w:r>
    </w:p>
    <w:p>
      <w:pPr>
        <w:tabs>
          <w:tab w:val="left" w:pos="1440"/>
        </w:tabs>
        <w:spacing w:line="360" w:lineRule="auto"/>
        <w:ind w:left="1440" w:leftChars="600" w:right="-180" w:rightChars="-75" w:firstLine="0"/>
        <w:rPr>
          <w:color w:val="auto"/>
          <w:szCs w:val="24"/>
          <w:highlight w:val="none"/>
        </w:rPr>
      </w:pPr>
      <w:r>
        <w:rPr>
          <w:rFonts w:hint="eastAsia"/>
          <w:color w:val="auto"/>
          <w:szCs w:val="24"/>
          <w:highlight w:val="none"/>
        </w:rPr>
        <w:t>5.插入衰减≤0.25dB@850nm&amp;1300nm</w:t>
      </w:r>
    </w:p>
    <w:p>
      <w:pPr>
        <w:tabs>
          <w:tab w:val="left" w:pos="1440"/>
        </w:tabs>
        <w:spacing w:line="360" w:lineRule="auto"/>
        <w:ind w:left="1440" w:leftChars="600" w:right="-180" w:rightChars="-75" w:firstLine="0"/>
        <w:rPr>
          <w:color w:val="auto"/>
          <w:szCs w:val="24"/>
          <w:highlight w:val="none"/>
        </w:rPr>
      </w:pPr>
      <w:r>
        <w:rPr>
          <w:rFonts w:hint="eastAsia"/>
          <w:color w:val="auto"/>
          <w:szCs w:val="24"/>
          <w:highlight w:val="none"/>
        </w:rPr>
        <w:t>6.回波损耗≥36dB</w:t>
      </w:r>
    </w:p>
    <w:p>
      <w:pPr>
        <w:tabs>
          <w:tab w:val="left" w:pos="1440"/>
        </w:tabs>
        <w:spacing w:line="360" w:lineRule="auto"/>
        <w:ind w:left="1440" w:leftChars="600" w:right="-180" w:rightChars="-75" w:firstLine="0"/>
        <w:rPr>
          <w:color w:val="auto"/>
          <w:szCs w:val="24"/>
          <w:highlight w:val="none"/>
        </w:rPr>
      </w:pPr>
      <w:r>
        <w:rPr>
          <w:rFonts w:hint="eastAsia"/>
          <w:color w:val="auto"/>
          <w:szCs w:val="24"/>
          <w:highlight w:val="none"/>
        </w:rPr>
        <w:t>7.陶瓷插芯</w:t>
      </w:r>
    </w:p>
    <w:p>
      <w:pPr>
        <w:tabs>
          <w:tab w:val="left" w:pos="1440"/>
        </w:tabs>
        <w:spacing w:line="360" w:lineRule="auto"/>
        <w:ind w:left="1440" w:leftChars="600" w:right="-180" w:rightChars="-75" w:firstLine="0"/>
        <w:rPr>
          <w:color w:val="auto"/>
          <w:szCs w:val="24"/>
          <w:highlight w:val="none"/>
        </w:rPr>
      </w:pPr>
      <w:r>
        <w:rPr>
          <w:rFonts w:hint="eastAsia"/>
          <w:color w:val="auto"/>
          <w:szCs w:val="24"/>
          <w:highlight w:val="none"/>
        </w:rPr>
        <w:t>8.低烟无卤（LSZH）外皮；符合IEC60332-1阻燃标准，气体排放符合IEC 60754-2,低烟无卤排放符合IEC61034-2标准</w:t>
      </w:r>
    </w:p>
    <w:p>
      <w:pPr>
        <w:tabs>
          <w:tab w:val="left" w:pos="1440"/>
        </w:tabs>
        <w:spacing w:line="360" w:lineRule="auto"/>
        <w:ind w:left="1440" w:leftChars="600" w:right="-180" w:rightChars="-75" w:firstLine="0"/>
        <w:rPr>
          <w:color w:val="auto"/>
          <w:szCs w:val="24"/>
          <w:highlight w:val="none"/>
        </w:rPr>
      </w:pPr>
      <w:r>
        <w:rPr>
          <w:rFonts w:hint="eastAsia"/>
          <w:color w:val="auto"/>
          <w:szCs w:val="24"/>
          <w:highlight w:val="none"/>
        </w:rPr>
        <w:t>9.弯曲半径（静态/动态）：45mm/70mm</w:t>
      </w:r>
    </w:p>
    <w:p>
      <w:pPr>
        <w:tabs>
          <w:tab w:val="left" w:pos="1440"/>
        </w:tabs>
        <w:spacing w:line="360" w:lineRule="auto"/>
        <w:ind w:left="1440" w:leftChars="600" w:right="-180" w:rightChars="-75" w:firstLine="0"/>
        <w:rPr>
          <w:color w:val="auto"/>
          <w:szCs w:val="24"/>
          <w:highlight w:val="none"/>
        </w:rPr>
      </w:pPr>
      <w:r>
        <w:rPr>
          <w:rFonts w:hint="eastAsia"/>
          <w:color w:val="auto"/>
          <w:szCs w:val="24"/>
          <w:highlight w:val="none"/>
        </w:rPr>
        <w:t>10.光纤跳线长度提供1/2/3/5/10米多种长度可选，其他长度定制</w:t>
      </w:r>
    </w:p>
    <w:p>
      <w:pPr>
        <w:tabs>
          <w:tab w:val="left" w:pos="1440"/>
        </w:tabs>
        <w:spacing w:line="360" w:lineRule="auto"/>
        <w:ind w:left="1440" w:leftChars="600" w:right="-180" w:rightChars="-75" w:firstLine="0"/>
        <w:rPr>
          <w:color w:val="auto"/>
          <w:szCs w:val="24"/>
          <w:highlight w:val="none"/>
        </w:rPr>
      </w:pPr>
      <w:r>
        <w:rPr>
          <w:rFonts w:hint="eastAsia"/>
          <w:color w:val="auto"/>
          <w:szCs w:val="24"/>
          <w:highlight w:val="none"/>
        </w:rPr>
        <w:t>11.采用OM4抗微弯光缆材料</w:t>
      </w:r>
    </w:p>
    <w:p>
      <w:pPr>
        <w:pStyle w:val="5"/>
        <w:numPr>
          <w:ilvl w:val="0"/>
          <w:numId w:val="58"/>
        </w:numPr>
        <w:ind w:left="1134" w:right="-180" w:rightChars="-75" w:hanging="708"/>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微模块冷通道系统</w:t>
      </w:r>
    </w:p>
    <w:p>
      <w:pPr>
        <w:pStyle w:val="6"/>
        <w:ind w:left="1134" w:right="-180" w:rightChars="-75" w:hanging="708"/>
        <w:rPr>
          <w:color w:val="auto"/>
          <w:sz w:val="24"/>
          <w:szCs w:val="24"/>
          <w:highlight w:val="none"/>
        </w:rPr>
      </w:pPr>
      <w:r>
        <w:rPr>
          <w:rFonts w:hint="eastAsia"/>
          <w:color w:val="auto"/>
          <w:sz w:val="24"/>
          <w:szCs w:val="24"/>
          <w:highlight w:val="none"/>
        </w:rPr>
        <w:t>1、机柜系统概述</w:t>
      </w:r>
    </w:p>
    <w:p>
      <w:pPr>
        <w:spacing w:line="360" w:lineRule="auto"/>
        <w:ind w:left="240" w:right="-180" w:rightChars="-75" w:firstLine="480" w:firstLineChars="200"/>
        <w:rPr>
          <w:color w:val="auto"/>
          <w:szCs w:val="24"/>
          <w:highlight w:val="none"/>
        </w:rPr>
      </w:pPr>
      <w:r>
        <w:rPr>
          <w:color w:val="auto"/>
          <w:szCs w:val="24"/>
          <w:highlight w:val="none"/>
        </w:rPr>
        <w:t>机柜统一使用黑色600W*1</w:t>
      </w:r>
      <w:r>
        <w:rPr>
          <w:rFonts w:hint="eastAsia"/>
          <w:color w:val="auto"/>
          <w:szCs w:val="24"/>
          <w:highlight w:val="none"/>
        </w:rPr>
        <w:t>2</w:t>
      </w:r>
      <w:r>
        <w:rPr>
          <w:color w:val="auto"/>
          <w:szCs w:val="24"/>
          <w:highlight w:val="none"/>
        </w:rPr>
        <w:t>00D*2000H 42U的19英寸标准机柜，钢结构框架，采用高级镀锌钢板，柜体表面采用粉末喷涂处理。每个机柜附件具体配置根据建设方需求进行配置；</w:t>
      </w:r>
      <w:r>
        <w:rPr>
          <w:rFonts w:hint="eastAsia"/>
          <w:color w:val="auto"/>
          <w:szCs w:val="24"/>
          <w:highlight w:val="none"/>
        </w:rPr>
        <w:t>机柜采用上进线，弱电与强电线缆分开布线，进线孔配橡皮圈保护机柜上进线为弱电类线缆，进线孔配橡皮圈保护</w:t>
      </w:r>
      <w:r>
        <w:rPr>
          <w:color w:val="auto"/>
          <w:szCs w:val="24"/>
          <w:highlight w:val="none"/>
        </w:rPr>
        <w:t>。侧板</w:t>
      </w:r>
      <w:r>
        <w:rPr>
          <w:rFonts w:hint="eastAsia"/>
          <w:color w:val="auto"/>
          <w:szCs w:val="24"/>
          <w:highlight w:val="none"/>
        </w:rPr>
        <w:t>、</w:t>
      </w:r>
      <w:r>
        <w:rPr>
          <w:color w:val="auto"/>
          <w:szCs w:val="24"/>
          <w:highlight w:val="none"/>
        </w:rPr>
        <w:t>并柜件及机柜安装组件应酌量进行配置。每列机柜两侧应安装相应功能区铭牌。</w:t>
      </w:r>
    </w:p>
    <w:p>
      <w:pPr>
        <w:pStyle w:val="6"/>
        <w:ind w:left="1134" w:right="-180" w:rightChars="-75" w:hanging="708"/>
        <w:rPr>
          <w:color w:val="auto"/>
          <w:sz w:val="24"/>
          <w:szCs w:val="24"/>
          <w:highlight w:val="none"/>
        </w:rPr>
      </w:pPr>
      <w:r>
        <w:rPr>
          <w:rFonts w:hint="eastAsia"/>
          <w:color w:val="auto"/>
          <w:sz w:val="24"/>
          <w:szCs w:val="24"/>
          <w:highlight w:val="none"/>
        </w:rPr>
        <w:t>2、封闭冷通道概述</w:t>
      </w:r>
    </w:p>
    <w:p>
      <w:pPr>
        <w:spacing w:line="360" w:lineRule="auto"/>
        <w:ind w:left="240" w:right="-180" w:rightChars="-75" w:firstLine="480" w:firstLineChars="200"/>
        <w:rPr>
          <w:color w:val="auto"/>
          <w:szCs w:val="24"/>
          <w:highlight w:val="none"/>
        </w:rPr>
      </w:pPr>
      <w:r>
        <w:rPr>
          <w:color w:val="auto"/>
          <w:szCs w:val="24"/>
          <w:highlight w:val="none"/>
        </w:rPr>
        <w:t>冷通道用的机柜间隔板同机柜柜体颜色、材质一致；所有五金配件应配置齐全，且五金配件的材料表面应平整光洁，不得有划损或残缺，所有五金配件的零件、辅件由同一厂家配套用料。</w:t>
      </w:r>
    </w:p>
    <w:p>
      <w:pPr>
        <w:spacing w:line="360" w:lineRule="auto"/>
        <w:ind w:left="240" w:right="-180" w:rightChars="-75" w:firstLine="480" w:firstLineChars="200"/>
        <w:rPr>
          <w:color w:val="auto"/>
          <w:szCs w:val="24"/>
          <w:highlight w:val="none"/>
        </w:rPr>
      </w:pPr>
      <w:r>
        <w:rPr>
          <w:color w:val="auto"/>
          <w:szCs w:val="24"/>
          <w:highlight w:val="none"/>
        </w:rPr>
        <w:t>封闭冷通道主要采用</w:t>
      </w:r>
      <w:r>
        <w:rPr>
          <w:rFonts w:hint="eastAsia"/>
          <w:color w:val="auto"/>
          <w:szCs w:val="24"/>
          <w:highlight w:val="none"/>
        </w:rPr>
        <w:t>钢制框</w:t>
      </w:r>
      <w:r>
        <w:rPr>
          <w:color w:val="auto"/>
          <w:szCs w:val="24"/>
          <w:highlight w:val="none"/>
        </w:rPr>
        <w:t>和</w:t>
      </w:r>
      <w:r>
        <w:rPr>
          <w:rFonts w:hint="eastAsia"/>
          <w:color w:val="auto"/>
          <w:szCs w:val="24"/>
          <w:highlight w:val="none"/>
        </w:rPr>
        <w:t>透明玻璃</w:t>
      </w:r>
      <w:r>
        <w:rPr>
          <w:color w:val="auto"/>
          <w:szCs w:val="24"/>
          <w:highlight w:val="none"/>
        </w:rPr>
        <w:t>，安装应达到相应抗震等级要求。每个通道顶部内设有跌落式窗扇，与火灾报警系统联动联动，由磁力锁控制，可以自动打开。冷通道两侧出入口为金属边框</w:t>
      </w:r>
      <w:r>
        <w:rPr>
          <w:rFonts w:hint="eastAsia"/>
          <w:color w:val="auto"/>
          <w:szCs w:val="24"/>
          <w:highlight w:val="none"/>
        </w:rPr>
        <w:t>钢化</w:t>
      </w:r>
      <w:r>
        <w:rPr>
          <w:color w:val="auto"/>
          <w:szCs w:val="24"/>
          <w:highlight w:val="none"/>
        </w:rPr>
        <w:t>玻璃门。封闭冷通道</w:t>
      </w:r>
      <w:r>
        <w:rPr>
          <w:rFonts w:hint="eastAsia"/>
          <w:color w:val="auto"/>
          <w:szCs w:val="24"/>
          <w:highlight w:val="none"/>
        </w:rPr>
        <w:t>设置</w:t>
      </w:r>
      <w:r>
        <w:rPr>
          <w:color w:val="auto"/>
          <w:szCs w:val="24"/>
          <w:highlight w:val="none"/>
        </w:rPr>
        <w:t>门禁，其内部所使用的灯光、监控等其他配套设施应与机房的整体装修一体化设计，金属部分做好防雷接地保护。</w:t>
      </w:r>
    </w:p>
    <w:p>
      <w:pPr>
        <w:pStyle w:val="6"/>
        <w:ind w:left="1134" w:right="-180" w:rightChars="-75" w:hanging="708"/>
        <w:rPr>
          <w:color w:val="auto"/>
          <w:sz w:val="24"/>
          <w:szCs w:val="24"/>
          <w:highlight w:val="none"/>
        </w:rPr>
      </w:pPr>
      <w:r>
        <w:rPr>
          <w:rFonts w:hint="eastAsia"/>
          <w:color w:val="auto"/>
          <w:sz w:val="24"/>
          <w:szCs w:val="24"/>
          <w:highlight w:val="none"/>
        </w:rPr>
        <w:t>3、微模块技术参数</w:t>
      </w:r>
    </w:p>
    <w:p>
      <w:pPr>
        <w:pStyle w:val="7"/>
        <w:ind w:left="1134" w:right="-180" w:rightChars="-75" w:hanging="708"/>
        <w:rPr>
          <w:rFonts w:ascii="宋体" w:hAnsi="宋体" w:eastAsia="宋体" w:cs="宋体"/>
          <w:highlight w:val="none"/>
        </w:rPr>
      </w:pPr>
      <w:r>
        <w:rPr>
          <w:rFonts w:hint="eastAsia" w:ascii="宋体" w:hAnsi="宋体" w:eastAsia="宋体" w:cs="宋体"/>
          <w:highlight w:val="none"/>
        </w:rPr>
        <w:t>1）.机柜技术要求</w:t>
      </w:r>
    </w:p>
    <w:p>
      <w:pPr>
        <w:spacing w:line="360" w:lineRule="auto"/>
        <w:ind w:left="1434" w:right="-180" w:rightChars="-75" w:firstLine="4"/>
        <w:rPr>
          <w:color w:val="auto"/>
          <w:szCs w:val="24"/>
          <w:highlight w:val="none"/>
        </w:rPr>
      </w:pPr>
      <w:r>
        <w:rPr>
          <w:rFonts w:hint="eastAsia"/>
          <w:color w:val="auto"/>
          <w:szCs w:val="24"/>
          <w:highlight w:val="none"/>
        </w:rPr>
        <w:t>1.投标产品需符合ANSI/EIA RS-310-E、DIN41491；PART1、IEC297-2、DIN41494；PART7、 GB/T3047.2- 92标准，兼容19"国际标准、公制标准和ETSI标准；</w:t>
      </w:r>
    </w:p>
    <w:p>
      <w:pPr>
        <w:spacing w:line="360" w:lineRule="auto"/>
        <w:ind w:left="1434" w:right="-180" w:rightChars="-75" w:firstLine="4"/>
        <w:rPr>
          <w:b/>
          <w:bCs/>
          <w:color w:val="auto"/>
          <w:szCs w:val="24"/>
          <w:highlight w:val="none"/>
        </w:rPr>
      </w:pPr>
      <w:r>
        <w:rPr>
          <w:rFonts w:hint="eastAsia"/>
          <w:b/>
          <w:bCs/>
          <w:color w:val="auto"/>
          <w:szCs w:val="24"/>
          <w:highlight w:val="none"/>
        </w:rPr>
        <w:t>2.</w:t>
      </w:r>
      <w:r>
        <w:rPr>
          <w:rFonts w:hint="eastAsia"/>
          <w:b/>
          <w:bCs/>
          <w:color w:val="auto"/>
          <w:szCs w:val="24"/>
          <w:highlight w:val="none"/>
          <w:lang w:val="zh-CN"/>
        </w:rPr>
        <w:t xml:space="preserve"> 机柜主体材质</w:t>
      </w:r>
      <w:r>
        <w:rPr>
          <w:b/>
          <w:bCs/>
          <w:color w:val="auto"/>
          <w:szCs w:val="24"/>
          <w:highlight w:val="none"/>
          <w:lang w:val="zh-CN"/>
        </w:rPr>
        <w:t>需</w:t>
      </w:r>
      <w:r>
        <w:rPr>
          <w:rFonts w:hint="eastAsia"/>
          <w:b/>
          <w:bCs/>
          <w:color w:val="auto"/>
          <w:szCs w:val="24"/>
          <w:highlight w:val="none"/>
          <w:lang w:val="zh-CN"/>
        </w:rPr>
        <w:t>采用A级</w:t>
      </w:r>
      <w:r>
        <w:rPr>
          <w:b/>
          <w:bCs/>
          <w:color w:val="auto"/>
          <w:szCs w:val="24"/>
          <w:highlight w:val="none"/>
          <w:lang w:val="zh-CN"/>
        </w:rPr>
        <w:t>冷轧钢板</w:t>
      </w:r>
      <w:r>
        <w:rPr>
          <w:rFonts w:hint="eastAsia"/>
          <w:b/>
          <w:bCs/>
          <w:color w:val="auto"/>
          <w:szCs w:val="24"/>
          <w:highlight w:val="none"/>
          <w:lang w:val="zh-CN"/>
        </w:rPr>
        <w:t>，静态承重需不小于</w:t>
      </w:r>
      <w:r>
        <w:rPr>
          <w:b/>
          <w:bCs/>
          <w:color w:val="auto"/>
          <w:szCs w:val="24"/>
          <w:highlight w:val="none"/>
        </w:rPr>
        <w:t>24</w:t>
      </w:r>
      <w:r>
        <w:rPr>
          <w:b/>
          <w:bCs/>
          <w:color w:val="auto"/>
          <w:szCs w:val="24"/>
          <w:highlight w:val="none"/>
          <w:lang w:val="zh-CN"/>
        </w:rPr>
        <w:t>00kg</w:t>
      </w:r>
      <w:r>
        <w:rPr>
          <w:rFonts w:hint="eastAsia"/>
          <w:b/>
          <w:bCs/>
          <w:color w:val="auto"/>
          <w:szCs w:val="24"/>
          <w:highlight w:val="none"/>
          <w:lang w:val="zh-CN"/>
        </w:rPr>
        <w:t>，动载测试满足带载不低于1</w:t>
      </w:r>
      <w:r>
        <w:rPr>
          <w:b/>
          <w:bCs/>
          <w:color w:val="auto"/>
          <w:szCs w:val="24"/>
          <w:highlight w:val="none"/>
          <w:lang w:val="zh-CN"/>
        </w:rPr>
        <w:t>000kg</w:t>
      </w:r>
      <w:r>
        <w:rPr>
          <w:rFonts w:hint="eastAsia"/>
          <w:b/>
          <w:bCs/>
          <w:color w:val="auto"/>
          <w:szCs w:val="24"/>
          <w:highlight w:val="none"/>
          <w:lang w:val="zh-CN"/>
        </w:rPr>
        <w:t>测试通过动载试验。</w:t>
      </w:r>
    </w:p>
    <w:p>
      <w:pPr>
        <w:spacing w:line="360" w:lineRule="auto"/>
        <w:ind w:left="1434" w:right="-180" w:rightChars="-75" w:firstLine="4"/>
        <w:rPr>
          <w:color w:val="0070C0"/>
          <w:szCs w:val="24"/>
          <w:highlight w:val="none"/>
        </w:rPr>
      </w:pPr>
      <w:r>
        <w:rPr>
          <w:rFonts w:hint="eastAsia"/>
          <w:color w:val="auto"/>
          <w:szCs w:val="24"/>
          <w:highlight w:val="none"/>
        </w:rPr>
        <w:t>3</w:t>
      </w:r>
      <w:r>
        <w:rPr>
          <w:rFonts w:hint="eastAsia"/>
          <w:color w:val="0070C0"/>
          <w:szCs w:val="24"/>
          <w:highlight w:val="none"/>
        </w:rPr>
        <w:t>.</w:t>
      </w:r>
      <w:r>
        <w:rPr>
          <w:rFonts w:hint="eastAsia"/>
          <w:color w:val="auto"/>
          <w:szCs w:val="24"/>
          <w:highlight w:val="none"/>
        </w:rPr>
        <w:t>机柜主体框架要求采用型材抗震结构。需提供具备CNAS及CMA资质的第三方权威测试机构出具的机柜抗震检测报告。检测标准需满足YD5083-2005《电信设备抗震性能检测规范》中8、9烈度抗震检测。 提供国内第三方权威测试机构出具的抗震测试报告。</w:t>
      </w:r>
    </w:p>
    <w:p>
      <w:pPr>
        <w:spacing w:line="360" w:lineRule="auto"/>
        <w:ind w:left="1434" w:right="-180" w:rightChars="-75" w:firstLine="4"/>
        <w:rPr>
          <w:color w:val="auto"/>
          <w:szCs w:val="24"/>
          <w:highlight w:val="none"/>
        </w:rPr>
      </w:pPr>
      <w:r>
        <w:rPr>
          <w:rFonts w:hint="eastAsia"/>
          <w:color w:val="auto"/>
          <w:szCs w:val="24"/>
          <w:highlight w:val="none"/>
        </w:rPr>
        <w:t>4.</w:t>
      </w:r>
      <w:r>
        <w:rPr>
          <w:rFonts w:hint="eastAsia"/>
          <w:color w:val="auto"/>
          <w:szCs w:val="24"/>
          <w:highlight w:val="none"/>
          <w:lang w:val="zh-CN"/>
        </w:rPr>
        <w:t xml:space="preserve"> 机柜前后门需采用网孔门设计，网孔为六边形设计，前、后门开孔率均不小于</w:t>
      </w:r>
      <w:r>
        <w:rPr>
          <w:rFonts w:hint="eastAsia"/>
          <w:color w:val="auto"/>
          <w:szCs w:val="24"/>
          <w:highlight w:val="none"/>
        </w:rPr>
        <w:t>75</w:t>
      </w:r>
      <w:r>
        <w:rPr>
          <w:rFonts w:hint="eastAsia"/>
          <w:color w:val="auto"/>
          <w:szCs w:val="24"/>
          <w:highlight w:val="none"/>
          <w:lang w:val="zh-CN"/>
        </w:rPr>
        <w:t>％，利于机柜内设备通风散热，适应新型服务器高热密度的散热需求。</w:t>
      </w:r>
    </w:p>
    <w:p>
      <w:pPr>
        <w:spacing w:line="360" w:lineRule="auto"/>
        <w:ind w:left="1434" w:right="-180" w:rightChars="-75" w:firstLine="4"/>
        <w:rPr>
          <w:color w:val="auto"/>
          <w:szCs w:val="24"/>
          <w:highlight w:val="none"/>
        </w:rPr>
      </w:pPr>
      <w:r>
        <w:rPr>
          <w:rFonts w:hint="eastAsia"/>
          <w:color w:val="auto"/>
          <w:szCs w:val="24"/>
          <w:highlight w:val="none"/>
        </w:rPr>
        <w:t>5.为方便柜内设备上下架，机柜前后门开启角度均应大于等于130度；</w:t>
      </w:r>
    </w:p>
    <w:p>
      <w:pPr>
        <w:spacing w:line="360" w:lineRule="auto"/>
        <w:ind w:left="1434" w:right="-180" w:rightChars="-75" w:firstLine="4"/>
        <w:rPr>
          <w:color w:val="auto"/>
          <w:szCs w:val="24"/>
          <w:highlight w:val="none"/>
        </w:rPr>
      </w:pPr>
      <w:r>
        <w:rPr>
          <w:color w:val="auto"/>
          <w:szCs w:val="24"/>
          <w:highlight w:val="none"/>
        </w:rPr>
        <w:t>6.</w:t>
      </w:r>
      <w:r>
        <w:rPr>
          <w:rFonts w:hint="eastAsia"/>
          <w:color w:val="auto"/>
          <w:szCs w:val="24"/>
          <w:highlight w:val="none"/>
        </w:rPr>
        <w:t>机柜表面采用高硬度粉沫静电喷涂和高温烤漆处理工艺，表层外观应表面光洁、色泽均匀、附着力应100％附着、抗冲击防静电；涂层厚度不小于80um，外部件表面喷涂必须达到国家无毒无害的喷涂标准。</w:t>
      </w:r>
    </w:p>
    <w:p>
      <w:pPr>
        <w:spacing w:line="360" w:lineRule="auto"/>
        <w:ind w:left="1434" w:right="-180" w:rightChars="-75" w:firstLine="4"/>
        <w:rPr>
          <w:color w:val="auto"/>
          <w:szCs w:val="24"/>
          <w:highlight w:val="none"/>
        </w:rPr>
      </w:pPr>
      <w:r>
        <w:rPr>
          <w:rFonts w:hint="eastAsia"/>
          <w:color w:val="auto"/>
          <w:szCs w:val="24"/>
          <w:highlight w:val="none"/>
        </w:rPr>
        <w:t>7.投标机柜可以直接固定放置在机房地板或与机房地板水平高度相同的槽钢上，同时前后门可以正常打开和关闭。</w:t>
      </w:r>
    </w:p>
    <w:p>
      <w:pPr>
        <w:spacing w:line="360" w:lineRule="auto"/>
        <w:ind w:left="1434" w:right="-180" w:rightChars="-75" w:firstLine="4"/>
        <w:rPr>
          <w:color w:val="auto"/>
          <w:szCs w:val="24"/>
          <w:highlight w:val="none"/>
        </w:rPr>
      </w:pPr>
      <w:r>
        <w:rPr>
          <w:rFonts w:hint="eastAsia"/>
          <w:color w:val="auto"/>
          <w:szCs w:val="24"/>
          <w:highlight w:val="none"/>
        </w:rPr>
        <w:t>8.投标产品前后19”安装立柱在机柜内部的安装位置(深度方向)前后可调,安装立柱正反面均有U高度刻度,安装立柱侧面有安装孔,可安装无工具安装方式的线缆管理单元(理线环或扎线带),实现快速简易的垂直线缆管理。</w:t>
      </w:r>
    </w:p>
    <w:p>
      <w:pPr>
        <w:spacing w:line="360" w:lineRule="auto"/>
        <w:ind w:left="1434" w:right="-180" w:rightChars="-75" w:firstLine="4"/>
        <w:rPr>
          <w:color w:val="auto"/>
          <w:szCs w:val="24"/>
          <w:highlight w:val="none"/>
        </w:rPr>
      </w:pPr>
      <w:r>
        <w:rPr>
          <w:rFonts w:hint="eastAsia"/>
          <w:color w:val="auto"/>
          <w:szCs w:val="24"/>
          <w:highlight w:val="none"/>
        </w:rPr>
        <w:t>9.投标机柜侧板要求为快速拆卸式侧板，无工具安装,投标机柜侧板带锁,侧板锁和机柜前后门锁钥匙通开。</w:t>
      </w:r>
    </w:p>
    <w:p>
      <w:pPr>
        <w:spacing w:line="360" w:lineRule="auto"/>
        <w:ind w:left="1434" w:right="-180" w:rightChars="-75" w:firstLine="4"/>
        <w:rPr>
          <w:color w:val="auto"/>
          <w:szCs w:val="24"/>
          <w:highlight w:val="none"/>
        </w:rPr>
      </w:pPr>
      <w:r>
        <w:rPr>
          <w:rFonts w:hint="eastAsia"/>
          <w:color w:val="auto"/>
          <w:szCs w:val="24"/>
          <w:highlight w:val="none"/>
        </w:rPr>
        <w:t>10.投标机柜需提供不少于4套并柜连接套件,支持在带侧板和不带侧板两种情况下的并柜安装。</w:t>
      </w:r>
    </w:p>
    <w:p>
      <w:pPr>
        <w:spacing w:line="360" w:lineRule="auto"/>
        <w:ind w:left="1434" w:right="-180" w:rightChars="-75" w:firstLine="4"/>
        <w:rPr>
          <w:color w:val="auto"/>
          <w:szCs w:val="24"/>
          <w:highlight w:val="none"/>
        </w:rPr>
      </w:pPr>
      <w:r>
        <w:rPr>
          <w:rFonts w:hint="eastAsia"/>
          <w:color w:val="auto"/>
          <w:szCs w:val="24"/>
          <w:highlight w:val="none"/>
        </w:rPr>
        <w:t>11.投标产品需能提供上下走线方式(标配)，方便现场布线。</w:t>
      </w:r>
    </w:p>
    <w:p>
      <w:pPr>
        <w:spacing w:line="360" w:lineRule="auto"/>
        <w:ind w:left="1434" w:right="-180" w:rightChars="-75" w:firstLine="4"/>
        <w:rPr>
          <w:color w:val="auto"/>
          <w:szCs w:val="24"/>
          <w:highlight w:val="none"/>
        </w:rPr>
      </w:pPr>
      <w:r>
        <w:rPr>
          <w:rFonts w:hint="eastAsia"/>
          <w:color w:val="auto"/>
          <w:szCs w:val="24"/>
          <w:highlight w:val="none"/>
        </w:rPr>
        <w:t>12.投标产品所有部件需可靠接地，确保操作安全，满足IEC60950-1-2005标准。</w:t>
      </w:r>
    </w:p>
    <w:p>
      <w:pPr>
        <w:spacing w:line="360" w:lineRule="auto"/>
        <w:ind w:left="1434" w:right="-180" w:rightChars="-75" w:firstLine="4"/>
        <w:rPr>
          <w:color w:val="auto"/>
          <w:szCs w:val="24"/>
          <w:highlight w:val="none"/>
        </w:rPr>
      </w:pPr>
      <w:r>
        <w:rPr>
          <w:rFonts w:hint="eastAsia"/>
          <w:color w:val="auto"/>
          <w:szCs w:val="24"/>
          <w:highlight w:val="none"/>
        </w:rPr>
        <w:t>13.投标产品外形尺寸偏差应符合JB/T6753.5-93所规定的A级要求，机柜应方正、不歪斜。</w:t>
      </w:r>
    </w:p>
    <w:p>
      <w:pPr>
        <w:spacing w:line="360" w:lineRule="auto"/>
        <w:ind w:left="1434" w:right="-180" w:rightChars="-75" w:firstLine="4"/>
        <w:rPr>
          <w:color w:val="auto"/>
          <w:szCs w:val="24"/>
          <w:highlight w:val="none"/>
        </w:rPr>
      </w:pPr>
      <w:r>
        <w:rPr>
          <w:rFonts w:hint="eastAsia"/>
          <w:color w:val="auto"/>
          <w:szCs w:val="24"/>
          <w:highlight w:val="none"/>
        </w:rPr>
        <w:t>14.投标产品材料需满足，前后网孔门材料采用1.5mm冷板；立柱材料：2.0mm冷板；框架材料：1.5mm冷板。</w:t>
      </w:r>
    </w:p>
    <w:p>
      <w:pPr>
        <w:spacing w:line="360" w:lineRule="auto"/>
        <w:ind w:left="1434" w:right="-180" w:rightChars="-75" w:firstLine="4"/>
        <w:rPr>
          <w:color w:val="auto"/>
          <w:szCs w:val="24"/>
          <w:highlight w:val="none"/>
        </w:rPr>
      </w:pPr>
      <w:r>
        <w:rPr>
          <w:rFonts w:hint="eastAsia"/>
          <w:color w:val="auto"/>
          <w:szCs w:val="24"/>
          <w:highlight w:val="none"/>
        </w:rPr>
        <w:t>15.投标产品机柜尺寸为宽600×高2000×深1200mm，每机柜标配底板。每机柜需配置不低于</w:t>
      </w:r>
      <w:r>
        <w:rPr>
          <w:color w:val="auto"/>
          <w:szCs w:val="24"/>
          <w:highlight w:val="none"/>
        </w:rPr>
        <w:t>20</w:t>
      </w:r>
      <w:r>
        <w:rPr>
          <w:rFonts w:hint="eastAsia"/>
          <w:color w:val="auto"/>
          <w:szCs w:val="24"/>
          <w:highlight w:val="none"/>
        </w:rPr>
        <w:t>个1U免工具安装塑胶盲板，盲板材料阻燃特性应符合UL94-VO标准，1个承载能力不小于50kg的托盘。配套服务器机柜安装附件：L支架及固定托盘，提供配套附件的泰尔检测报告。</w:t>
      </w:r>
    </w:p>
    <w:p>
      <w:pPr>
        <w:spacing w:line="360" w:lineRule="auto"/>
        <w:ind w:left="1434" w:right="-180" w:rightChars="-75" w:firstLine="4"/>
        <w:rPr>
          <w:b/>
          <w:bCs/>
          <w:color w:val="auto"/>
          <w:szCs w:val="24"/>
          <w:highlight w:val="none"/>
        </w:rPr>
      </w:pPr>
      <w:r>
        <w:rPr>
          <w:rFonts w:hint="eastAsia"/>
          <w:b/>
          <w:bCs/>
          <w:color w:val="auto"/>
          <w:szCs w:val="24"/>
          <w:highlight w:val="none"/>
        </w:rPr>
        <w:t>16.投标产品需配置2条竖直安装PDU,安装位置为机柜后立柱左右两侧。63A总输入，18口国标10A输出及6口国标16A输出；</w:t>
      </w:r>
      <w:r>
        <w:rPr>
          <w:b/>
          <w:bCs/>
          <w:color w:val="auto"/>
          <w:szCs w:val="24"/>
          <w:highlight w:val="none"/>
        </w:rPr>
        <w:t>32</w:t>
      </w:r>
      <w:r>
        <w:rPr>
          <w:rFonts w:hint="eastAsia"/>
          <w:b/>
          <w:bCs/>
          <w:color w:val="auto"/>
          <w:szCs w:val="24"/>
          <w:highlight w:val="none"/>
        </w:rPr>
        <w:t>A总输入，18口国标10A输出及6口国标16A输出。</w:t>
      </w:r>
    </w:p>
    <w:p>
      <w:pPr>
        <w:pStyle w:val="7"/>
        <w:ind w:left="1134" w:right="-180" w:rightChars="-75" w:hanging="708"/>
        <w:rPr>
          <w:rFonts w:ascii="宋体" w:hAnsi="宋体" w:eastAsia="宋体" w:cs="宋体"/>
          <w:highlight w:val="none"/>
        </w:rPr>
      </w:pPr>
      <w:r>
        <w:rPr>
          <w:rFonts w:hint="eastAsia" w:ascii="宋体" w:hAnsi="宋体" w:eastAsia="宋体" w:cs="宋体"/>
          <w:highlight w:val="none"/>
        </w:rPr>
        <w:t>2）.封闭冷通道技术要求：</w:t>
      </w:r>
    </w:p>
    <w:p>
      <w:pPr>
        <w:spacing w:line="360" w:lineRule="auto"/>
        <w:ind w:left="1434" w:right="-180" w:rightChars="-75" w:firstLine="6"/>
        <w:rPr>
          <w:color w:val="auto"/>
          <w:szCs w:val="24"/>
          <w:highlight w:val="none"/>
        </w:rPr>
      </w:pPr>
      <w:r>
        <w:rPr>
          <w:rFonts w:hint="eastAsia"/>
          <w:color w:val="auto"/>
          <w:szCs w:val="24"/>
          <w:highlight w:val="none"/>
        </w:rPr>
        <w:t>1.封闭冷通道组件的所有天窗均应透光，透光材质采用旋转</w:t>
      </w:r>
      <w:r>
        <w:rPr>
          <w:color w:val="auto"/>
          <w:szCs w:val="24"/>
          <w:highlight w:val="none"/>
        </w:rPr>
        <w:t>开启</w:t>
      </w:r>
      <w:r>
        <w:rPr>
          <w:rFonts w:hint="eastAsia"/>
          <w:color w:val="auto"/>
          <w:szCs w:val="24"/>
          <w:highlight w:val="none"/>
        </w:rPr>
        <w:t>钢化</w:t>
      </w:r>
      <w:r>
        <w:rPr>
          <w:color w:val="auto"/>
          <w:szCs w:val="24"/>
          <w:highlight w:val="none"/>
        </w:rPr>
        <w:t>玻璃</w:t>
      </w:r>
      <w:r>
        <w:rPr>
          <w:rFonts w:hint="eastAsia"/>
          <w:color w:val="auto"/>
          <w:szCs w:val="24"/>
          <w:highlight w:val="none"/>
        </w:rPr>
        <w:t>，厚度不低于</w:t>
      </w:r>
      <w:r>
        <w:rPr>
          <w:color w:val="auto"/>
          <w:szCs w:val="24"/>
          <w:highlight w:val="none"/>
        </w:rPr>
        <w:t>4</w:t>
      </w:r>
      <w:r>
        <w:rPr>
          <w:rFonts w:hint="eastAsia"/>
          <w:color w:val="auto"/>
          <w:szCs w:val="24"/>
          <w:highlight w:val="none"/>
        </w:rPr>
        <w:t>mm，保证8</w:t>
      </w:r>
      <w:r>
        <w:rPr>
          <w:color w:val="auto"/>
          <w:szCs w:val="24"/>
          <w:highlight w:val="none"/>
        </w:rPr>
        <w:t>0</w:t>
      </w:r>
      <w:r>
        <w:rPr>
          <w:rFonts w:hint="eastAsia"/>
          <w:color w:val="auto"/>
          <w:szCs w:val="24"/>
          <w:highlight w:val="none"/>
        </w:rPr>
        <w:t>%以上的透光率；</w:t>
      </w:r>
    </w:p>
    <w:p>
      <w:pPr>
        <w:spacing w:line="360" w:lineRule="auto"/>
        <w:ind w:left="1434" w:right="-180" w:rightChars="-75" w:firstLine="6"/>
        <w:rPr>
          <w:color w:val="auto"/>
          <w:szCs w:val="24"/>
          <w:highlight w:val="none"/>
        </w:rPr>
      </w:pPr>
      <w:r>
        <w:rPr>
          <w:rFonts w:hint="eastAsia"/>
          <w:color w:val="auto"/>
          <w:szCs w:val="24"/>
          <w:highlight w:val="none"/>
        </w:rPr>
        <w:t>2.封闭冷通道组件两侧门采用门盒设计，应配备无</w:t>
      </w:r>
      <w:r>
        <w:rPr>
          <w:color w:val="auto"/>
          <w:szCs w:val="24"/>
          <w:highlight w:val="none"/>
        </w:rPr>
        <w:t>框玻璃门</w:t>
      </w:r>
      <w:r>
        <w:rPr>
          <w:rFonts w:hint="eastAsia"/>
          <w:color w:val="auto"/>
          <w:szCs w:val="24"/>
          <w:highlight w:val="none"/>
        </w:rPr>
        <w:t>，为提升微模块的通透效果，方便人员在模块外参观检视。为保证通道门的强度，钢化玻璃厚度不低于5mm。提供通道门门盒实物图片及钢化玻璃厚度证明；</w:t>
      </w:r>
    </w:p>
    <w:p>
      <w:pPr>
        <w:spacing w:line="360" w:lineRule="auto"/>
        <w:ind w:left="1434" w:right="-180" w:rightChars="-75" w:firstLine="6"/>
        <w:rPr>
          <w:b/>
          <w:bCs/>
          <w:color w:val="auto"/>
          <w:szCs w:val="24"/>
          <w:highlight w:val="none"/>
        </w:rPr>
      </w:pPr>
      <w:r>
        <w:rPr>
          <w:rFonts w:hint="eastAsia"/>
          <w:b/>
          <w:bCs/>
          <w:color w:val="auto"/>
          <w:szCs w:val="24"/>
          <w:highlight w:val="none"/>
        </w:rPr>
        <w:t>3.封闭冷通道的天窗必须全部可</w:t>
      </w:r>
      <w:r>
        <w:rPr>
          <w:b/>
          <w:bCs/>
          <w:color w:val="auto"/>
          <w:szCs w:val="24"/>
          <w:highlight w:val="none"/>
        </w:rPr>
        <w:t>透光</w:t>
      </w:r>
      <w:r>
        <w:rPr>
          <w:rFonts w:hint="eastAsia"/>
          <w:b/>
          <w:bCs/>
          <w:color w:val="auto"/>
          <w:szCs w:val="24"/>
          <w:highlight w:val="none"/>
        </w:rPr>
        <w:t>，天窗翻转角度现场可调。</w:t>
      </w:r>
    </w:p>
    <w:p>
      <w:pPr>
        <w:spacing w:line="360" w:lineRule="auto"/>
        <w:ind w:left="1434" w:right="-180" w:rightChars="-75" w:firstLine="6"/>
        <w:rPr>
          <w:color w:val="auto"/>
          <w:szCs w:val="24"/>
          <w:highlight w:val="none"/>
        </w:rPr>
      </w:pPr>
      <w:r>
        <w:rPr>
          <w:rFonts w:hint="eastAsia"/>
          <w:color w:val="auto"/>
          <w:szCs w:val="24"/>
          <w:highlight w:val="none"/>
        </w:rPr>
        <w:t>4.封闭冷通道组件产品应具备与机房气体消防系统联动从而解决通道内消防问题的功能。封闭冷通道顶部应具备消防联动天窗自动翻转功能，在正常状态下，天窗由通电磁铁吸合，为确保顶部密封，天窗需配密封胶圈。一旦发生火警，在消防系统启动之前，天窗处磁铁断电，天窗由于重力作用翻转打开，以便灭火气体迅速进入封闭通道空间内，达到灭火目的；</w:t>
      </w:r>
    </w:p>
    <w:p>
      <w:pPr>
        <w:spacing w:line="360" w:lineRule="auto"/>
        <w:ind w:left="1434" w:right="-180" w:rightChars="-75" w:firstLine="6"/>
        <w:rPr>
          <w:color w:val="auto"/>
          <w:szCs w:val="24"/>
          <w:highlight w:val="none"/>
        </w:rPr>
      </w:pPr>
      <w:r>
        <w:rPr>
          <w:rFonts w:hint="eastAsia"/>
          <w:color w:val="auto"/>
          <w:szCs w:val="24"/>
          <w:highlight w:val="none"/>
        </w:rPr>
        <w:t>5.两侧采用电动滑动门，要求与</w:t>
      </w:r>
      <w:r>
        <w:rPr>
          <w:color w:val="auto"/>
          <w:szCs w:val="24"/>
          <w:highlight w:val="none"/>
        </w:rPr>
        <w:t>智能门禁、消防</w:t>
      </w:r>
      <w:r>
        <w:rPr>
          <w:rFonts w:hint="eastAsia"/>
          <w:color w:val="auto"/>
          <w:szCs w:val="24"/>
          <w:highlight w:val="none"/>
        </w:rPr>
        <w:t>信号</w:t>
      </w:r>
      <w:r>
        <w:rPr>
          <w:color w:val="auto"/>
          <w:szCs w:val="24"/>
          <w:highlight w:val="none"/>
        </w:rPr>
        <w:t>、红外侦测信号联动</w:t>
      </w:r>
      <w:r>
        <w:rPr>
          <w:rFonts w:hint="eastAsia"/>
          <w:color w:val="auto"/>
          <w:szCs w:val="24"/>
          <w:highlight w:val="none"/>
        </w:rPr>
        <w:t>；</w:t>
      </w:r>
    </w:p>
    <w:p>
      <w:pPr>
        <w:spacing w:line="360" w:lineRule="auto"/>
        <w:ind w:left="1434" w:right="-180" w:rightChars="-75" w:firstLine="6"/>
        <w:rPr>
          <w:color w:val="auto"/>
          <w:szCs w:val="24"/>
          <w:highlight w:val="none"/>
        </w:rPr>
      </w:pPr>
      <w:r>
        <w:rPr>
          <w:rFonts w:hint="eastAsia"/>
          <w:color w:val="auto"/>
          <w:szCs w:val="24"/>
          <w:highlight w:val="none"/>
        </w:rPr>
        <w:t>6.为了</w:t>
      </w:r>
      <w:r>
        <w:rPr>
          <w:color w:val="auto"/>
          <w:szCs w:val="24"/>
          <w:highlight w:val="none"/>
        </w:rPr>
        <w:t>避免通道门对人造成伤害，</w:t>
      </w:r>
      <w:r>
        <w:rPr>
          <w:rFonts w:hint="eastAsia"/>
          <w:color w:val="auto"/>
          <w:szCs w:val="24"/>
          <w:highlight w:val="none"/>
        </w:rPr>
        <w:t>通道</w:t>
      </w:r>
      <w:r>
        <w:rPr>
          <w:color w:val="auto"/>
          <w:szCs w:val="24"/>
          <w:highlight w:val="none"/>
        </w:rPr>
        <w:t>门内侧要求</w:t>
      </w:r>
      <w:r>
        <w:rPr>
          <w:rFonts w:hint="eastAsia"/>
          <w:color w:val="auto"/>
          <w:szCs w:val="24"/>
          <w:highlight w:val="none"/>
        </w:rPr>
        <w:t>配置</w:t>
      </w:r>
      <w:r>
        <w:rPr>
          <w:color w:val="auto"/>
          <w:szCs w:val="24"/>
          <w:highlight w:val="none"/>
        </w:rPr>
        <w:t>防</w:t>
      </w:r>
      <w:r>
        <w:rPr>
          <w:rFonts w:hint="eastAsia"/>
          <w:color w:val="auto"/>
          <w:szCs w:val="24"/>
          <w:highlight w:val="none"/>
        </w:rPr>
        <w:t>夹人</w:t>
      </w:r>
      <w:r>
        <w:rPr>
          <w:color w:val="auto"/>
          <w:szCs w:val="24"/>
          <w:highlight w:val="none"/>
        </w:rPr>
        <w:t>传感器</w:t>
      </w:r>
      <w:r>
        <w:rPr>
          <w:rFonts w:hint="eastAsia"/>
          <w:color w:val="auto"/>
          <w:szCs w:val="24"/>
          <w:highlight w:val="none"/>
        </w:rPr>
        <w:t>；</w:t>
      </w:r>
    </w:p>
    <w:p>
      <w:pPr>
        <w:spacing w:line="360" w:lineRule="auto"/>
        <w:ind w:left="1434" w:right="-180" w:rightChars="-75" w:firstLine="6"/>
        <w:rPr>
          <w:color w:val="auto"/>
          <w:szCs w:val="24"/>
          <w:highlight w:val="none"/>
        </w:rPr>
      </w:pPr>
      <w:r>
        <w:rPr>
          <w:color w:val="auto"/>
          <w:szCs w:val="24"/>
          <w:highlight w:val="none"/>
        </w:rPr>
        <w:t>7</w:t>
      </w:r>
      <w:r>
        <w:rPr>
          <w:rFonts w:hint="eastAsia"/>
          <w:color w:val="auto"/>
          <w:szCs w:val="24"/>
          <w:highlight w:val="none"/>
        </w:rPr>
        <w:t>.通道内提供LED辅助照明系统，满足机房照度300-500LUX。</w:t>
      </w:r>
      <w:r>
        <w:rPr>
          <w:color w:val="auto"/>
          <w:szCs w:val="24"/>
          <w:highlight w:val="none"/>
        </w:rPr>
        <w:t xml:space="preserve"> </w:t>
      </w:r>
    </w:p>
    <w:p>
      <w:pPr>
        <w:pStyle w:val="7"/>
        <w:ind w:left="1134" w:right="-180" w:rightChars="-75" w:hanging="708"/>
        <w:rPr>
          <w:rFonts w:ascii="宋体" w:hAnsi="宋体" w:eastAsia="宋体" w:cs="宋体"/>
          <w:highlight w:val="none"/>
        </w:rPr>
      </w:pPr>
      <w:r>
        <w:rPr>
          <w:rFonts w:hint="eastAsia" w:ascii="宋体" w:hAnsi="宋体" w:eastAsia="宋体" w:cs="宋体"/>
          <w:highlight w:val="none"/>
        </w:rPr>
        <w:t>3）.精密列头配电柜技术要求</w:t>
      </w:r>
    </w:p>
    <w:p>
      <w:pPr>
        <w:spacing w:line="360" w:lineRule="auto"/>
        <w:ind w:left="1434" w:right="-180" w:rightChars="-75" w:firstLine="4"/>
        <w:rPr>
          <w:color w:val="auto"/>
          <w:szCs w:val="24"/>
          <w:highlight w:val="none"/>
        </w:rPr>
      </w:pPr>
      <w:r>
        <w:rPr>
          <w:rFonts w:hint="eastAsia"/>
          <w:color w:val="auto"/>
          <w:szCs w:val="24"/>
          <w:highlight w:val="none"/>
        </w:rPr>
        <w:t>1.参与投标的精密配电柜产品应符合GB7251.1，IEC/EN61439标准，并提供有效强制性认证产品符合性自我声明、CE证书。证书中的型号和容量范围需与投标设备的型号规格一致。</w:t>
      </w:r>
    </w:p>
    <w:p>
      <w:pPr>
        <w:spacing w:line="360" w:lineRule="auto"/>
        <w:ind w:left="1434" w:right="-180" w:rightChars="-75" w:firstLine="4"/>
        <w:rPr>
          <w:color w:val="auto"/>
          <w:szCs w:val="24"/>
          <w:highlight w:val="none"/>
        </w:rPr>
      </w:pPr>
      <w:r>
        <w:rPr>
          <w:rFonts w:hint="eastAsia"/>
          <w:color w:val="auto"/>
          <w:szCs w:val="24"/>
          <w:highlight w:val="none"/>
        </w:rPr>
        <w:t>2.额定输入电压380Vac/50Hz，额定输出电压380Vac/50Hz。</w:t>
      </w:r>
    </w:p>
    <w:p>
      <w:pPr>
        <w:spacing w:line="360" w:lineRule="auto"/>
        <w:ind w:left="1434" w:right="-180" w:rightChars="-75" w:firstLine="4"/>
        <w:rPr>
          <w:color w:val="auto"/>
          <w:szCs w:val="24"/>
          <w:highlight w:val="none"/>
        </w:rPr>
      </w:pPr>
      <w:bookmarkStart w:id="174" w:name="_Hlk109913170"/>
      <w:r>
        <w:rPr>
          <w:rFonts w:hint="eastAsia"/>
          <w:color w:val="auto"/>
          <w:szCs w:val="24"/>
          <w:highlight w:val="none"/>
        </w:rPr>
        <w:t>3.</w:t>
      </w:r>
      <w:r>
        <w:rPr>
          <w:color w:val="auto"/>
          <w:szCs w:val="24"/>
          <w:highlight w:val="none"/>
        </w:rPr>
        <w:t>额定绝缘电压500Vac</w:t>
      </w:r>
      <w:bookmarkEnd w:id="174"/>
      <w:bookmarkStart w:id="175" w:name="_Hlk109913186"/>
      <w:r>
        <w:rPr>
          <w:rFonts w:hint="eastAsia"/>
          <w:color w:val="auto"/>
          <w:szCs w:val="24"/>
          <w:highlight w:val="none"/>
        </w:rPr>
        <w:t>，</w:t>
      </w:r>
      <w:r>
        <w:rPr>
          <w:color w:val="auto"/>
          <w:szCs w:val="24"/>
          <w:highlight w:val="none"/>
        </w:rPr>
        <w:t>额定短时耐受电流：10kA</w:t>
      </w:r>
      <w:bookmarkEnd w:id="175"/>
      <w:r>
        <w:rPr>
          <w:rFonts w:hint="eastAsia"/>
          <w:color w:val="auto"/>
          <w:szCs w:val="24"/>
          <w:highlight w:val="none"/>
        </w:rPr>
        <w:t>；</w:t>
      </w:r>
      <w:r>
        <w:rPr>
          <w:color w:val="auto"/>
          <w:szCs w:val="24"/>
          <w:highlight w:val="none"/>
        </w:rPr>
        <w:t xml:space="preserve">额定峰值耐受电流：17kA </w:t>
      </w:r>
      <w:r>
        <w:rPr>
          <w:rFonts w:hint="eastAsia"/>
          <w:color w:val="auto"/>
          <w:szCs w:val="24"/>
          <w:highlight w:val="none"/>
        </w:rPr>
        <w:t>。</w:t>
      </w:r>
    </w:p>
    <w:p>
      <w:pPr>
        <w:spacing w:line="360" w:lineRule="auto"/>
        <w:ind w:left="1434" w:right="-180" w:rightChars="-75" w:firstLine="4"/>
        <w:rPr>
          <w:color w:val="auto"/>
          <w:szCs w:val="24"/>
          <w:highlight w:val="none"/>
        </w:rPr>
      </w:pPr>
      <w:r>
        <w:rPr>
          <w:rFonts w:hint="eastAsia"/>
          <w:color w:val="auto"/>
          <w:szCs w:val="24"/>
          <w:highlight w:val="none"/>
        </w:rPr>
        <w:t>4.</w:t>
      </w:r>
      <w:r>
        <w:rPr>
          <w:color w:val="auto"/>
          <w:szCs w:val="24"/>
          <w:highlight w:val="none"/>
        </w:rPr>
        <w:t>介电性能：带电部件与裸露导电部件之间，每极和连接到裸露导电部件上的所有其他极，带电部件和金属箔裹缠的操作手柄之间，工频耐压至少达到2.5kV</w:t>
      </w:r>
      <w:r>
        <w:rPr>
          <w:rFonts w:hint="eastAsia"/>
          <w:color w:val="auto"/>
          <w:szCs w:val="24"/>
          <w:highlight w:val="none"/>
        </w:rPr>
        <w:t>。</w:t>
      </w:r>
    </w:p>
    <w:p>
      <w:pPr>
        <w:spacing w:line="360" w:lineRule="auto"/>
        <w:ind w:left="1434" w:right="-180" w:rightChars="-75" w:firstLine="4"/>
        <w:rPr>
          <w:color w:val="auto"/>
          <w:szCs w:val="24"/>
          <w:highlight w:val="none"/>
        </w:rPr>
      </w:pPr>
      <w:r>
        <w:rPr>
          <w:rFonts w:hint="eastAsia"/>
          <w:color w:val="auto"/>
          <w:szCs w:val="24"/>
          <w:highlight w:val="none"/>
        </w:rPr>
        <w:t>5.</w:t>
      </w:r>
      <w:r>
        <w:rPr>
          <w:color w:val="auto"/>
          <w:szCs w:val="24"/>
          <w:highlight w:val="none"/>
        </w:rPr>
        <w:t>具有中性线装置和保护接地装置，接地电阻应不大于0.1欧</w:t>
      </w:r>
      <w:r>
        <w:rPr>
          <w:rFonts w:hint="eastAsia"/>
          <w:color w:val="auto"/>
          <w:szCs w:val="24"/>
          <w:highlight w:val="none"/>
        </w:rPr>
        <w:t>。</w:t>
      </w:r>
    </w:p>
    <w:p>
      <w:pPr>
        <w:spacing w:line="360" w:lineRule="auto"/>
        <w:ind w:left="1434" w:right="-180" w:rightChars="-75" w:firstLine="4"/>
        <w:rPr>
          <w:color w:val="auto"/>
          <w:szCs w:val="24"/>
          <w:highlight w:val="none"/>
        </w:rPr>
      </w:pPr>
      <w:r>
        <w:rPr>
          <w:color w:val="auto"/>
          <w:szCs w:val="24"/>
          <w:highlight w:val="none"/>
        </w:rPr>
        <w:t>6</w:t>
      </w:r>
      <w:r>
        <w:rPr>
          <w:rFonts w:hint="eastAsia"/>
          <w:color w:val="auto"/>
          <w:szCs w:val="24"/>
          <w:highlight w:val="none"/>
        </w:rPr>
        <w:t>.</w:t>
      </w:r>
      <w:r>
        <w:rPr>
          <w:color w:val="auto"/>
          <w:szCs w:val="24"/>
          <w:highlight w:val="none"/>
        </w:rPr>
        <w:t>防护等级IP20</w:t>
      </w:r>
      <w:r>
        <w:rPr>
          <w:rFonts w:hint="eastAsia"/>
          <w:color w:val="auto"/>
          <w:szCs w:val="24"/>
          <w:highlight w:val="none"/>
        </w:rPr>
        <w:t>。</w:t>
      </w:r>
    </w:p>
    <w:p>
      <w:pPr>
        <w:spacing w:line="360" w:lineRule="auto"/>
        <w:ind w:left="1434" w:right="-180" w:rightChars="-75" w:firstLine="4"/>
        <w:rPr>
          <w:color w:val="auto"/>
          <w:szCs w:val="24"/>
          <w:highlight w:val="none"/>
        </w:rPr>
      </w:pPr>
      <w:r>
        <w:rPr>
          <w:color w:val="auto"/>
          <w:szCs w:val="24"/>
          <w:highlight w:val="none"/>
        </w:rPr>
        <w:t>7</w:t>
      </w:r>
      <w:r>
        <w:rPr>
          <w:rFonts w:hint="eastAsia"/>
          <w:color w:val="auto"/>
          <w:szCs w:val="24"/>
          <w:highlight w:val="none"/>
        </w:rPr>
        <w:t>.</w:t>
      </w:r>
      <w:r>
        <w:rPr>
          <w:color w:val="auto"/>
          <w:szCs w:val="24"/>
          <w:highlight w:val="none"/>
        </w:rPr>
        <w:t>工作环境温度 -5~40℃</w:t>
      </w:r>
      <w:r>
        <w:rPr>
          <w:rFonts w:hint="eastAsia"/>
          <w:color w:val="auto"/>
          <w:szCs w:val="24"/>
          <w:highlight w:val="none"/>
        </w:rPr>
        <w:t>，</w:t>
      </w:r>
      <w:r>
        <w:rPr>
          <w:color w:val="auto"/>
          <w:szCs w:val="24"/>
          <w:highlight w:val="none"/>
        </w:rPr>
        <w:t>海拔高度 ≤ 2000m</w:t>
      </w:r>
      <w:r>
        <w:rPr>
          <w:rFonts w:hint="eastAsia"/>
          <w:color w:val="auto"/>
          <w:szCs w:val="24"/>
          <w:highlight w:val="none"/>
        </w:rPr>
        <w:t>。</w:t>
      </w:r>
    </w:p>
    <w:p>
      <w:pPr>
        <w:spacing w:line="360" w:lineRule="auto"/>
        <w:ind w:left="1434" w:right="-180" w:rightChars="-75" w:firstLine="4"/>
        <w:rPr>
          <w:color w:val="auto"/>
          <w:szCs w:val="24"/>
          <w:highlight w:val="none"/>
        </w:rPr>
      </w:pPr>
      <w:r>
        <w:rPr>
          <w:color w:val="auto"/>
          <w:szCs w:val="24"/>
          <w:highlight w:val="none"/>
        </w:rPr>
        <w:t>8</w:t>
      </w:r>
      <w:r>
        <w:rPr>
          <w:rFonts w:hint="eastAsia"/>
          <w:color w:val="auto"/>
          <w:szCs w:val="24"/>
          <w:highlight w:val="none"/>
        </w:rPr>
        <w:t>.柜体可以抵抗</w:t>
      </w:r>
      <w:r>
        <w:rPr>
          <w:color w:val="auto"/>
          <w:szCs w:val="24"/>
          <w:highlight w:val="none"/>
        </w:rPr>
        <w:t>烈度为</w:t>
      </w:r>
      <w:r>
        <w:rPr>
          <w:rFonts w:hint="eastAsia"/>
          <w:color w:val="auto"/>
          <w:szCs w:val="24"/>
          <w:highlight w:val="none"/>
        </w:rPr>
        <w:t>9度</w:t>
      </w:r>
      <w:r>
        <w:rPr>
          <w:color w:val="auto"/>
          <w:szCs w:val="24"/>
          <w:highlight w:val="none"/>
        </w:rPr>
        <w:t>以上的地震，提供第三检测报告</w:t>
      </w:r>
      <w:r>
        <w:rPr>
          <w:rFonts w:hint="eastAsia"/>
          <w:color w:val="auto"/>
          <w:szCs w:val="24"/>
          <w:highlight w:val="none"/>
        </w:rPr>
        <w:t>；</w:t>
      </w:r>
    </w:p>
    <w:p>
      <w:pPr>
        <w:spacing w:line="360" w:lineRule="auto"/>
        <w:ind w:left="1434" w:right="-180" w:rightChars="-75" w:firstLine="4"/>
        <w:rPr>
          <w:b/>
          <w:bCs/>
          <w:color w:val="auto"/>
          <w:szCs w:val="24"/>
          <w:highlight w:val="none"/>
        </w:rPr>
      </w:pPr>
      <w:r>
        <w:rPr>
          <w:b/>
          <w:bCs/>
          <w:color w:val="auto"/>
          <w:szCs w:val="24"/>
          <w:highlight w:val="none"/>
        </w:rPr>
        <w:t>9</w:t>
      </w:r>
      <w:r>
        <w:rPr>
          <w:rFonts w:hint="eastAsia"/>
          <w:color w:val="auto"/>
          <w:szCs w:val="24"/>
          <w:highlight w:val="none"/>
        </w:rPr>
        <w:t>.</w:t>
      </w:r>
      <w:r>
        <w:rPr>
          <w:b/>
          <w:bCs/>
          <w:color w:val="auto"/>
          <w:szCs w:val="24"/>
          <w:highlight w:val="none"/>
        </w:rPr>
        <w:t>除特殊说明外，63A及以下断路器全部采用微型断路器，63A以上采用塑壳断路器。</w:t>
      </w:r>
    </w:p>
    <w:p>
      <w:pPr>
        <w:spacing w:line="360" w:lineRule="auto"/>
        <w:ind w:left="1434" w:right="-180" w:rightChars="-75" w:firstLine="4"/>
        <w:rPr>
          <w:b/>
          <w:bCs/>
          <w:color w:val="auto"/>
          <w:szCs w:val="24"/>
          <w:highlight w:val="none"/>
        </w:rPr>
      </w:pPr>
      <w:r>
        <w:rPr>
          <w:b/>
          <w:bCs/>
          <w:color w:val="auto"/>
          <w:szCs w:val="24"/>
          <w:highlight w:val="none"/>
        </w:rPr>
        <w:t>塑壳断路器</w:t>
      </w:r>
      <w:r>
        <w:rPr>
          <w:rFonts w:hint="eastAsia"/>
          <w:b/>
          <w:bCs/>
          <w:color w:val="auto"/>
          <w:szCs w:val="24"/>
          <w:highlight w:val="none"/>
        </w:rPr>
        <w:t>：断路器的</w:t>
      </w:r>
      <w:r>
        <w:rPr>
          <w:b/>
          <w:bCs/>
          <w:color w:val="auto"/>
          <w:szCs w:val="24"/>
          <w:highlight w:val="none"/>
        </w:rPr>
        <w:t>分断能力不小于35kA。</w:t>
      </w:r>
      <w:r>
        <w:rPr>
          <w:rFonts w:hint="eastAsia"/>
          <w:b/>
          <w:bCs/>
          <w:color w:val="auto"/>
          <w:szCs w:val="24"/>
          <w:highlight w:val="none"/>
        </w:rPr>
        <w:t>400A及以上</w:t>
      </w:r>
      <w:r>
        <w:rPr>
          <w:b/>
          <w:bCs/>
          <w:color w:val="auto"/>
          <w:szCs w:val="24"/>
          <w:highlight w:val="none"/>
        </w:rPr>
        <w:t>塑壳断路器采用三段式电子脱扣，具有过载长延时，选择性保护，瞬时短路保护功能，并且现场可整定调整。</w:t>
      </w:r>
      <w:r>
        <w:rPr>
          <w:rFonts w:hint="eastAsia"/>
          <w:b/>
          <w:bCs/>
          <w:color w:val="auto"/>
          <w:szCs w:val="24"/>
          <w:highlight w:val="none"/>
        </w:rPr>
        <w:t>断路器本体</w:t>
      </w:r>
      <w:r>
        <w:rPr>
          <w:b/>
          <w:bCs/>
          <w:color w:val="auto"/>
          <w:szCs w:val="24"/>
          <w:highlight w:val="none"/>
        </w:rPr>
        <w:t>需配置辅助和告警结点。</w:t>
      </w:r>
    </w:p>
    <w:p>
      <w:pPr>
        <w:spacing w:line="360" w:lineRule="auto"/>
        <w:ind w:left="1434" w:right="-180" w:rightChars="-75" w:firstLine="4"/>
        <w:rPr>
          <w:b/>
          <w:bCs/>
          <w:color w:val="auto"/>
          <w:szCs w:val="24"/>
          <w:highlight w:val="none"/>
        </w:rPr>
      </w:pPr>
      <w:r>
        <w:rPr>
          <w:rFonts w:hint="eastAsia"/>
          <w:b/>
          <w:bCs/>
          <w:color w:val="auto"/>
          <w:szCs w:val="24"/>
          <w:highlight w:val="none"/>
        </w:rPr>
        <w:t>微型断路器：</w:t>
      </w:r>
      <w:r>
        <w:rPr>
          <w:b/>
          <w:bCs/>
          <w:color w:val="auto"/>
          <w:szCs w:val="24"/>
          <w:highlight w:val="none"/>
        </w:rPr>
        <w:t>馈线支路的微型断路器分断能力不小于</w:t>
      </w:r>
      <w:r>
        <w:rPr>
          <w:rFonts w:hint="eastAsia"/>
          <w:b/>
          <w:bCs/>
          <w:color w:val="auto"/>
          <w:szCs w:val="24"/>
          <w:highlight w:val="none"/>
        </w:rPr>
        <w:t>6</w:t>
      </w:r>
      <w:r>
        <w:rPr>
          <w:b/>
          <w:bCs/>
          <w:color w:val="auto"/>
          <w:szCs w:val="24"/>
          <w:highlight w:val="none"/>
        </w:rPr>
        <w:t>kA</w:t>
      </w:r>
      <w:r>
        <w:rPr>
          <w:rFonts w:hint="eastAsia"/>
          <w:b/>
          <w:bCs/>
          <w:color w:val="auto"/>
          <w:szCs w:val="24"/>
          <w:highlight w:val="none"/>
        </w:rPr>
        <w:t>。分支回路具有</w:t>
      </w:r>
      <w:r>
        <w:rPr>
          <w:b/>
          <w:bCs/>
          <w:color w:val="auto"/>
          <w:szCs w:val="24"/>
          <w:highlight w:val="none"/>
        </w:rPr>
        <w:t>热插拔、可换相功能，能在不改动电缆</w:t>
      </w:r>
      <w:r>
        <w:rPr>
          <w:rFonts w:hint="eastAsia"/>
          <w:b/>
          <w:bCs/>
          <w:color w:val="auto"/>
          <w:szCs w:val="24"/>
          <w:highlight w:val="none"/>
        </w:rPr>
        <w:t>和借助其他工具的</w:t>
      </w:r>
      <w:r>
        <w:rPr>
          <w:b/>
          <w:bCs/>
          <w:color w:val="auto"/>
          <w:szCs w:val="24"/>
          <w:highlight w:val="none"/>
        </w:rPr>
        <w:t>情况下实现</w:t>
      </w:r>
      <w:r>
        <w:rPr>
          <w:rFonts w:hint="eastAsia"/>
          <w:b/>
          <w:bCs/>
          <w:color w:val="auto"/>
          <w:szCs w:val="24"/>
          <w:highlight w:val="none"/>
        </w:rPr>
        <w:t>热插拔维护和</w:t>
      </w:r>
      <w:r>
        <w:rPr>
          <w:b/>
          <w:bCs/>
          <w:color w:val="auto"/>
          <w:szCs w:val="24"/>
          <w:highlight w:val="none"/>
        </w:rPr>
        <w:t>换相</w:t>
      </w:r>
      <w:r>
        <w:rPr>
          <w:rFonts w:hint="eastAsia"/>
          <w:b/>
          <w:bCs/>
          <w:color w:val="auto"/>
          <w:szCs w:val="24"/>
          <w:highlight w:val="none"/>
        </w:rPr>
        <w:t>调整</w:t>
      </w:r>
      <w:r>
        <w:rPr>
          <w:b/>
          <w:bCs/>
          <w:color w:val="auto"/>
          <w:szCs w:val="24"/>
          <w:highlight w:val="none"/>
        </w:rPr>
        <w:t>，实现</w:t>
      </w:r>
      <w:r>
        <w:rPr>
          <w:rFonts w:hint="eastAsia"/>
          <w:b/>
          <w:bCs/>
          <w:color w:val="auto"/>
          <w:szCs w:val="24"/>
          <w:highlight w:val="none"/>
        </w:rPr>
        <w:t>系统不断电维护和</w:t>
      </w:r>
      <w:r>
        <w:rPr>
          <w:b/>
          <w:bCs/>
          <w:color w:val="auto"/>
          <w:szCs w:val="24"/>
          <w:highlight w:val="none"/>
        </w:rPr>
        <w:t>三相负载平衡</w:t>
      </w:r>
      <w:r>
        <w:rPr>
          <w:rFonts w:hint="eastAsia"/>
          <w:b/>
          <w:bCs/>
          <w:color w:val="auto"/>
          <w:szCs w:val="24"/>
          <w:highlight w:val="none"/>
        </w:rPr>
        <w:t>调整</w:t>
      </w:r>
      <w:r>
        <w:rPr>
          <w:b/>
          <w:bCs/>
          <w:color w:val="auto"/>
          <w:szCs w:val="24"/>
          <w:highlight w:val="none"/>
        </w:rPr>
        <w:t>，</w:t>
      </w:r>
      <w:r>
        <w:rPr>
          <w:rFonts w:hint="eastAsia"/>
          <w:b/>
          <w:bCs/>
          <w:color w:val="auto"/>
          <w:szCs w:val="24"/>
          <w:highlight w:val="none"/>
        </w:rPr>
        <w:t>并对热插拔可调相功能实现方式进行具体说明。</w:t>
      </w:r>
      <w:r>
        <w:rPr>
          <w:b/>
          <w:bCs/>
          <w:color w:val="auto"/>
          <w:szCs w:val="24"/>
          <w:highlight w:val="none"/>
        </w:rPr>
        <w:t>进线主路CT导准确级别为0.2S级，出线支路准确性级别为0.5级。所有在用及备用开关均应纳入配电柜监控系统。</w:t>
      </w:r>
    </w:p>
    <w:p>
      <w:pPr>
        <w:spacing w:line="360" w:lineRule="auto"/>
        <w:ind w:left="1434" w:right="-180" w:rightChars="-75" w:firstLine="4"/>
        <w:rPr>
          <w:b/>
          <w:bCs/>
          <w:color w:val="auto"/>
          <w:szCs w:val="24"/>
          <w:highlight w:val="none"/>
        </w:rPr>
      </w:pPr>
      <w:r>
        <w:rPr>
          <w:b/>
          <w:bCs/>
          <w:color w:val="auto"/>
          <w:szCs w:val="24"/>
          <w:highlight w:val="none"/>
        </w:rPr>
        <w:t>10</w:t>
      </w:r>
      <w:r>
        <w:rPr>
          <w:rFonts w:hint="eastAsia"/>
          <w:color w:val="auto"/>
          <w:szCs w:val="24"/>
          <w:highlight w:val="none"/>
        </w:rPr>
        <w:t>.</w:t>
      </w:r>
      <w:r>
        <w:rPr>
          <w:b/>
          <w:bCs/>
          <w:color w:val="auto"/>
          <w:szCs w:val="24"/>
          <w:highlight w:val="none"/>
        </w:rPr>
        <w:t>浪涌保护器SPD：</w:t>
      </w:r>
      <w:r>
        <w:rPr>
          <w:rFonts w:hint="eastAsia"/>
          <w:b/>
          <w:bCs/>
          <w:color w:val="auto"/>
          <w:szCs w:val="24"/>
          <w:highlight w:val="none"/>
        </w:rPr>
        <w:t>标称工作电压需为三相，</w:t>
      </w:r>
      <w:r>
        <w:rPr>
          <w:b/>
          <w:bCs/>
          <w:color w:val="auto"/>
          <w:szCs w:val="24"/>
          <w:highlight w:val="none"/>
        </w:rPr>
        <w:t>380Vac，50Hz，最大持续运行电压385V，各相防护采用压敏电阻技术，防雷单元需</w:t>
      </w:r>
      <w:r>
        <w:rPr>
          <w:rFonts w:hint="eastAsia"/>
          <w:b/>
          <w:bCs/>
          <w:color w:val="auto"/>
          <w:szCs w:val="24"/>
          <w:highlight w:val="none"/>
        </w:rPr>
        <w:t>内置热脱扣装置，响应时间≤</w:t>
      </w:r>
      <w:r>
        <w:rPr>
          <w:b/>
          <w:bCs/>
          <w:color w:val="auto"/>
          <w:szCs w:val="24"/>
          <w:highlight w:val="none"/>
        </w:rPr>
        <w:t>25ns</w:t>
      </w:r>
      <w:r>
        <w:rPr>
          <w:rFonts w:hint="eastAsia"/>
          <w:b/>
          <w:bCs/>
          <w:color w:val="auto"/>
          <w:szCs w:val="24"/>
          <w:highlight w:val="none"/>
        </w:rPr>
        <w:t>，残留电压≤</w:t>
      </w:r>
      <w:r>
        <w:rPr>
          <w:b/>
          <w:bCs/>
          <w:color w:val="auto"/>
          <w:szCs w:val="24"/>
          <w:highlight w:val="none"/>
        </w:rPr>
        <w:t>2000V</w:t>
      </w:r>
      <w:r>
        <w:rPr>
          <w:rFonts w:hint="eastAsia"/>
          <w:b/>
          <w:bCs/>
          <w:color w:val="auto"/>
          <w:szCs w:val="24"/>
          <w:highlight w:val="none"/>
        </w:rPr>
        <w:t>，对设备进行最有效的过电压防护，要求有实时劣化失效状态指示窗口，对保护设备的状态进行监控。</w:t>
      </w:r>
    </w:p>
    <w:p>
      <w:pPr>
        <w:spacing w:line="360" w:lineRule="auto"/>
        <w:ind w:left="1434" w:right="-180" w:rightChars="-75" w:firstLine="4"/>
        <w:rPr>
          <w:color w:val="auto"/>
          <w:szCs w:val="24"/>
          <w:highlight w:val="none"/>
        </w:rPr>
      </w:pPr>
      <w:r>
        <w:rPr>
          <w:rFonts w:hint="eastAsia"/>
          <w:color w:val="auto"/>
          <w:szCs w:val="24"/>
          <w:highlight w:val="none"/>
        </w:rPr>
        <w:t>1</w:t>
      </w:r>
      <w:r>
        <w:rPr>
          <w:color w:val="auto"/>
          <w:szCs w:val="24"/>
          <w:highlight w:val="none"/>
        </w:rPr>
        <w:t>1</w:t>
      </w:r>
      <w:r>
        <w:rPr>
          <w:rFonts w:hint="eastAsia"/>
          <w:color w:val="auto"/>
          <w:szCs w:val="24"/>
          <w:highlight w:val="none"/>
        </w:rPr>
        <w:t>.支路采用模块化设计，每个精密配电柜配置2*</w:t>
      </w:r>
      <w:r>
        <w:rPr>
          <w:color w:val="auto"/>
          <w:szCs w:val="24"/>
          <w:highlight w:val="none"/>
        </w:rPr>
        <w:t>18</w:t>
      </w:r>
      <w:r>
        <w:rPr>
          <w:rFonts w:hint="eastAsia"/>
          <w:color w:val="auto"/>
          <w:szCs w:val="24"/>
          <w:highlight w:val="none"/>
        </w:rPr>
        <w:t>路支路。需提供实物照片佐证。</w:t>
      </w:r>
    </w:p>
    <w:p>
      <w:pPr>
        <w:spacing w:line="360" w:lineRule="auto"/>
        <w:ind w:left="1434" w:right="-180" w:rightChars="-75" w:firstLine="4"/>
        <w:rPr>
          <w:color w:val="auto"/>
          <w:szCs w:val="24"/>
          <w:highlight w:val="none"/>
        </w:rPr>
      </w:pPr>
      <w:r>
        <w:rPr>
          <w:color w:val="auto"/>
          <w:szCs w:val="24"/>
          <w:highlight w:val="none"/>
        </w:rPr>
        <w:t>12</w:t>
      </w:r>
      <w:r>
        <w:rPr>
          <w:rFonts w:hint="eastAsia"/>
          <w:color w:val="auto"/>
          <w:szCs w:val="24"/>
          <w:highlight w:val="none"/>
        </w:rPr>
        <w:t>.</w:t>
      </w:r>
      <w:r>
        <w:rPr>
          <w:color w:val="auto"/>
          <w:szCs w:val="24"/>
          <w:highlight w:val="none"/>
        </w:rPr>
        <w:t>线缆端子排: 为便于接线，所有输出开关应三相分配均匀，配置接线端子排。从微型断路器至端子的连接需统一采用 10mm2 低烟无卤阻燃A级软铜线连接，以方便微断的互换。</w:t>
      </w:r>
    </w:p>
    <w:p>
      <w:pPr>
        <w:spacing w:line="360" w:lineRule="auto"/>
        <w:ind w:left="1434" w:right="-180" w:rightChars="-75" w:firstLine="4"/>
        <w:rPr>
          <w:b/>
          <w:bCs/>
          <w:color w:val="auto"/>
          <w:szCs w:val="24"/>
          <w:highlight w:val="none"/>
        </w:rPr>
      </w:pPr>
      <w:r>
        <w:rPr>
          <w:b/>
          <w:bCs/>
          <w:color w:val="auto"/>
          <w:szCs w:val="24"/>
          <w:highlight w:val="none"/>
        </w:rPr>
        <w:t>13</w:t>
      </w:r>
      <w:r>
        <w:rPr>
          <w:rFonts w:hint="eastAsia"/>
          <w:color w:val="auto"/>
          <w:szCs w:val="24"/>
          <w:highlight w:val="none"/>
        </w:rPr>
        <w:t>.</w:t>
      </w:r>
      <w:r>
        <w:rPr>
          <w:rFonts w:hint="eastAsia"/>
          <w:b/>
          <w:bCs/>
          <w:color w:val="auto"/>
          <w:szCs w:val="24"/>
          <w:highlight w:val="none"/>
        </w:rPr>
        <w:t>铜排: 柜体母线应采用高电导率纯铜导体，机架内所有一、二次连接铜母排、铜导线均从正规厂购买，为优质电解铜生产而成，铜排纯度</w:t>
      </w:r>
      <w:r>
        <w:rPr>
          <w:b/>
          <w:bCs/>
          <w:color w:val="auto"/>
          <w:szCs w:val="24"/>
          <w:highlight w:val="none"/>
        </w:rPr>
        <w:t>99.97%及以上</w:t>
      </w:r>
      <w:r>
        <w:rPr>
          <w:rFonts w:hint="eastAsia"/>
          <w:b/>
          <w:bCs/>
          <w:color w:val="auto"/>
          <w:szCs w:val="24"/>
          <w:highlight w:val="none"/>
        </w:rPr>
        <w:t>，并且提供《中国有色金属工业产品质量监督检验中心检测报告》；</w:t>
      </w:r>
    </w:p>
    <w:p>
      <w:pPr>
        <w:spacing w:line="360" w:lineRule="auto"/>
        <w:ind w:left="1434" w:right="-180" w:rightChars="-75" w:firstLine="4"/>
        <w:rPr>
          <w:color w:val="auto"/>
          <w:szCs w:val="24"/>
          <w:highlight w:val="none"/>
        </w:rPr>
      </w:pPr>
      <w:r>
        <w:rPr>
          <w:rFonts w:hint="eastAsia"/>
          <w:color w:val="auto"/>
          <w:szCs w:val="24"/>
          <w:highlight w:val="none"/>
        </w:rPr>
        <w:t>1</w:t>
      </w:r>
      <w:r>
        <w:rPr>
          <w:color w:val="auto"/>
          <w:szCs w:val="24"/>
          <w:highlight w:val="none"/>
        </w:rPr>
        <w:t>4</w:t>
      </w:r>
      <w:r>
        <w:rPr>
          <w:rFonts w:hint="eastAsia"/>
          <w:color w:val="auto"/>
          <w:szCs w:val="24"/>
          <w:highlight w:val="none"/>
        </w:rPr>
        <w:t>.</w:t>
      </w:r>
      <w:r>
        <w:rPr>
          <w:color w:val="auto"/>
          <w:szCs w:val="24"/>
          <w:highlight w:val="none"/>
        </w:rPr>
        <w:t>机柜尺寸以设计图纸为准，内部主体钢材采用环保型材料，柜体外壳采用优质冷轧钢板，柜内隔板及支撑部件采用进口优质覆铝锌板，厚度达到</w:t>
      </w:r>
      <w:r>
        <w:rPr>
          <w:rFonts w:hint="eastAsia"/>
          <w:color w:val="auto"/>
          <w:szCs w:val="24"/>
          <w:highlight w:val="none"/>
        </w:rPr>
        <w:t>1</w:t>
      </w:r>
      <w:r>
        <w:rPr>
          <w:color w:val="auto"/>
          <w:szCs w:val="24"/>
          <w:highlight w:val="none"/>
        </w:rPr>
        <w:t>.5m 及以上</w:t>
      </w:r>
      <w:r>
        <w:rPr>
          <w:rFonts w:hint="eastAsia"/>
          <w:color w:val="auto"/>
          <w:szCs w:val="24"/>
          <w:highlight w:val="none"/>
        </w:rPr>
        <w:t>。</w:t>
      </w:r>
    </w:p>
    <w:p>
      <w:pPr>
        <w:spacing w:line="360" w:lineRule="auto"/>
        <w:ind w:left="1434" w:right="-180" w:rightChars="-75" w:firstLine="4"/>
        <w:rPr>
          <w:color w:val="auto"/>
          <w:szCs w:val="24"/>
          <w:highlight w:val="none"/>
        </w:rPr>
      </w:pPr>
      <w:r>
        <w:rPr>
          <w:rFonts w:hint="eastAsia"/>
          <w:color w:val="auto"/>
          <w:szCs w:val="24"/>
          <w:highlight w:val="none"/>
        </w:rPr>
        <w:t>1</w:t>
      </w:r>
      <w:r>
        <w:rPr>
          <w:color w:val="auto"/>
          <w:szCs w:val="24"/>
          <w:highlight w:val="none"/>
        </w:rPr>
        <w:t>5</w:t>
      </w:r>
      <w:r>
        <w:rPr>
          <w:rFonts w:hint="eastAsia"/>
          <w:color w:val="auto"/>
          <w:szCs w:val="24"/>
          <w:highlight w:val="none"/>
        </w:rPr>
        <w:t>.柜门应开启灵活，开启角度不小于120度。紧固连接应牢固、可靠，所有紧固件均应有防腐镀层或涂层，紧固连接有防松脱措施；柜体上下部应留有通风口装置；配电柜体在装配后应有足够的机械强度，以保证元件安装后及操作时无摇晃、不变形；所有框架零件均应免维护。</w:t>
      </w:r>
    </w:p>
    <w:p>
      <w:pPr>
        <w:spacing w:line="360" w:lineRule="auto"/>
        <w:ind w:left="1434" w:right="-180" w:rightChars="-75" w:firstLine="4"/>
        <w:rPr>
          <w:color w:val="auto"/>
          <w:szCs w:val="24"/>
          <w:highlight w:val="none"/>
        </w:rPr>
      </w:pPr>
      <w:r>
        <w:rPr>
          <w:rFonts w:hint="eastAsia"/>
          <w:color w:val="auto"/>
          <w:szCs w:val="24"/>
          <w:highlight w:val="none"/>
        </w:rPr>
        <w:t>1</w:t>
      </w:r>
      <w:r>
        <w:rPr>
          <w:color w:val="auto"/>
          <w:szCs w:val="24"/>
          <w:highlight w:val="none"/>
        </w:rPr>
        <w:t>6</w:t>
      </w:r>
      <w:r>
        <w:rPr>
          <w:rFonts w:hint="eastAsia"/>
          <w:color w:val="auto"/>
          <w:szCs w:val="24"/>
          <w:highlight w:val="none"/>
        </w:rPr>
        <w:t>.</w:t>
      </w:r>
      <w:r>
        <w:rPr>
          <w:color w:val="auto"/>
          <w:szCs w:val="24"/>
          <w:highlight w:val="none"/>
        </w:rPr>
        <w:t>绝缘距离：相线之间的电气间隙至少15mm，带电部件与裸露导电部件之间的电气间隙至少20mm；相线之间，以及带电部件与裸露导电部件之间的爬电距离至少20mm</w:t>
      </w:r>
    </w:p>
    <w:p>
      <w:pPr>
        <w:spacing w:line="360" w:lineRule="auto"/>
        <w:ind w:left="1434" w:right="-180" w:rightChars="-75" w:firstLine="4"/>
        <w:rPr>
          <w:color w:val="auto"/>
          <w:szCs w:val="24"/>
          <w:highlight w:val="none"/>
        </w:rPr>
      </w:pPr>
      <w:r>
        <w:rPr>
          <w:rFonts w:hint="eastAsia"/>
          <w:color w:val="auto"/>
          <w:szCs w:val="24"/>
          <w:highlight w:val="none"/>
        </w:rPr>
        <w:t>1</w:t>
      </w:r>
      <w:r>
        <w:rPr>
          <w:color w:val="auto"/>
          <w:szCs w:val="24"/>
          <w:highlight w:val="none"/>
        </w:rPr>
        <w:t>7</w:t>
      </w:r>
      <w:r>
        <w:rPr>
          <w:rFonts w:hint="eastAsia"/>
          <w:color w:val="auto"/>
          <w:szCs w:val="24"/>
          <w:highlight w:val="none"/>
        </w:rPr>
        <w:t>.</w:t>
      </w:r>
      <w:r>
        <w:rPr>
          <w:color w:val="auto"/>
          <w:szCs w:val="24"/>
          <w:highlight w:val="none"/>
        </w:rPr>
        <w:t>机柜结构为全封闭、内部分隔式隔间结构，确保日常运维、巡检安全。结构化设计，侧板、后门、面板可拆卸，便于日常维护。</w:t>
      </w:r>
    </w:p>
    <w:p>
      <w:pPr>
        <w:spacing w:line="360" w:lineRule="auto"/>
        <w:ind w:left="1434" w:right="-180" w:rightChars="-75" w:firstLine="4"/>
        <w:rPr>
          <w:color w:val="auto"/>
          <w:szCs w:val="24"/>
          <w:highlight w:val="none"/>
        </w:rPr>
      </w:pPr>
      <w:r>
        <w:rPr>
          <w:rFonts w:hint="eastAsia"/>
          <w:color w:val="auto"/>
          <w:szCs w:val="24"/>
          <w:highlight w:val="none"/>
        </w:rPr>
        <w:t>1</w:t>
      </w:r>
      <w:r>
        <w:rPr>
          <w:color w:val="auto"/>
          <w:szCs w:val="24"/>
          <w:highlight w:val="none"/>
        </w:rPr>
        <w:t>8</w:t>
      </w:r>
      <w:r>
        <w:rPr>
          <w:rFonts w:hint="eastAsia"/>
          <w:color w:val="auto"/>
          <w:szCs w:val="24"/>
          <w:highlight w:val="none"/>
        </w:rPr>
        <w:t>.</w:t>
      </w:r>
      <w:r>
        <w:rPr>
          <w:color w:val="auto"/>
          <w:szCs w:val="24"/>
          <w:highlight w:val="none"/>
        </w:rPr>
        <w:t>机柜防护等级不低于IP20，外面板采用网孔门设计，通孔率不低于 60％，无需额外的通风装置。机柜内部配线应布局整齐合理，在接线端口处不应露出裸露的导体，保证使用安全。</w:t>
      </w:r>
    </w:p>
    <w:p>
      <w:pPr>
        <w:spacing w:line="360" w:lineRule="auto"/>
        <w:ind w:left="1434" w:right="-180" w:rightChars="-75" w:firstLine="4"/>
        <w:rPr>
          <w:color w:val="auto"/>
          <w:szCs w:val="24"/>
          <w:highlight w:val="none"/>
        </w:rPr>
      </w:pPr>
      <w:r>
        <w:rPr>
          <w:rFonts w:hint="eastAsia"/>
          <w:color w:val="auto"/>
          <w:szCs w:val="24"/>
          <w:highlight w:val="none"/>
        </w:rPr>
        <w:t>1</w:t>
      </w:r>
      <w:r>
        <w:rPr>
          <w:color w:val="auto"/>
          <w:szCs w:val="24"/>
          <w:highlight w:val="none"/>
        </w:rPr>
        <w:t>9</w:t>
      </w:r>
      <w:r>
        <w:rPr>
          <w:rFonts w:hint="eastAsia"/>
          <w:color w:val="auto"/>
          <w:szCs w:val="24"/>
          <w:highlight w:val="none"/>
        </w:rPr>
        <w:t>.</w:t>
      </w:r>
      <w:r>
        <w:rPr>
          <w:color w:val="auto"/>
          <w:szCs w:val="24"/>
          <w:highlight w:val="none"/>
        </w:rPr>
        <w:t>具备良好的人机交互操作界面，</w:t>
      </w:r>
      <w:r>
        <w:rPr>
          <w:rFonts w:hint="eastAsia"/>
          <w:color w:val="auto"/>
          <w:szCs w:val="24"/>
          <w:highlight w:val="none"/>
        </w:rPr>
        <w:t>不小于7</w:t>
      </w:r>
      <w:r>
        <w:rPr>
          <w:color w:val="auto"/>
          <w:szCs w:val="24"/>
          <w:highlight w:val="none"/>
        </w:rPr>
        <w:t>寸及以上LCD屏显示，方便查看和操作</w:t>
      </w:r>
      <w:r>
        <w:rPr>
          <w:rFonts w:hint="eastAsia"/>
          <w:color w:val="auto"/>
          <w:szCs w:val="24"/>
          <w:highlight w:val="none"/>
        </w:rPr>
        <w:t>；精密额配电柜的监控系统需与柜体品牌一致。</w:t>
      </w:r>
    </w:p>
    <w:p>
      <w:pPr>
        <w:spacing w:line="360" w:lineRule="auto"/>
        <w:ind w:left="1434" w:right="-180" w:rightChars="-75" w:firstLine="4"/>
        <w:rPr>
          <w:color w:val="auto"/>
          <w:szCs w:val="24"/>
          <w:highlight w:val="none"/>
        </w:rPr>
      </w:pPr>
      <w:r>
        <w:rPr>
          <w:color w:val="auto"/>
          <w:szCs w:val="24"/>
          <w:highlight w:val="none"/>
        </w:rPr>
        <w:t>20</w:t>
      </w:r>
      <w:r>
        <w:rPr>
          <w:rFonts w:hint="eastAsia"/>
          <w:color w:val="auto"/>
          <w:szCs w:val="24"/>
          <w:highlight w:val="none"/>
        </w:rPr>
        <w:t>.主进回路部分的监控和显示参数需至少包括：三相电压，三相电流，频率，三相额定电流、电流百分比、频率，功率因数、电能、有功功率、视在功率、开关状态等；</w:t>
      </w:r>
    </w:p>
    <w:p>
      <w:pPr>
        <w:spacing w:line="360" w:lineRule="auto"/>
        <w:ind w:left="1434" w:right="-180" w:rightChars="-75" w:firstLine="4"/>
        <w:rPr>
          <w:color w:val="auto"/>
          <w:szCs w:val="24"/>
          <w:highlight w:val="none"/>
        </w:rPr>
      </w:pPr>
      <w:r>
        <w:rPr>
          <w:color w:val="auto"/>
          <w:szCs w:val="24"/>
          <w:highlight w:val="none"/>
        </w:rPr>
        <w:t>21</w:t>
      </w:r>
      <w:r>
        <w:rPr>
          <w:rFonts w:hint="eastAsia"/>
          <w:color w:val="auto"/>
          <w:szCs w:val="24"/>
          <w:highlight w:val="none"/>
        </w:rPr>
        <w:t>.支路监控和显示参数至少包括：各支路电流、额定电流、负载百分比、电能、电流谐波百分比、开关状态、有功功率、视在功率，功率因数等；</w:t>
      </w:r>
    </w:p>
    <w:p>
      <w:pPr>
        <w:spacing w:line="360" w:lineRule="auto"/>
        <w:ind w:left="1434" w:right="-180" w:rightChars="-75" w:firstLine="4"/>
        <w:rPr>
          <w:color w:val="auto"/>
          <w:szCs w:val="24"/>
          <w:highlight w:val="none"/>
        </w:rPr>
      </w:pPr>
      <w:r>
        <w:rPr>
          <w:color w:val="auto"/>
          <w:szCs w:val="24"/>
          <w:highlight w:val="none"/>
        </w:rPr>
        <w:t>22</w:t>
      </w:r>
      <w:r>
        <w:rPr>
          <w:rFonts w:hint="eastAsia"/>
          <w:color w:val="auto"/>
          <w:szCs w:val="24"/>
          <w:highlight w:val="none"/>
        </w:rPr>
        <w:t>.主路及各支路监控电气参数地内容应能以可视图形化界面方式显示。主路及各支路的电量参数应能以图形可视化界面按周、按月、按年进行计量，在后台监控系统中，可根据需要对任意时间段的电量进行分段计量。</w:t>
      </w:r>
    </w:p>
    <w:p>
      <w:pPr>
        <w:spacing w:line="360" w:lineRule="auto"/>
        <w:ind w:left="1434" w:right="-180" w:rightChars="-75" w:firstLine="4"/>
        <w:rPr>
          <w:color w:val="auto"/>
          <w:szCs w:val="24"/>
          <w:highlight w:val="none"/>
        </w:rPr>
      </w:pPr>
      <w:r>
        <w:rPr>
          <w:color w:val="auto"/>
          <w:szCs w:val="24"/>
          <w:highlight w:val="none"/>
        </w:rPr>
        <w:t>23</w:t>
      </w:r>
      <w:r>
        <w:rPr>
          <w:rFonts w:hint="eastAsia"/>
          <w:color w:val="auto"/>
          <w:szCs w:val="24"/>
          <w:highlight w:val="none"/>
        </w:rPr>
        <w:t>.在柜体本地的监控及显示系统中，需具备主路及各支路电压、电流监测记录，方便运维人员分析比对，查找故障原因。</w:t>
      </w:r>
    </w:p>
    <w:p>
      <w:pPr>
        <w:spacing w:line="360" w:lineRule="auto"/>
        <w:ind w:left="1434" w:right="-180" w:rightChars="-75" w:firstLine="4"/>
        <w:rPr>
          <w:b/>
          <w:bCs/>
          <w:color w:val="auto"/>
          <w:szCs w:val="24"/>
          <w:highlight w:val="none"/>
        </w:rPr>
      </w:pPr>
      <w:r>
        <w:rPr>
          <w:b/>
          <w:bCs/>
          <w:color w:val="auto"/>
          <w:szCs w:val="24"/>
          <w:highlight w:val="none"/>
        </w:rPr>
        <w:t>24</w:t>
      </w:r>
      <w:r>
        <w:rPr>
          <w:rFonts w:hint="eastAsia"/>
          <w:color w:val="auto"/>
          <w:szCs w:val="24"/>
          <w:highlight w:val="none"/>
        </w:rPr>
        <w:t>.</w:t>
      </w:r>
      <w:r>
        <w:rPr>
          <w:rFonts w:hint="eastAsia"/>
          <w:b/>
          <w:bCs/>
          <w:color w:val="auto"/>
          <w:szCs w:val="24"/>
          <w:highlight w:val="none"/>
        </w:rPr>
        <w:t>投标列头柜各主路、支路的</w:t>
      </w:r>
      <w:r>
        <w:rPr>
          <w:b/>
          <w:bCs/>
          <w:color w:val="auto"/>
          <w:szCs w:val="24"/>
          <w:highlight w:val="none"/>
        </w:rPr>
        <w:t>电压、电流</w:t>
      </w:r>
      <w:r>
        <w:rPr>
          <w:rFonts w:hint="eastAsia"/>
          <w:b/>
          <w:bCs/>
          <w:color w:val="auto"/>
          <w:szCs w:val="24"/>
          <w:highlight w:val="none"/>
        </w:rPr>
        <w:t>、电能</w:t>
      </w:r>
      <w:r>
        <w:rPr>
          <w:b/>
          <w:bCs/>
          <w:color w:val="auto"/>
          <w:szCs w:val="24"/>
          <w:highlight w:val="none"/>
        </w:rPr>
        <w:t>测量精度不低于</w:t>
      </w:r>
      <w:r>
        <w:rPr>
          <w:rFonts w:hint="eastAsia"/>
          <w:b/>
          <w:bCs/>
          <w:color w:val="auto"/>
          <w:szCs w:val="24"/>
          <w:highlight w:val="none"/>
        </w:rPr>
        <w:t>2</w:t>
      </w:r>
      <w:r>
        <w:rPr>
          <w:b/>
          <w:bCs/>
          <w:color w:val="auto"/>
          <w:szCs w:val="24"/>
          <w:highlight w:val="none"/>
        </w:rPr>
        <w:t>%。</w:t>
      </w:r>
      <w:r>
        <w:rPr>
          <w:rFonts w:hint="eastAsia"/>
          <w:b/>
          <w:bCs/>
          <w:color w:val="auto"/>
          <w:szCs w:val="24"/>
          <w:highlight w:val="none"/>
        </w:rPr>
        <w:t>需提供柜体（含监控系统、互感器等）的整体第三方精度检测报告。单独监控系统检测报告无效。</w:t>
      </w:r>
    </w:p>
    <w:p>
      <w:pPr>
        <w:spacing w:line="360" w:lineRule="auto"/>
        <w:ind w:left="1434" w:right="-180" w:rightChars="-75" w:firstLine="4"/>
        <w:rPr>
          <w:color w:val="auto"/>
          <w:szCs w:val="24"/>
          <w:highlight w:val="none"/>
        </w:rPr>
      </w:pPr>
      <w:r>
        <w:rPr>
          <w:color w:val="auto"/>
          <w:szCs w:val="24"/>
          <w:highlight w:val="none"/>
        </w:rPr>
        <w:t>25</w:t>
      </w:r>
      <w:r>
        <w:rPr>
          <w:rFonts w:hint="eastAsia"/>
          <w:color w:val="auto"/>
          <w:szCs w:val="24"/>
          <w:highlight w:val="none"/>
        </w:rPr>
        <w:t>.</w:t>
      </w:r>
      <w:r>
        <w:rPr>
          <w:color w:val="auto"/>
          <w:szCs w:val="24"/>
          <w:highlight w:val="none"/>
        </w:rPr>
        <w:t>可具备RS232</w:t>
      </w:r>
      <w:r>
        <w:rPr>
          <w:rFonts w:hint="eastAsia"/>
          <w:color w:val="auto"/>
          <w:szCs w:val="24"/>
          <w:highlight w:val="none"/>
        </w:rPr>
        <w:t>或</w:t>
      </w:r>
      <w:r>
        <w:rPr>
          <w:color w:val="auto"/>
          <w:szCs w:val="24"/>
          <w:highlight w:val="none"/>
        </w:rPr>
        <w:t>RS485</w:t>
      </w:r>
      <w:r>
        <w:rPr>
          <w:rFonts w:hint="eastAsia"/>
          <w:color w:val="auto"/>
          <w:szCs w:val="24"/>
          <w:highlight w:val="none"/>
        </w:rPr>
        <w:t>或</w:t>
      </w:r>
      <w:r>
        <w:rPr>
          <w:color w:val="auto"/>
          <w:szCs w:val="24"/>
          <w:highlight w:val="none"/>
        </w:rPr>
        <w:t>SNMP智能通信接口，支持开放式MODBUS标准协议，可通过一个通讯接口上传所有监控及告警数据。</w:t>
      </w:r>
    </w:p>
    <w:p>
      <w:pPr>
        <w:spacing w:line="360" w:lineRule="auto"/>
        <w:ind w:left="1434" w:right="-180" w:rightChars="-75" w:firstLine="4"/>
        <w:rPr>
          <w:b/>
          <w:bCs/>
          <w:color w:val="auto"/>
          <w:szCs w:val="24"/>
          <w:highlight w:val="none"/>
        </w:rPr>
      </w:pPr>
      <w:r>
        <w:rPr>
          <w:b/>
          <w:bCs/>
          <w:color w:val="auto"/>
          <w:szCs w:val="24"/>
          <w:highlight w:val="none"/>
        </w:rPr>
        <w:t>26</w:t>
      </w:r>
      <w:r>
        <w:rPr>
          <w:rFonts w:hint="eastAsia"/>
          <w:color w:val="auto"/>
          <w:szCs w:val="24"/>
          <w:highlight w:val="none"/>
        </w:rPr>
        <w:t>.</w:t>
      </w:r>
      <w:r>
        <w:rPr>
          <w:b/>
          <w:bCs/>
          <w:color w:val="auto"/>
          <w:szCs w:val="24"/>
          <w:highlight w:val="none"/>
        </w:rPr>
        <w:t>具备过载、过压、欠压、缺相、掉电、电流超高阈值、输入瞬间电流过大、内部通讯失效等故障的告警功能，并支持远程告警及LCD显示屏声光告警功能。主进回路及各支路能设置两段阈值报警功能，且报警阈值可调。当负载电流超过阈值时，配电柜 LCD 及后台能提供超限报警功能，有效规避风险。本地存储所有监控信息不少于</w:t>
      </w:r>
      <w:r>
        <w:rPr>
          <w:rFonts w:hint="eastAsia"/>
          <w:b/>
          <w:bCs/>
          <w:color w:val="auto"/>
          <w:szCs w:val="24"/>
          <w:highlight w:val="none"/>
        </w:rPr>
        <w:t>2</w:t>
      </w:r>
      <w:r>
        <w:rPr>
          <w:b/>
          <w:bCs/>
          <w:color w:val="auto"/>
          <w:szCs w:val="24"/>
          <w:highlight w:val="none"/>
        </w:rPr>
        <w:t>000条</w:t>
      </w:r>
      <w:r>
        <w:rPr>
          <w:rFonts w:hint="eastAsia"/>
          <w:b/>
          <w:bCs/>
          <w:color w:val="auto"/>
          <w:szCs w:val="24"/>
          <w:highlight w:val="none"/>
        </w:rPr>
        <w:t>。</w:t>
      </w:r>
    </w:p>
    <w:p>
      <w:pPr>
        <w:pStyle w:val="5"/>
        <w:numPr>
          <w:ilvl w:val="0"/>
          <w:numId w:val="58"/>
        </w:numPr>
        <w:ind w:left="1134" w:right="-180" w:rightChars="-75" w:hanging="708"/>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机房环境监控</w:t>
      </w:r>
    </w:p>
    <w:p>
      <w:pPr>
        <w:pStyle w:val="6"/>
        <w:ind w:left="1134" w:right="-180" w:rightChars="-75" w:hanging="708"/>
        <w:rPr>
          <w:color w:val="auto"/>
          <w:sz w:val="24"/>
          <w:szCs w:val="24"/>
          <w:highlight w:val="none"/>
        </w:rPr>
      </w:pPr>
      <w:r>
        <w:rPr>
          <w:rFonts w:hint="eastAsia"/>
          <w:color w:val="auto"/>
          <w:sz w:val="24"/>
          <w:szCs w:val="24"/>
          <w:highlight w:val="none"/>
        </w:rPr>
        <w:t>1.系统概况</w:t>
      </w:r>
    </w:p>
    <w:p>
      <w:pPr>
        <w:spacing w:line="360" w:lineRule="auto"/>
        <w:ind w:left="240" w:leftChars="100" w:right="-180" w:rightChars="-75" w:firstLine="480" w:firstLineChars="200"/>
        <w:rPr>
          <w:szCs w:val="24"/>
          <w:highlight w:val="none"/>
        </w:rPr>
      </w:pPr>
      <w:r>
        <w:rPr>
          <w:rFonts w:hint="eastAsia"/>
          <w:szCs w:val="24"/>
          <w:highlight w:val="none"/>
        </w:rPr>
        <w:t>建设统一架构、功能完备的数据中心基础设施管理平台，通过平台监控机房内各系统和设备的实时参数和状态，提供及时、准确的报警，并实现高阶的运维管理分析功能，对获得的数据进行有效分析，为机房日常运维管理、可用性分析及整体规划提供依据，整体提升机房管理规范化、智能化、精细化水平，充分满足业务快速发展和信息系统设备部署需求。</w:t>
      </w:r>
    </w:p>
    <w:p>
      <w:pPr>
        <w:spacing w:line="360" w:lineRule="auto"/>
        <w:ind w:left="240" w:leftChars="100" w:right="-180" w:rightChars="-75" w:firstLine="482" w:firstLineChars="200"/>
        <w:rPr>
          <w:b/>
          <w:bCs/>
          <w:szCs w:val="24"/>
          <w:highlight w:val="none"/>
        </w:rPr>
      </w:pPr>
      <w:r>
        <w:rPr>
          <w:rFonts w:hint="eastAsia"/>
          <w:b/>
          <w:bCs/>
          <w:szCs w:val="24"/>
          <w:highlight w:val="none"/>
        </w:rPr>
        <w:t>本次新建系统需接入至现有（计通智能监控软件V1.0）或者兼容现有（计通智能监控软件V1.0）接入，实现对中山大学附属第一医院数据中心基础设施的一体化监控，实现统一的数据中心运行监控，资源、能效、运营的统一管理。</w:t>
      </w:r>
    </w:p>
    <w:p>
      <w:pPr>
        <w:spacing w:line="360" w:lineRule="auto"/>
        <w:ind w:left="240" w:leftChars="100" w:right="-180" w:rightChars="-75" w:firstLine="482" w:firstLineChars="200"/>
        <w:rPr>
          <w:b/>
          <w:bCs/>
          <w:szCs w:val="24"/>
          <w:highlight w:val="none"/>
        </w:rPr>
      </w:pPr>
      <w:r>
        <w:rPr>
          <w:rFonts w:hint="eastAsia"/>
          <w:b/>
          <w:bCs/>
          <w:szCs w:val="24"/>
          <w:highlight w:val="none"/>
        </w:rPr>
        <w:t>该动环系统的软件平台，除自身的所需的软件外，还需包含原医院动环总平台扩容的费用。</w:t>
      </w:r>
    </w:p>
    <w:p>
      <w:pPr>
        <w:spacing w:line="360" w:lineRule="auto"/>
        <w:ind w:left="240" w:leftChars="100" w:right="-180" w:rightChars="-75" w:firstLine="482" w:firstLineChars="200"/>
        <w:rPr>
          <w:b/>
          <w:bCs/>
          <w:szCs w:val="24"/>
          <w:highlight w:val="none"/>
        </w:rPr>
      </w:pPr>
      <w:r>
        <w:rPr>
          <w:rFonts w:hint="eastAsia"/>
          <w:b/>
          <w:bCs/>
          <w:szCs w:val="24"/>
          <w:highlight w:val="none"/>
        </w:rPr>
        <w:t>动环系统的软件平台，需支持虚拟化服务器，布署在业主提供的虚拟服务器内。</w:t>
      </w:r>
    </w:p>
    <w:p>
      <w:pPr>
        <w:spacing w:line="360" w:lineRule="auto"/>
        <w:ind w:left="240" w:leftChars="100" w:right="-180" w:rightChars="-75" w:firstLine="480" w:firstLineChars="200"/>
        <w:rPr>
          <w:szCs w:val="24"/>
          <w:highlight w:val="none"/>
        </w:rPr>
      </w:pPr>
      <w:r>
        <w:rPr>
          <w:rFonts w:hint="eastAsia"/>
          <w:szCs w:val="24"/>
          <w:highlight w:val="none"/>
        </w:rPr>
        <w:t>本次系统监控范围8层数据机房及一层汇聚机房，告警数据需接入医院短信告警平台，同时提供电话拨号报警。</w:t>
      </w:r>
    </w:p>
    <w:p>
      <w:pPr>
        <w:pStyle w:val="6"/>
        <w:ind w:left="1134" w:right="-180" w:rightChars="-75" w:hanging="708"/>
        <w:rPr>
          <w:color w:val="auto"/>
          <w:sz w:val="24"/>
          <w:szCs w:val="24"/>
          <w:highlight w:val="none"/>
        </w:rPr>
      </w:pPr>
      <w:r>
        <w:rPr>
          <w:rFonts w:hint="eastAsia"/>
          <w:color w:val="auto"/>
          <w:sz w:val="24"/>
          <w:szCs w:val="24"/>
          <w:highlight w:val="none"/>
        </w:rPr>
        <w:t>2.系统性能要求</w:t>
      </w:r>
    </w:p>
    <w:p>
      <w:pPr>
        <w:spacing w:line="360" w:lineRule="auto"/>
        <w:ind w:left="240" w:leftChars="100" w:right="-180" w:rightChars="-75" w:firstLine="487" w:firstLineChars="203"/>
        <w:rPr>
          <w:szCs w:val="24"/>
          <w:highlight w:val="none"/>
        </w:rPr>
      </w:pPr>
      <w:bookmarkStart w:id="176" w:name="_Hlk89851362"/>
      <w:r>
        <w:rPr>
          <w:rFonts w:hint="eastAsia"/>
          <w:szCs w:val="24"/>
          <w:highlight w:val="none"/>
        </w:rPr>
        <w:t>软件平台要求采用B/S架构，内置Web Server功能，方便管理人员通过任意一台联网PC的IE浏览器访问监控采集器，实现对机房的远程整体监管，无需安装插件。应采用主流的前后端分离技术，前端负责展示，后台负责业务，前后端服务均支持跨平台（Windows、Linux）部署，通过HTTP和Websocket通讯，安全稳定、灵活高效。</w:t>
      </w:r>
    </w:p>
    <w:p>
      <w:pPr>
        <w:spacing w:line="360" w:lineRule="auto"/>
        <w:ind w:left="240" w:leftChars="100" w:right="-180" w:rightChars="-75" w:firstLine="492" w:firstLineChars="204"/>
        <w:rPr>
          <w:szCs w:val="24"/>
          <w:highlight w:val="none"/>
        </w:rPr>
      </w:pPr>
      <w:r>
        <w:rPr>
          <w:rFonts w:hint="eastAsia"/>
          <w:b/>
          <w:szCs w:val="24"/>
          <w:highlight w:val="none"/>
        </w:rPr>
        <w:t>系统采控性能：</w:t>
      </w:r>
      <w:r>
        <w:rPr>
          <w:rFonts w:hint="eastAsia"/>
          <w:szCs w:val="24"/>
          <w:highlight w:val="none"/>
        </w:rPr>
        <w:t>在并发访问的情况下，保证响应时间不低于业界良好标准。</w:t>
      </w:r>
      <w:bookmarkEnd w:id="176"/>
    </w:p>
    <w:p>
      <w:pPr>
        <w:pStyle w:val="48"/>
        <w:numPr>
          <w:ilvl w:val="2"/>
          <w:numId w:val="78"/>
        </w:numPr>
        <w:spacing w:line="360" w:lineRule="auto"/>
        <w:ind w:left="240" w:leftChars="100" w:right="-180" w:rightChars="-75" w:firstLine="489" w:firstLineChars="204"/>
        <w:rPr>
          <w:rFonts w:ascii="宋体" w:hAnsi="宋体" w:eastAsia="宋体" w:cs="宋体"/>
          <w:sz w:val="24"/>
          <w:szCs w:val="24"/>
          <w:highlight w:val="none"/>
        </w:rPr>
      </w:pPr>
      <w:r>
        <w:rPr>
          <w:rFonts w:hint="eastAsia" w:ascii="宋体" w:hAnsi="宋体" w:eastAsia="宋体" w:cs="宋体"/>
          <w:sz w:val="24"/>
          <w:szCs w:val="24"/>
          <w:highlight w:val="none"/>
        </w:rPr>
        <w:t>系统支持总数测点应不小于300000个；</w:t>
      </w:r>
    </w:p>
    <w:p>
      <w:pPr>
        <w:pStyle w:val="48"/>
        <w:numPr>
          <w:ilvl w:val="2"/>
          <w:numId w:val="78"/>
        </w:numPr>
        <w:spacing w:line="360" w:lineRule="auto"/>
        <w:ind w:left="240" w:leftChars="100" w:right="-180" w:rightChars="-75" w:firstLine="489" w:firstLineChars="204"/>
        <w:rPr>
          <w:rFonts w:ascii="宋体" w:hAnsi="宋体" w:eastAsia="宋体" w:cs="宋体"/>
          <w:sz w:val="24"/>
          <w:szCs w:val="24"/>
          <w:highlight w:val="none"/>
        </w:rPr>
      </w:pPr>
      <w:r>
        <w:rPr>
          <w:rFonts w:hint="eastAsia" w:ascii="宋体" w:hAnsi="宋体" w:eastAsia="宋体" w:cs="宋体"/>
          <w:sz w:val="24"/>
          <w:szCs w:val="24"/>
          <w:highlight w:val="none"/>
        </w:rPr>
        <w:t>数据采样周期不超过5秒；</w:t>
      </w:r>
    </w:p>
    <w:p>
      <w:pPr>
        <w:pStyle w:val="48"/>
        <w:numPr>
          <w:ilvl w:val="2"/>
          <w:numId w:val="78"/>
        </w:numPr>
        <w:spacing w:line="360" w:lineRule="auto"/>
        <w:ind w:left="240" w:leftChars="100" w:right="-180" w:rightChars="-75" w:firstLine="489" w:firstLineChars="204"/>
        <w:rPr>
          <w:rFonts w:ascii="宋体" w:hAnsi="宋体" w:eastAsia="宋体" w:cs="宋体"/>
          <w:sz w:val="24"/>
          <w:szCs w:val="24"/>
          <w:highlight w:val="none"/>
        </w:rPr>
      </w:pPr>
      <w:r>
        <w:rPr>
          <w:rFonts w:hint="eastAsia" w:ascii="宋体" w:hAnsi="宋体" w:eastAsia="宋体" w:cs="宋体"/>
          <w:sz w:val="24"/>
          <w:szCs w:val="24"/>
          <w:highlight w:val="none"/>
        </w:rPr>
        <w:t>控制响应时间不超过2秒；</w:t>
      </w:r>
    </w:p>
    <w:p>
      <w:pPr>
        <w:pStyle w:val="48"/>
        <w:numPr>
          <w:ilvl w:val="2"/>
          <w:numId w:val="78"/>
        </w:numPr>
        <w:spacing w:line="360" w:lineRule="auto"/>
        <w:ind w:left="240" w:leftChars="100" w:right="-180" w:rightChars="-75" w:firstLine="489" w:firstLineChars="204"/>
        <w:rPr>
          <w:rFonts w:ascii="宋体" w:hAnsi="宋体" w:eastAsia="宋体" w:cs="宋体"/>
          <w:sz w:val="24"/>
          <w:szCs w:val="24"/>
          <w:highlight w:val="none"/>
        </w:rPr>
      </w:pPr>
      <w:r>
        <w:rPr>
          <w:rFonts w:hint="eastAsia" w:ascii="宋体" w:hAnsi="宋体" w:eastAsia="宋体" w:cs="宋体"/>
          <w:sz w:val="24"/>
          <w:szCs w:val="24"/>
          <w:highlight w:val="none"/>
        </w:rPr>
        <w:t>远程监控数据刷新时间不超过4S；</w:t>
      </w:r>
    </w:p>
    <w:p>
      <w:pPr>
        <w:pStyle w:val="48"/>
        <w:numPr>
          <w:ilvl w:val="2"/>
          <w:numId w:val="78"/>
        </w:numPr>
        <w:spacing w:line="360" w:lineRule="auto"/>
        <w:ind w:left="240" w:leftChars="100" w:right="-180" w:rightChars="-75" w:firstLine="489" w:firstLineChars="204"/>
        <w:rPr>
          <w:rFonts w:ascii="宋体" w:hAnsi="宋体" w:eastAsia="宋体" w:cs="宋体"/>
          <w:sz w:val="24"/>
          <w:szCs w:val="24"/>
          <w:highlight w:val="none"/>
        </w:rPr>
      </w:pPr>
      <w:r>
        <w:rPr>
          <w:rFonts w:hint="eastAsia" w:ascii="宋体" w:hAnsi="宋体" w:eastAsia="宋体" w:cs="宋体"/>
          <w:sz w:val="24"/>
          <w:szCs w:val="24"/>
          <w:highlight w:val="none"/>
        </w:rPr>
        <w:t>每秒不少于10,000测试点刷新；</w:t>
      </w:r>
    </w:p>
    <w:p>
      <w:pPr>
        <w:pStyle w:val="48"/>
        <w:numPr>
          <w:ilvl w:val="2"/>
          <w:numId w:val="78"/>
        </w:numPr>
        <w:spacing w:line="360" w:lineRule="auto"/>
        <w:ind w:left="240" w:leftChars="100" w:right="-180" w:rightChars="-75" w:firstLine="489" w:firstLineChars="204"/>
        <w:rPr>
          <w:rFonts w:ascii="宋体" w:hAnsi="宋体" w:eastAsia="宋体" w:cs="宋体"/>
          <w:sz w:val="24"/>
          <w:szCs w:val="24"/>
          <w:highlight w:val="none"/>
        </w:rPr>
      </w:pPr>
      <w:r>
        <w:rPr>
          <w:rFonts w:hint="eastAsia" w:ascii="宋体" w:hAnsi="宋体" w:eastAsia="宋体" w:cs="宋体"/>
          <w:sz w:val="24"/>
          <w:szCs w:val="24"/>
          <w:highlight w:val="none"/>
        </w:rPr>
        <w:t>访问人数：支持100人同时访问系统，系统运行流畅不卡顿；</w:t>
      </w:r>
    </w:p>
    <w:p>
      <w:pPr>
        <w:pStyle w:val="48"/>
        <w:numPr>
          <w:ilvl w:val="2"/>
          <w:numId w:val="78"/>
        </w:numPr>
        <w:spacing w:line="360" w:lineRule="auto"/>
        <w:ind w:left="240" w:leftChars="100" w:right="-180" w:rightChars="-75" w:firstLine="489" w:firstLineChars="204"/>
        <w:rPr>
          <w:rFonts w:ascii="宋体" w:hAnsi="宋体" w:eastAsia="宋体" w:cs="宋体"/>
          <w:sz w:val="24"/>
          <w:szCs w:val="24"/>
          <w:highlight w:val="none"/>
        </w:rPr>
      </w:pPr>
      <w:r>
        <w:rPr>
          <w:rFonts w:hint="eastAsia" w:ascii="宋体" w:hAnsi="宋体" w:eastAsia="宋体" w:cs="宋体"/>
          <w:sz w:val="24"/>
          <w:szCs w:val="24"/>
          <w:highlight w:val="none"/>
        </w:rPr>
        <w:t>平台管理服务器存储的日志、报警信息、测点历史数据等数据均要保存，保存时间应不小于3年；</w:t>
      </w:r>
    </w:p>
    <w:p>
      <w:pPr>
        <w:pStyle w:val="48"/>
        <w:numPr>
          <w:ilvl w:val="2"/>
          <w:numId w:val="78"/>
        </w:numPr>
        <w:spacing w:line="360" w:lineRule="auto"/>
        <w:ind w:left="240" w:leftChars="100" w:right="-180" w:rightChars="-75" w:firstLine="489" w:firstLineChars="204"/>
        <w:rPr>
          <w:rFonts w:ascii="宋体" w:hAnsi="宋体" w:eastAsia="宋体" w:cs="宋体"/>
          <w:sz w:val="24"/>
          <w:szCs w:val="24"/>
          <w:highlight w:val="none"/>
        </w:rPr>
      </w:pPr>
      <w:r>
        <w:rPr>
          <w:rFonts w:hint="eastAsia" w:ascii="宋体" w:hAnsi="宋体" w:eastAsia="宋体" w:cs="宋体"/>
          <w:sz w:val="24"/>
          <w:szCs w:val="24"/>
          <w:highlight w:val="none"/>
        </w:rPr>
        <w:t>系统具备极高的可靠性和稳定性，可提供7X24小时不间断地连续服务，DCIM系统平均无故障时间(MTBF)大于20万小时，平均修复时间(MTTR)小于1小时，系统误报率小于0.1%；</w:t>
      </w:r>
    </w:p>
    <w:p>
      <w:pPr>
        <w:numPr>
          <w:ilvl w:val="255"/>
          <w:numId w:val="0"/>
        </w:numPr>
        <w:spacing w:after="0" w:line="360" w:lineRule="auto"/>
        <w:ind w:left="240" w:leftChars="100" w:right="-180" w:rightChars="-75" w:firstLine="489" w:firstLineChars="204"/>
        <w:rPr>
          <w:color w:val="auto"/>
          <w:szCs w:val="24"/>
          <w:highlight w:val="none"/>
        </w:rPr>
      </w:pPr>
      <w:r>
        <w:rPr>
          <w:rFonts w:hint="eastAsia"/>
          <w:szCs w:val="24"/>
          <w:highlight w:val="none"/>
        </w:rPr>
        <w:t>系统能够自动检测各监控模块故障、传感器故障以及各智能设备与监控系统之间、各监控子系统之间的通讯是否正常，一旦发现通讯故障</w:t>
      </w:r>
      <w:r>
        <w:rPr>
          <w:szCs w:val="24"/>
          <w:highlight w:val="none"/>
        </w:rPr>
        <w:t>(</w:t>
      </w:r>
      <w:r>
        <w:rPr>
          <w:rFonts w:hint="eastAsia"/>
          <w:szCs w:val="24"/>
          <w:highlight w:val="none"/>
        </w:rPr>
        <w:t>包括系统本身的硬件故障</w:t>
      </w:r>
      <w:r>
        <w:rPr>
          <w:szCs w:val="24"/>
          <w:highlight w:val="none"/>
        </w:rPr>
        <w:t>)</w:t>
      </w:r>
      <w:r>
        <w:rPr>
          <w:rFonts w:hint="eastAsia"/>
          <w:szCs w:val="24"/>
          <w:highlight w:val="none"/>
        </w:rPr>
        <w:t>，系统能在第一时间发出报警信息。</w:t>
      </w:r>
    </w:p>
    <w:p>
      <w:pPr>
        <w:pStyle w:val="6"/>
        <w:ind w:left="480"/>
        <w:rPr>
          <w:color w:val="auto"/>
          <w:sz w:val="24"/>
          <w:szCs w:val="24"/>
          <w:highlight w:val="none"/>
        </w:rPr>
      </w:pPr>
      <w:r>
        <w:rPr>
          <w:rFonts w:hint="eastAsia"/>
          <w:color w:val="auto"/>
          <w:sz w:val="24"/>
          <w:szCs w:val="24"/>
          <w:highlight w:val="none"/>
        </w:rPr>
        <w:t>3.系统架构要求</w:t>
      </w:r>
    </w:p>
    <w:p>
      <w:pPr>
        <w:autoSpaceDE w:val="0"/>
        <w:autoSpaceDN w:val="0"/>
        <w:spacing w:line="360" w:lineRule="auto"/>
        <w:ind w:left="240" w:right="-180" w:rightChars="-75" w:firstLine="306"/>
        <w:textAlignment w:val="bottom"/>
        <w:rPr>
          <w:szCs w:val="24"/>
          <w:highlight w:val="none"/>
        </w:rPr>
      </w:pPr>
      <w:bookmarkStart w:id="177" w:name="_Hlk89851960"/>
      <w:r>
        <w:rPr>
          <w:rFonts w:hint="eastAsia"/>
          <w:szCs w:val="24"/>
          <w:highlight w:val="none"/>
        </w:rPr>
        <w:t>系统部署架构分三层架构：基础设施层、采集传输层、应用管理层；</w:t>
      </w:r>
    </w:p>
    <w:p>
      <w:pPr>
        <w:autoSpaceDE w:val="0"/>
        <w:autoSpaceDN w:val="0"/>
        <w:spacing w:line="360" w:lineRule="auto"/>
        <w:ind w:left="240" w:right="-180" w:rightChars="-75" w:firstLine="306"/>
        <w:textAlignment w:val="bottom"/>
        <w:rPr>
          <w:szCs w:val="24"/>
          <w:highlight w:val="none"/>
        </w:rPr>
      </w:pPr>
      <w:r>
        <w:rPr>
          <w:rFonts w:hint="eastAsia"/>
          <w:szCs w:val="24"/>
          <w:highlight w:val="none"/>
        </w:rPr>
        <w:t>基础设施层：主要是由前端各智能设备、I/O采集模块、传感器、控制器等组成，要求能够支持如Modbus和SNMP等常用标准通讯接口协议。</w:t>
      </w:r>
    </w:p>
    <w:p>
      <w:pPr>
        <w:autoSpaceDE w:val="0"/>
        <w:autoSpaceDN w:val="0"/>
        <w:spacing w:line="360" w:lineRule="auto"/>
        <w:ind w:left="240" w:right="-180" w:rightChars="-75" w:firstLine="306"/>
        <w:textAlignment w:val="bottom"/>
        <w:rPr>
          <w:szCs w:val="24"/>
          <w:highlight w:val="none"/>
        </w:rPr>
      </w:pPr>
      <w:r>
        <w:rPr>
          <w:rFonts w:hint="eastAsia"/>
          <w:szCs w:val="24"/>
          <w:highlight w:val="none"/>
        </w:rPr>
        <w:t xml:space="preserve">采集传输层：由数据采集器、交换机、路由器及传输线缆组成。将前端设备层的各种信号数据转换成TCP/IP方式并通过局域网络远程上传至应用管理层。 </w:t>
      </w:r>
    </w:p>
    <w:p>
      <w:pPr>
        <w:spacing w:line="360" w:lineRule="auto"/>
        <w:ind w:left="240" w:right="-180" w:rightChars="-75" w:firstLine="306"/>
        <w:rPr>
          <w:szCs w:val="24"/>
          <w:highlight w:val="none"/>
        </w:rPr>
      </w:pPr>
      <w:r>
        <w:rPr>
          <w:rFonts w:hint="eastAsia"/>
          <w:szCs w:val="24"/>
          <w:highlight w:val="none"/>
        </w:rPr>
        <w:t>应用管理层:由服务器、管理终端、显示终端、报警设备和管理软件组成。提供逻辑处理分析、数据存储和应用服务功能，实时接收传输层上传来的数据及告警信息，经过相应的逻辑处理分析后存储数据，并提供向上的应用服务供客户端使用，实现数据存储、记录告警事件，并以各种不同的方式输出告警。同时可生成各种报表、人机界面展示，实现日志功能及权限管理等功能。</w:t>
      </w:r>
      <w:bookmarkEnd w:id="177"/>
    </w:p>
    <w:p>
      <w:pPr>
        <w:pStyle w:val="6"/>
        <w:ind w:left="480"/>
        <w:rPr>
          <w:color w:val="auto"/>
          <w:sz w:val="24"/>
          <w:szCs w:val="24"/>
          <w:highlight w:val="none"/>
        </w:rPr>
      </w:pPr>
      <w:r>
        <w:rPr>
          <w:rFonts w:hint="eastAsia"/>
          <w:color w:val="auto"/>
          <w:sz w:val="24"/>
          <w:szCs w:val="24"/>
          <w:highlight w:val="none"/>
        </w:rPr>
        <w:t>4.系统监控内容要求</w:t>
      </w:r>
    </w:p>
    <w:p>
      <w:pPr>
        <w:spacing w:line="360" w:lineRule="auto"/>
        <w:ind w:left="240" w:leftChars="100" w:right="-180" w:rightChars="-75" w:firstLine="422" w:firstLineChars="175"/>
        <w:rPr>
          <w:szCs w:val="24"/>
          <w:highlight w:val="none"/>
        </w:rPr>
      </w:pPr>
      <w:r>
        <w:rPr>
          <w:rFonts w:hint="eastAsia"/>
          <w:b/>
          <w:bCs/>
          <w:szCs w:val="24"/>
          <w:highlight w:val="none"/>
        </w:rPr>
        <w:t>低压配电柜：</w:t>
      </w:r>
      <w:r>
        <w:rPr>
          <w:rFonts w:hint="eastAsia"/>
          <w:szCs w:val="24"/>
          <w:highlight w:val="none"/>
        </w:rPr>
        <w:t>监测配电柜三相及各相电压、电流、有功功率、无功功率、频率、功率因数、视在功率、有功电度、无功电度等电量参数。</w:t>
      </w:r>
    </w:p>
    <w:p>
      <w:pPr>
        <w:spacing w:line="360" w:lineRule="auto"/>
        <w:ind w:left="240" w:leftChars="100" w:right="-180" w:rightChars="-75" w:firstLine="422" w:firstLineChars="175"/>
        <w:rPr>
          <w:szCs w:val="24"/>
          <w:highlight w:val="none"/>
        </w:rPr>
      </w:pPr>
      <w:r>
        <w:rPr>
          <w:rFonts w:hint="eastAsia"/>
          <w:b/>
          <w:bCs/>
          <w:szCs w:val="24"/>
          <w:highlight w:val="none"/>
        </w:rPr>
        <w:t>配电开关：</w:t>
      </w:r>
      <w:r>
        <w:rPr>
          <w:rFonts w:hint="eastAsia"/>
          <w:szCs w:val="24"/>
          <w:highlight w:val="none"/>
        </w:rPr>
        <w:t>配电开关状态。</w:t>
      </w:r>
    </w:p>
    <w:p>
      <w:pPr>
        <w:spacing w:line="360" w:lineRule="auto"/>
        <w:ind w:left="240" w:leftChars="100" w:right="-180" w:rightChars="-75" w:firstLine="422" w:firstLineChars="175"/>
        <w:rPr>
          <w:szCs w:val="24"/>
          <w:highlight w:val="none"/>
        </w:rPr>
      </w:pPr>
      <w:r>
        <w:rPr>
          <w:rFonts w:hint="eastAsia"/>
          <w:b/>
          <w:bCs/>
          <w:szCs w:val="24"/>
          <w:highlight w:val="none"/>
        </w:rPr>
        <w:t>列头柜：</w:t>
      </w:r>
      <w:r>
        <w:rPr>
          <w:rFonts w:hint="eastAsia"/>
          <w:szCs w:val="24"/>
          <w:highlight w:val="none"/>
        </w:rPr>
        <w:t>监测列头柜主进线三相电的相电压、线电压、相电流、频率、功率（有功功率和无功功率）、功率因数、电度、三相不平衡度、零地电压、谐波含量以及各支路电压、电流、功率、电度等列头柜协议提供的所有参数。</w:t>
      </w:r>
    </w:p>
    <w:p>
      <w:pPr>
        <w:spacing w:line="360" w:lineRule="auto"/>
        <w:ind w:left="240" w:leftChars="100" w:right="-180" w:rightChars="-75" w:firstLine="422" w:firstLineChars="175"/>
        <w:rPr>
          <w:szCs w:val="24"/>
          <w:highlight w:val="none"/>
        </w:rPr>
      </w:pPr>
      <w:r>
        <w:rPr>
          <w:rFonts w:hint="eastAsia"/>
          <w:b/>
          <w:bCs/>
          <w:szCs w:val="24"/>
          <w:highlight w:val="none"/>
        </w:rPr>
        <w:t>UPS主机：</w:t>
      </w:r>
      <w:r>
        <w:rPr>
          <w:rFonts w:hint="eastAsia"/>
          <w:szCs w:val="24"/>
          <w:highlight w:val="none"/>
        </w:rPr>
        <w:t>监测列头柜主进线三相电的相电压、线电压、相电流、频率、功率（有功功率和无功功率）、功率因数、电度、三相不平衡度、零地电压、谐波含量以及各支路电压、电流、功率、电度等列头柜协议提供的所有参数。</w:t>
      </w:r>
    </w:p>
    <w:p>
      <w:pPr>
        <w:spacing w:line="360" w:lineRule="auto"/>
        <w:ind w:left="240" w:leftChars="100" w:right="-180" w:rightChars="-75" w:firstLine="422" w:firstLineChars="175"/>
        <w:rPr>
          <w:szCs w:val="24"/>
          <w:highlight w:val="none"/>
        </w:rPr>
      </w:pPr>
      <w:r>
        <w:rPr>
          <w:rFonts w:hint="eastAsia"/>
          <w:b/>
          <w:bCs/>
          <w:szCs w:val="24"/>
          <w:highlight w:val="none"/>
        </w:rPr>
        <w:t>蓄电池组：</w:t>
      </w:r>
      <w:r>
        <w:rPr>
          <w:rFonts w:hint="eastAsia"/>
          <w:szCs w:val="24"/>
          <w:highlight w:val="none"/>
        </w:rPr>
        <w:t>监测每组电池的单体电压、单体温度、单体内阻、电池组总电压、以及充／放电电流等参数。</w:t>
      </w:r>
    </w:p>
    <w:p>
      <w:pPr>
        <w:spacing w:line="360" w:lineRule="auto"/>
        <w:ind w:left="240" w:leftChars="100" w:right="-180" w:rightChars="-75" w:firstLine="422" w:firstLineChars="175"/>
        <w:rPr>
          <w:szCs w:val="24"/>
          <w:highlight w:val="none"/>
        </w:rPr>
      </w:pPr>
      <w:r>
        <w:rPr>
          <w:rFonts w:hint="eastAsia"/>
          <w:b/>
          <w:bCs/>
          <w:szCs w:val="24"/>
          <w:highlight w:val="none"/>
        </w:rPr>
        <w:t>智能PDU：</w:t>
      </w:r>
      <w:r>
        <w:rPr>
          <w:rFonts w:hint="eastAsia"/>
          <w:szCs w:val="24"/>
          <w:highlight w:val="none"/>
        </w:rPr>
        <w:t>PDU的总输入电压、电流参数等</w:t>
      </w:r>
    </w:p>
    <w:p>
      <w:pPr>
        <w:spacing w:line="360" w:lineRule="auto"/>
        <w:ind w:left="240" w:leftChars="100" w:right="-180" w:rightChars="-75" w:firstLine="422" w:firstLineChars="175"/>
        <w:rPr>
          <w:szCs w:val="24"/>
          <w:highlight w:val="none"/>
        </w:rPr>
      </w:pPr>
      <w:r>
        <w:rPr>
          <w:rFonts w:hint="eastAsia"/>
          <w:b/>
          <w:bCs/>
          <w:szCs w:val="24"/>
          <w:highlight w:val="none"/>
        </w:rPr>
        <w:t>精密空调：</w:t>
      </w:r>
      <w:r>
        <w:rPr>
          <w:rFonts w:hint="eastAsia"/>
          <w:szCs w:val="24"/>
          <w:highlight w:val="none"/>
        </w:rPr>
        <w:t>监测精密空调回风温、湿度，风机状态、压缩机状态、加湿器状态、抽湿器状态等精密空调协议提供的所有参数。</w:t>
      </w:r>
    </w:p>
    <w:p>
      <w:pPr>
        <w:spacing w:line="360" w:lineRule="auto"/>
        <w:ind w:left="240" w:leftChars="100" w:right="-180" w:rightChars="-75" w:firstLine="422" w:firstLineChars="175"/>
        <w:rPr>
          <w:szCs w:val="24"/>
          <w:highlight w:val="none"/>
        </w:rPr>
      </w:pPr>
      <w:r>
        <w:rPr>
          <w:rFonts w:hint="eastAsia"/>
          <w:b/>
          <w:bCs/>
          <w:szCs w:val="24"/>
          <w:highlight w:val="none"/>
        </w:rPr>
        <w:t>温湿度：</w:t>
      </w:r>
      <w:r>
        <w:rPr>
          <w:rFonts w:hint="eastAsia"/>
          <w:szCs w:val="24"/>
          <w:highlight w:val="none"/>
        </w:rPr>
        <w:t>监测机房的实时温度和湿度</w:t>
      </w:r>
    </w:p>
    <w:p>
      <w:pPr>
        <w:spacing w:line="360" w:lineRule="auto"/>
        <w:ind w:left="240" w:leftChars="100" w:right="-180" w:rightChars="-75" w:firstLine="422" w:firstLineChars="175"/>
        <w:rPr>
          <w:szCs w:val="24"/>
          <w:highlight w:val="none"/>
        </w:rPr>
      </w:pPr>
      <w:r>
        <w:rPr>
          <w:rFonts w:hint="eastAsia"/>
          <w:b/>
          <w:bCs/>
          <w:szCs w:val="24"/>
          <w:highlight w:val="none"/>
        </w:rPr>
        <w:t>漏水：</w:t>
      </w:r>
      <w:r>
        <w:rPr>
          <w:rFonts w:hint="eastAsia"/>
          <w:szCs w:val="24"/>
          <w:highlight w:val="none"/>
        </w:rPr>
        <w:t>在空调周围及其它可能发生漏水的位置铺设绳式漏水检测设备，结合漏水控制器监测机房水浸情况，并能定位漏水的具体位置。</w:t>
      </w:r>
    </w:p>
    <w:p>
      <w:pPr>
        <w:spacing w:line="360" w:lineRule="auto"/>
        <w:ind w:left="240" w:leftChars="100" w:right="-180" w:rightChars="-75" w:firstLine="422" w:firstLineChars="175"/>
        <w:rPr>
          <w:szCs w:val="24"/>
          <w:highlight w:val="none"/>
        </w:rPr>
      </w:pPr>
      <w:r>
        <w:rPr>
          <w:rFonts w:hint="eastAsia"/>
          <w:b/>
          <w:bCs/>
          <w:szCs w:val="24"/>
          <w:highlight w:val="none"/>
        </w:rPr>
        <w:t>空气质量：</w:t>
      </w:r>
      <w:r>
        <w:rPr>
          <w:rFonts w:hint="eastAsia"/>
          <w:szCs w:val="24"/>
          <w:highlight w:val="none"/>
        </w:rPr>
        <w:t>在机房的各个重要位置（含冷通道内），需要装设温湿度、尘浓度、压差等检测模块，记录参数供管理人员查询。一旦参数超出范围，即刻启动报警，提醒管理人员及时调整空调的工作设置值或调整机房内的设备分布情况。</w:t>
      </w:r>
    </w:p>
    <w:p>
      <w:pPr>
        <w:spacing w:line="360" w:lineRule="auto"/>
        <w:ind w:left="240" w:leftChars="100" w:right="-180" w:rightChars="-75" w:firstLine="422" w:firstLineChars="175"/>
        <w:rPr>
          <w:szCs w:val="24"/>
          <w:highlight w:val="none"/>
        </w:rPr>
      </w:pPr>
      <w:r>
        <w:rPr>
          <w:rFonts w:hint="eastAsia"/>
          <w:b/>
          <w:bCs/>
          <w:szCs w:val="24"/>
          <w:highlight w:val="none"/>
        </w:rPr>
        <w:t>温度云</w:t>
      </w:r>
      <w:r>
        <w:rPr>
          <w:rFonts w:hint="eastAsia"/>
          <w:szCs w:val="24"/>
          <w:highlight w:val="none"/>
        </w:rPr>
        <w:t>：在重要机房区域内的每个服务器机柜内按前后上、中、下分层安装机柜型温度传感器，监测机柜上、中、下部分的送风温度和回风温度，了解温升状况并通过模拟计算生成机房的温度云图。</w:t>
      </w:r>
    </w:p>
    <w:p>
      <w:pPr>
        <w:spacing w:line="360" w:lineRule="auto"/>
        <w:ind w:left="240" w:leftChars="100" w:right="-180" w:rightChars="-75" w:firstLine="422" w:firstLineChars="175"/>
        <w:rPr>
          <w:szCs w:val="24"/>
          <w:highlight w:val="none"/>
        </w:rPr>
      </w:pPr>
      <w:r>
        <w:rPr>
          <w:rFonts w:hint="eastAsia"/>
          <w:b/>
          <w:bCs/>
          <w:szCs w:val="24"/>
          <w:highlight w:val="none"/>
        </w:rPr>
        <w:t>红外入侵系统：</w:t>
      </w:r>
      <w:r>
        <w:rPr>
          <w:rFonts w:hint="eastAsia"/>
          <w:szCs w:val="24"/>
          <w:highlight w:val="none"/>
        </w:rPr>
        <w:t>红外探测器内置微电脑控制，故障自检，能防止漏报误报，输出脉冲电平信号、继电器开关或者开和关信号。当有人非法进入布防区域，管理中心会发出报警。可通过网络、固定电话、手机等途径将报警信息及时通知相关人员。</w:t>
      </w:r>
    </w:p>
    <w:p>
      <w:pPr>
        <w:spacing w:line="360" w:lineRule="auto"/>
        <w:ind w:left="240" w:leftChars="100" w:right="-180" w:rightChars="-75" w:firstLine="422" w:firstLineChars="175"/>
        <w:rPr>
          <w:szCs w:val="24"/>
          <w:highlight w:val="none"/>
        </w:rPr>
      </w:pPr>
      <w:r>
        <w:rPr>
          <w:rFonts w:hint="eastAsia"/>
          <w:b/>
          <w:bCs/>
          <w:szCs w:val="24"/>
          <w:highlight w:val="none"/>
        </w:rPr>
        <w:t>消防系统：</w:t>
      </w:r>
      <w:r>
        <w:rPr>
          <w:rFonts w:hint="eastAsia"/>
          <w:szCs w:val="24"/>
          <w:highlight w:val="none"/>
        </w:rPr>
        <w:t>监控消防告警主机告警信号，联动告警信息</w:t>
      </w:r>
    </w:p>
    <w:p>
      <w:pPr>
        <w:spacing w:line="360" w:lineRule="auto"/>
        <w:ind w:left="240" w:leftChars="100" w:right="-180" w:rightChars="-75" w:firstLine="422" w:firstLineChars="175"/>
        <w:rPr>
          <w:szCs w:val="24"/>
          <w:highlight w:val="none"/>
        </w:rPr>
      </w:pPr>
      <w:r>
        <w:rPr>
          <w:rFonts w:hint="eastAsia"/>
          <w:b/>
          <w:bCs/>
          <w:color w:val="auto"/>
          <w:szCs w:val="24"/>
          <w:highlight w:val="none"/>
        </w:rPr>
        <w:t>新风系统检测</w:t>
      </w:r>
      <w:r>
        <w:rPr>
          <w:rFonts w:hint="eastAsia"/>
          <w:color w:val="auto"/>
          <w:szCs w:val="24"/>
          <w:highlight w:val="none"/>
        </w:rPr>
        <w:t>：包括运行状态、滤网压差、手自动、故障报警、启停等</w:t>
      </w:r>
    </w:p>
    <w:p>
      <w:pPr>
        <w:spacing w:line="360" w:lineRule="auto"/>
        <w:ind w:left="240" w:leftChars="100" w:right="-180" w:rightChars="-75" w:firstLine="422" w:firstLineChars="175"/>
        <w:rPr>
          <w:szCs w:val="24"/>
          <w:highlight w:val="none"/>
        </w:rPr>
      </w:pPr>
      <w:r>
        <w:rPr>
          <w:rFonts w:hint="eastAsia"/>
          <w:b/>
          <w:bCs/>
          <w:color w:val="auto"/>
          <w:szCs w:val="24"/>
          <w:highlight w:val="none"/>
        </w:rPr>
        <w:t>视频监控：</w:t>
      </w:r>
      <w:r>
        <w:rPr>
          <w:rFonts w:hint="eastAsia"/>
          <w:szCs w:val="24"/>
          <w:highlight w:val="none"/>
        </w:rPr>
        <w:t>采用高清摄像机，摄像无死角，视频内容清晰，可远程监控，按1080P格式保存，存储时间大于等于180天。NVR支持RAID0/1/5/6/10/50/60阵列存储；支持硬盘热插拔；支持N+1热备。视频监控使用独立一套设备，由业主信息科部门直接管理，不与大楼共用。</w:t>
      </w:r>
    </w:p>
    <w:p>
      <w:pPr>
        <w:spacing w:line="360" w:lineRule="auto"/>
        <w:ind w:left="240" w:leftChars="100" w:right="-180" w:rightChars="-75" w:firstLine="422" w:firstLineChars="175"/>
        <w:rPr>
          <w:szCs w:val="24"/>
          <w:highlight w:val="none"/>
        </w:rPr>
      </w:pPr>
      <w:r>
        <w:rPr>
          <w:rFonts w:hint="eastAsia"/>
          <w:b/>
          <w:bCs/>
          <w:color w:val="auto"/>
          <w:szCs w:val="24"/>
          <w:highlight w:val="none"/>
        </w:rPr>
        <w:t>门禁系统：</w:t>
      </w:r>
      <w:r>
        <w:rPr>
          <w:rFonts w:hint="eastAsia"/>
          <w:szCs w:val="24"/>
          <w:highlight w:val="none"/>
        </w:rPr>
        <w:t>在机房设置门禁系统 ，需通过刷卡开门，支持人脸识别开门，支持双因子认证，远程开门，门禁同时需支持医院现有机房门禁系统。微模块的门禁硬件使用动环系统的门禁读卡系统，机房门禁采取独立系统，硬件品牌与大楼品牌一致，但不接入大楼门禁系统。接入动环监控系统。</w:t>
      </w:r>
    </w:p>
    <w:p>
      <w:pPr>
        <w:pStyle w:val="6"/>
        <w:ind w:left="1134" w:right="-180" w:rightChars="-75" w:hanging="708"/>
        <w:rPr>
          <w:color w:val="auto"/>
          <w:sz w:val="24"/>
          <w:szCs w:val="24"/>
          <w:highlight w:val="none"/>
        </w:rPr>
      </w:pPr>
      <w:r>
        <w:rPr>
          <w:color w:val="auto"/>
          <w:sz w:val="24"/>
          <w:szCs w:val="24"/>
          <w:highlight w:val="none"/>
        </w:rPr>
        <w:t>2</w:t>
      </w:r>
      <w:r>
        <w:rPr>
          <w:rFonts w:hint="eastAsia"/>
          <w:color w:val="auto"/>
          <w:sz w:val="24"/>
          <w:szCs w:val="24"/>
          <w:highlight w:val="none"/>
        </w:rPr>
        <w:t>.系统平台功能要求</w:t>
      </w:r>
    </w:p>
    <w:p>
      <w:pPr>
        <w:pStyle w:val="7"/>
        <w:ind w:left="1134" w:right="-180" w:rightChars="-75" w:hanging="708"/>
        <w:rPr>
          <w:rFonts w:ascii="宋体" w:hAnsi="宋体" w:eastAsia="宋体" w:cs="宋体"/>
          <w:highlight w:val="none"/>
        </w:rPr>
      </w:pPr>
      <w:r>
        <w:rPr>
          <w:rFonts w:hint="eastAsia" w:ascii="宋体" w:hAnsi="宋体" w:eastAsia="宋体" w:cs="宋体"/>
          <w:highlight w:val="none"/>
        </w:rPr>
        <w:t>1）界面管理要求</w:t>
      </w:r>
    </w:p>
    <w:p>
      <w:pPr>
        <w:spacing w:line="360" w:lineRule="auto"/>
        <w:ind w:left="240" w:right="-180" w:rightChars="-75" w:firstLine="480"/>
        <w:rPr>
          <w:bCs/>
          <w:szCs w:val="24"/>
          <w:highlight w:val="none"/>
        </w:rPr>
      </w:pPr>
      <w:r>
        <w:rPr>
          <w:rFonts w:hint="eastAsia"/>
          <w:bCs/>
          <w:szCs w:val="24"/>
          <w:highlight w:val="none"/>
        </w:rPr>
        <w:t>系统应采用全中文界面，支持图形化设计和电子地图功能，界面结构、层次清晰明了，页面风格简洁，能够实时直观地显示设备的运行数据和运行状态，场景仿真。系统应采用B/S架构，无需任何插件，可直接通过WEB浏览器进行访问系统。</w:t>
      </w:r>
    </w:p>
    <w:p>
      <w:pPr>
        <w:spacing w:line="360" w:lineRule="auto"/>
        <w:ind w:left="240" w:right="-180" w:rightChars="-75" w:firstLine="480"/>
        <w:rPr>
          <w:bCs/>
          <w:szCs w:val="24"/>
          <w:highlight w:val="none"/>
        </w:rPr>
      </w:pPr>
      <w:r>
        <w:rPr>
          <w:rFonts w:hint="eastAsia"/>
          <w:bCs/>
          <w:szCs w:val="24"/>
          <w:highlight w:val="none"/>
        </w:rPr>
        <w:t>系统应支持多种语言版本，包含但不限于中文、英文等，可支持语言的快速切换，同时亦可根据需求进行语言版本扩展。</w:t>
      </w:r>
    </w:p>
    <w:p>
      <w:pPr>
        <w:pStyle w:val="7"/>
        <w:ind w:left="1134" w:right="-180" w:rightChars="-75" w:hanging="708"/>
        <w:rPr>
          <w:rFonts w:ascii="宋体" w:hAnsi="宋体" w:eastAsia="宋体" w:cs="宋体"/>
          <w:highlight w:val="none"/>
        </w:rPr>
      </w:pPr>
      <w:r>
        <w:rPr>
          <w:rFonts w:hint="eastAsia" w:ascii="宋体" w:hAnsi="宋体" w:eastAsia="宋体" w:cs="宋体"/>
          <w:highlight w:val="none"/>
        </w:rPr>
        <w:t>2）数据管理要求</w:t>
      </w:r>
    </w:p>
    <w:p>
      <w:pPr>
        <w:spacing w:line="360" w:lineRule="auto"/>
        <w:ind w:left="240" w:right="-180" w:rightChars="-75" w:firstLine="480"/>
        <w:rPr>
          <w:szCs w:val="24"/>
          <w:highlight w:val="none"/>
        </w:rPr>
      </w:pPr>
      <w:r>
        <w:rPr>
          <w:rFonts w:hint="eastAsia"/>
          <w:szCs w:val="24"/>
          <w:highlight w:val="none"/>
        </w:rPr>
        <w:t>实现对实时数据：系统能够监控到指定设备的实时状态信息，需支持实时查询，需支持自定义采样频率，历史数据：平台须能自动保存历史数据，保存时间不少于3年，可支持历史数据的定期清理，支持历史数据的导出备份。数据统计：系统能通过各种运算规则（包括但不限于算术运算、关系运算、逻辑运算、条件运算等）提供运维管理所需的数据信息，如数据中心PUE值。同时支持用户自定义统计参数，并可扩充计算方法。系统支持各种关键数据的提取，包括但不限于最大值、最小值、平均值等。数据曲线：系统需提供测点级实时数据曲线，根据业务需要选择测点生成曲线，需支持按需选择曲线时间跨度，并可以甄选某段曲线进行放大缩小，展示更精细颗粒度的信息内容。不同的数据曲线采用不同的颜色进行区分，便于用户进行查看和分析。同时，系统需支持数据曲线的导出功能。</w:t>
      </w:r>
    </w:p>
    <w:p>
      <w:pPr>
        <w:pStyle w:val="7"/>
        <w:ind w:left="1134" w:right="-180" w:rightChars="-75" w:hanging="708"/>
        <w:rPr>
          <w:rFonts w:ascii="宋体" w:hAnsi="宋体" w:eastAsia="宋体" w:cs="宋体"/>
          <w:highlight w:val="none"/>
        </w:rPr>
      </w:pPr>
      <w:r>
        <w:rPr>
          <w:rFonts w:hint="eastAsia" w:ascii="宋体" w:hAnsi="宋体" w:eastAsia="宋体" w:cs="宋体"/>
          <w:highlight w:val="none"/>
        </w:rPr>
        <w:t>3）数据管理要求</w:t>
      </w:r>
    </w:p>
    <w:p>
      <w:pPr>
        <w:spacing w:line="360" w:lineRule="auto"/>
        <w:ind w:left="240" w:right="-180" w:rightChars="-75" w:firstLine="466"/>
        <w:rPr>
          <w:szCs w:val="24"/>
          <w:highlight w:val="none"/>
        </w:rPr>
      </w:pPr>
      <w:r>
        <w:rPr>
          <w:rFonts w:hint="eastAsia"/>
          <w:szCs w:val="24"/>
          <w:highlight w:val="none"/>
        </w:rPr>
        <w:t>实现对实时数据：系统能够监控到指定设备的实时状态信息，需支持实时查询，需支持自定义采样频率，历史数据：平台须能自动保存历史数据，保存时间不少于3年，可支持历史数据的定期清理，支持历史数据的导出备份。数据统计：系统能通过各种运算规则（包括但不限于算术运算、关系运算、逻辑运算、条件运算等）提供运维管理所需的数据信息，如数据中心PUE值。同时支持用户自定义统计参数，并可扩充计算方法。系统支持各种关键数据的提取，包括但不限于最大值、最小值、平均值等。数据曲线：系统需提供测点级实时数据曲线，根据业务需要选择测点生成曲线，需支持按需选择曲线时间跨度，并可以甄选某段曲线进行放大缩小，展示更精细颗粒度的信息内容。不同的数据曲线采用不同的颜色进行区分，便于用户进行查看和分析。同时，系统需支持数据曲线的导出功能。</w:t>
      </w:r>
    </w:p>
    <w:p>
      <w:pPr>
        <w:pStyle w:val="7"/>
        <w:ind w:left="1134" w:right="-180" w:rightChars="-75" w:hanging="708"/>
        <w:rPr>
          <w:rFonts w:ascii="宋体" w:hAnsi="宋体" w:eastAsia="宋体" w:cs="宋体"/>
          <w:highlight w:val="none"/>
        </w:rPr>
      </w:pPr>
      <w:r>
        <w:rPr>
          <w:rFonts w:hint="eastAsia" w:ascii="宋体" w:hAnsi="宋体" w:eastAsia="宋体" w:cs="宋体"/>
          <w:highlight w:val="none"/>
        </w:rPr>
        <w:t>4）配置管理功能</w:t>
      </w:r>
    </w:p>
    <w:p>
      <w:pPr>
        <w:spacing w:line="360" w:lineRule="auto"/>
        <w:ind w:left="240" w:right="-180" w:rightChars="-75" w:firstLine="466"/>
        <w:rPr>
          <w:szCs w:val="24"/>
          <w:highlight w:val="none"/>
        </w:rPr>
      </w:pPr>
      <w:r>
        <w:rPr>
          <w:rFonts w:hint="eastAsia"/>
          <w:szCs w:val="24"/>
          <w:highlight w:val="none"/>
        </w:rPr>
        <w:t>系统平台具备站点采集功能，支持不同类型和协议的设备和子系统的告警和数据接入，支持按站点连接关系分层展示和查询站点及其设备、测点的采集信息。提供系统所有站点的在线维护功能，支持自动生成站点连接关系树，可以直观展示站点连接状态。</w:t>
      </w:r>
    </w:p>
    <w:p>
      <w:pPr>
        <w:pStyle w:val="7"/>
        <w:ind w:left="1134" w:right="-180" w:rightChars="-75" w:hanging="708"/>
        <w:rPr>
          <w:rFonts w:ascii="宋体" w:hAnsi="宋体" w:eastAsia="宋体" w:cs="宋体"/>
          <w:highlight w:val="none"/>
        </w:rPr>
      </w:pPr>
      <w:r>
        <w:rPr>
          <w:rFonts w:hint="eastAsia" w:ascii="宋体" w:hAnsi="宋体" w:eastAsia="宋体" w:cs="宋体"/>
          <w:highlight w:val="none"/>
        </w:rPr>
        <w:t>5）权限管理要求</w:t>
      </w:r>
    </w:p>
    <w:p>
      <w:pPr>
        <w:spacing w:line="360" w:lineRule="auto"/>
        <w:ind w:left="240" w:right="-180" w:rightChars="-75" w:firstLine="466"/>
        <w:rPr>
          <w:szCs w:val="24"/>
          <w:highlight w:val="none"/>
        </w:rPr>
      </w:pPr>
      <w:r>
        <w:rPr>
          <w:rFonts w:hint="eastAsia"/>
          <w:szCs w:val="24"/>
          <w:highlight w:val="none"/>
        </w:rPr>
        <w:t>系统应具备灵活的权限管理功能，用户对系统进行操作，需要有权限登入系统，并且对系统中的功能有权限进行操作。系统支持进行用户统一管理，给用户配置角色和权限。用户类型支持永久和临时两类，临时用户需设置账户有效截止日期，超过有效日期时将不允许用户进行系统登录。</w:t>
      </w:r>
    </w:p>
    <w:p>
      <w:pPr>
        <w:spacing w:line="360" w:lineRule="auto"/>
        <w:ind w:left="240" w:right="-180" w:rightChars="-75" w:firstLine="466"/>
        <w:rPr>
          <w:szCs w:val="24"/>
          <w:highlight w:val="none"/>
        </w:rPr>
      </w:pPr>
      <w:r>
        <w:rPr>
          <w:rFonts w:hint="eastAsia"/>
          <w:szCs w:val="24"/>
          <w:highlight w:val="none"/>
        </w:rPr>
        <w:t>系统应可根据不同的用户提供多样化的管理权限，支持划分功能权限、数据权限、控制权限，权限可控制到页面按钮级别。支持配置用户群组，群组可设置菜单权限、监控区域权限、视频和门禁权限，实现用户多层多级权限管理，保证系统使用安全性。</w:t>
      </w:r>
    </w:p>
    <w:p>
      <w:pPr>
        <w:pStyle w:val="7"/>
        <w:ind w:left="1134" w:right="-180" w:rightChars="-75" w:hanging="708"/>
        <w:rPr>
          <w:rFonts w:ascii="宋体" w:hAnsi="宋体" w:eastAsia="宋体" w:cs="宋体"/>
          <w:highlight w:val="none"/>
        </w:rPr>
      </w:pPr>
      <w:r>
        <w:rPr>
          <w:rFonts w:hint="eastAsia" w:ascii="宋体" w:hAnsi="宋体" w:eastAsia="宋体" w:cs="宋体"/>
          <w:highlight w:val="none"/>
        </w:rPr>
        <w:t>6）报表管理要求</w:t>
      </w:r>
    </w:p>
    <w:p>
      <w:pPr>
        <w:spacing w:line="360" w:lineRule="auto"/>
        <w:ind w:left="240" w:right="-180" w:rightChars="-75" w:firstLine="466"/>
        <w:rPr>
          <w:szCs w:val="24"/>
          <w:highlight w:val="none"/>
        </w:rPr>
      </w:pPr>
      <w:r>
        <w:rPr>
          <w:rFonts w:hint="eastAsia"/>
          <w:szCs w:val="24"/>
          <w:highlight w:val="none"/>
        </w:rPr>
        <w:t>系统应提供报表统一管理门户，可将多个子功能模块的报表内容进行集中管理，内置丰富的报表模板，支持报表模板的灵活自定义，并提供快捷查询、预览、导出等操作功能。</w:t>
      </w:r>
    </w:p>
    <w:p>
      <w:pPr>
        <w:pStyle w:val="7"/>
        <w:ind w:left="1134" w:right="-180" w:rightChars="-75" w:hanging="708"/>
        <w:rPr>
          <w:rFonts w:ascii="宋体" w:hAnsi="宋体" w:eastAsia="宋体" w:cs="宋体"/>
          <w:highlight w:val="none"/>
        </w:rPr>
      </w:pPr>
      <w:r>
        <w:rPr>
          <w:rFonts w:hint="eastAsia" w:ascii="宋体" w:hAnsi="宋体" w:eastAsia="宋体" w:cs="宋体"/>
          <w:highlight w:val="none"/>
        </w:rPr>
        <w:t>7）数据交互接口</w:t>
      </w:r>
    </w:p>
    <w:p>
      <w:pPr>
        <w:spacing w:line="360" w:lineRule="auto"/>
        <w:ind w:left="240" w:right="-180" w:rightChars="-75" w:firstLine="466"/>
        <w:rPr>
          <w:szCs w:val="24"/>
          <w:highlight w:val="none"/>
        </w:rPr>
      </w:pPr>
      <w:r>
        <w:rPr>
          <w:rFonts w:hint="eastAsia"/>
          <w:szCs w:val="24"/>
          <w:highlight w:val="none"/>
        </w:rPr>
        <w:t>系统应内置多种通讯协议及接口，支持南向接口和北向接口，可方便的接入和集成各种第三方子系统，完成各系统间的协议对接、协议转换、数据集成，实现监控系统与各子系统互联互通和数据交互。</w:t>
      </w:r>
    </w:p>
    <w:p>
      <w:pPr>
        <w:pStyle w:val="7"/>
        <w:ind w:left="1134" w:right="-180" w:rightChars="-75" w:hanging="708"/>
        <w:rPr>
          <w:rFonts w:ascii="宋体" w:hAnsi="宋体" w:eastAsia="宋体" w:cs="宋体"/>
          <w:highlight w:val="none"/>
        </w:rPr>
      </w:pPr>
      <w:r>
        <w:rPr>
          <w:rFonts w:hint="eastAsia" w:ascii="宋体" w:hAnsi="宋体" w:eastAsia="宋体" w:cs="宋体"/>
          <w:highlight w:val="none"/>
        </w:rPr>
        <w:t>8）安全管理要求</w:t>
      </w:r>
    </w:p>
    <w:p>
      <w:pPr>
        <w:spacing w:line="360" w:lineRule="auto"/>
        <w:ind w:left="240" w:right="-180" w:rightChars="-75" w:firstLine="420" w:firstLineChars="175"/>
        <w:rPr>
          <w:szCs w:val="24"/>
          <w:highlight w:val="none"/>
        </w:rPr>
      </w:pPr>
      <w:r>
        <w:rPr>
          <w:rFonts w:hint="eastAsia"/>
          <w:szCs w:val="24"/>
          <w:highlight w:val="none"/>
        </w:rPr>
        <w:t>系统应具备软件加密授权控制，避免非法软件运行，软件系统需通过360、金山等业内主流漏洞扫描软件和防病毒软件的检测，可以有效避免病毒入侵或黑客攻击等安全风险，保证系统安全稳定运行。系统应提供多种登录方式，支持账号密码登录，短信验证码登录和单点登录，采用用户名+暗码的登陆方式，支持对用户密码的强度校验</w:t>
      </w:r>
      <w:r>
        <w:rPr>
          <w:szCs w:val="24"/>
          <w:highlight w:val="none"/>
        </w:rPr>
        <w:t>，密码防猜</w:t>
      </w:r>
      <w:r>
        <w:rPr>
          <w:rFonts w:hint="eastAsia"/>
          <w:szCs w:val="24"/>
          <w:highlight w:val="none"/>
        </w:rPr>
        <w:t>。</w:t>
      </w:r>
    </w:p>
    <w:p>
      <w:pPr>
        <w:spacing w:line="360" w:lineRule="auto"/>
        <w:ind w:left="240" w:right="-180" w:rightChars="-75" w:firstLine="422" w:firstLineChars="175"/>
        <w:rPr>
          <w:szCs w:val="24"/>
          <w:highlight w:val="none"/>
        </w:rPr>
      </w:pPr>
      <w:r>
        <w:rPr>
          <w:rFonts w:hint="eastAsia"/>
          <w:b/>
          <w:szCs w:val="24"/>
          <w:highlight w:val="none"/>
        </w:rPr>
        <w:t>应用和数据安全：</w:t>
      </w:r>
      <w:r>
        <w:rPr>
          <w:rFonts w:hint="eastAsia"/>
          <w:szCs w:val="24"/>
          <w:highlight w:val="none"/>
        </w:rPr>
        <w:t>系统应符合GB/T 39786—2021《信息安全技术信息系统密码应用基本要求》有关“应用和数据安全”的要求。</w:t>
      </w:r>
    </w:p>
    <w:p>
      <w:pPr>
        <w:pStyle w:val="7"/>
        <w:ind w:left="1134" w:right="-180" w:rightChars="-75" w:hanging="708"/>
        <w:rPr>
          <w:rFonts w:ascii="宋体" w:hAnsi="宋体" w:eastAsia="宋体" w:cs="宋体"/>
          <w:highlight w:val="none"/>
        </w:rPr>
      </w:pPr>
      <w:r>
        <w:rPr>
          <w:rFonts w:hint="eastAsia" w:ascii="宋体" w:hAnsi="宋体" w:eastAsia="宋体" w:cs="宋体"/>
          <w:highlight w:val="none"/>
        </w:rPr>
        <w:t>9）3D可视化要求</w:t>
      </w:r>
    </w:p>
    <w:p>
      <w:pPr>
        <w:spacing w:line="360" w:lineRule="auto"/>
        <w:ind w:left="240" w:right="-180" w:rightChars="-75" w:firstLine="420" w:firstLineChars="175"/>
        <w:rPr>
          <w:szCs w:val="24"/>
          <w:highlight w:val="none"/>
        </w:rPr>
      </w:pPr>
      <w:r>
        <w:rPr>
          <w:rFonts w:hint="eastAsia"/>
          <w:szCs w:val="24"/>
          <w:highlight w:val="none"/>
        </w:rPr>
        <w:t>系统应具备3D视图功能，支持2D/3D一键切换，不额外部署3D软件或集成3D系统，避免数据源和DCIM系统不同步；3D可视化界面应至少支持楼宇、楼层、房间、模块、机柜层级，且支持放大、缩小、360°旋转等基本操作，为了强化视图效果，还要求具备墙体透明、背景虚化等功能。</w:t>
      </w:r>
    </w:p>
    <w:p>
      <w:pPr>
        <w:pStyle w:val="7"/>
        <w:ind w:left="1134" w:right="-180" w:rightChars="-75" w:hanging="708"/>
        <w:rPr>
          <w:rFonts w:ascii="宋体" w:hAnsi="宋体" w:eastAsia="宋体" w:cs="宋体"/>
          <w:highlight w:val="none"/>
        </w:rPr>
      </w:pPr>
      <w:r>
        <w:rPr>
          <w:rFonts w:hint="eastAsia" w:ascii="宋体" w:hAnsi="宋体" w:eastAsia="宋体" w:cs="宋体"/>
          <w:highlight w:val="none"/>
        </w:rPr>
        <w:t>10）温度云监控功能</w:t>
      </w:r>
    </w:p>
    <w:p>
      <w:pPr>
        <w:numPr>
          <w:ilvl w:val="255"/>
          <w:numId w:val="0"/>
        </w:numPr>
        <w:spacing w:line="360" w:lineRule="auto"/>
        <w:ind w:left="240" w:right="-180" w:rightChars="-75" w:firstLine="420" w:firstLineChars="175"/>
        <w:rPr>
          <w:szCs w:val="24"/>
          <w:highlight w:val="none"/>
        </w:rPr>
      </w:pPr>
      <w:r>
        <w:rPr>
          <w:rFonts w:hint="eastAsia"/>
          <w:szCs w:val="24"/>
          <w:highlight w:val="none"/>
        </w:rPr>
        <w:t>系统支持以温度云图方式展示机房温度分布情况，直观了解监控设备运行的机房温度环境，同时对未测温点可进行温度估值，有效降低温度监控对测温点安装数量的依赖。</w:t>
      </w:r>
    </w:p>
    <w:p>
      <w:pPr>
        <w:pStyle w:val="7"/>
        <w:ind w:left="1134" w:right="-180" w:rightChars="-75" w:hanging="708"/>
        <w:rPr>
          <w:rFonts w:ascii="宋体" w:hAnsi="宋体" w:eastAsia="宋体" w:cs="宋体"/>
          <w:highlight w:val="none"/>
        </w:rPr>
      </w:pPr>
      <w:r>
        <w:rPr>
          <w:rFonts w:hint="eastAsia" w:ascii="宋体" w:hAnsi="宋体" w:eastAsia="宋体" w:cs="宋体"/>
          <w:highlight w:val="none"/>
        </w:rPr>
        <w:t>11）资产管理要求</w:t>
      </w:r>
    </w:p>
    <w:p>
      <w:pPr>
        <w:spacing w:line="360" w:lineRule="auto"/>
        <w:ind w:left="240" w:right="-180" w:rightChars="-75" w:firstLine="420" w:firstLineChars="175"/>
        <w:rPr>
          <w:szCs w:val="24"/>
          <w:highlight w:val="none"/>
        </w:rPr>
      </w:pPr>
      <w:r>
        <w:rPr>
          <w:rFonts w:hint="eastAsia"/>
          <w:szCs w:val="24"/>
          <w:highlight w:val="none"/>
        </w:rPr>
        <w:t>资产管理范围包含但不限于IT设备、基础设施、办公资产、备品备件等，通过对机房资产配套唯一标签进行标识，结合资产信息采集设备、U位检测设备、手持移动终端等，实现对所有数据中心资产的全面智能管控。</w:t>
      </w:r>
    </w:p>
    <w:p>
      <w:pPr>
        <w:spacing w:line="360" w:lineRule="auto"/>
        <w:ind w:left="240" w:right="-180" w:rightChars="-75" w:firstLine="420" w:firstLineChars="175"/>
        <w:rPr>
          <w:szCs w:val="24"/>
          <w:highlight w:val="none"/>
        </w:rPr>
      </w:pPr>
      <w:r>
        <w:rPr>
          <w:rFonts w:hint="eastAsia"/>
          <w:szCs w:val="24"/>
          <w:highlight w:val="none"/>
        </w:rPr>
        <w:t>系统应支持机房基础设施、机柜、机柜内设备的可视化，可通过2D图形化界面展示基础设施设备、机柜的分布情况。可显示资产实际图片或类型颜色和名称、编号、IP地址等信息，可通过U位颜色图例展示每一台资产设备当前状态（在架位、预占位、维修位、上架中、下架中、标签丢失、信息不一致等）。点击对应的机柜可综合展示该机柜的基本属性信息、当前容量统计信息（包括U位、功率、承重、配电端口等）、机柜上中下层温度数据、安装日期等。</w:t>
      </w:r>
    </w:p>
    <w:p>
      <w:pPr>
        <w:spacing w:line="360" w:lineRule="auto"/>
        <w:ind w:left="240" w:right="-180" w:rightChars="-75" w:firstLine="420" w:firstLineChars="175"/>
        <w:rPr>
          <w:szCs w:val="24"/>
          <w:highlight w:val="none"/>
        </w:rPr>
      </w:pPr>
      <w:r>
        <w:rPr>
          <w:rFonts w:hint="eastAsia"/>
          <w:szCs w:val="24"/>
          <w:highlight w:val="none"/>
        </w:rPr>
        <w:t>在资产生命周期对应的关键节点，要求对资产的相关操作流程需进行审批的，系统可选择相关责任人进行资产流程审批，审批通过的即可完成相关资产变更操作。审批单支持的资产类型包含IT设备、基础设施、办公及备件、易耗品，支持对资产入库、出库、预占、下架、变更、回库、调拨、借用、领用、处置全流程启用审批流程。</w:t>
      </w:r>
    </w:p>
    <w:p>
      <w:pPr>
        <w:spacing w:line="360" w:lineRule="auto"/>
        <w:ind w:left="240" w:right="-180" w:rightChars="-75" w:firstLine="420" w:firstLineChars="175"/>
        <w:rPr>
          <w:szCs w:val="24"/>
          <w:highlight w:val="none"/>
        </w:rPr>
      </w:pPr>
      <w:r>
        <w:rPr>
          <w:rFonts w:hint="eastAsia"/>
          <w:szCs w:val="24"/>
          <w:highlight w:val="none"/>
        </w:rPr>
        <w:t>系统提供资产盘点功能，支持创建资产盘点计划和盘点任务，可对盘点计划和任务进行更新维护，自动跟踪记录相关盘点任务的完成情况，并生成盘点报表，方便管理人员及时了解资产状态。</w:t>
      </w:r>
    </w:p>
    <w:p>
      <w:pPr>
        <w:pStyle w:val="7"/>
        <w:ind w:left="1134" w:right="-180" w:rightChars="-75" w:hanging="708"/>
        <w:rPr>
          <w:rFonts w:ascii="宋体" w:hAnsi="宋体" w:eastAsia="宋体" w:cs="宋体"/>
          <w:highlight w:val="none"/>
        </w:rPr>
      </w:pPr>
      <w:r>
        <w:rPr>
          <w:rFonts w:hint="eastAsia" w:ascii="宋体" w:hAnsi="宋体" w:eastAsia="宋体" w:cs="宋体"/>
          <w:highlight w:val="none"/>
        </w:rPr>
        <w:t>12）容量管理要求</w:t>
      </w:r>
    </w:p>
    <w:p>
      <w:pPr>
        <w:spacing w:line="360" w:lineRule="auto"/>
        <w:ind w:left="240" w:right="-180" w:rightChars="-75" w:firstLine="420" w:firstLineChars="175"/>
        <w:rPr>
          <w:szCs w:val="24"/>
          <w:highlight w:val="none"/>
        </w:rPr>
      </w:pPr>
      <w:r>
        <w:rPr>
          <w:rFonts w:hint="eastAsia"/>
          <w:szCs w:val="24"/>
          <w:highlight w:val="none"/>
        </w:rPr>
        <w:t>容量管理通过对数据中心基础设施的容量资源进行实时统计和分析，综合空间、电力、承重、端口等容量数据构建容量使用模型，实现机柜级的容量分析规划功能，确保数据中心容量资源的合理分配和使用，减少资源碎片化。系统应提供直观的容量数据管理展示功能，包含空间、电力、承重等容量的总额、已用和剩余容量的实时统计，并以直观百分比图进行展示。通过绘制机房容量视图，对机房机柜布局进行容量建模，并关联对应的容量等级模型，可根据容量等级颜色直观展示各机房机柜的空间、功率、承重等使用容量所处的容量范围，方便管理人员快速了解机房当前容量使用情况。</w:t>
      </w:r>
    </w:p>
    <w:p>
      <w:pPr>
        <w:pStyle w:val="7"/>
        <w:ind w:left="1134" w:right="-180" w:rightChars="-75" w:hanging="708"/>
        <w:rPr>
          <w:rFonts w:ascii="宋体" w:hAnsi="宋体" w:eastAsia="宋体" w:cs="宋体"/>
          <w:highlight w:val="none"/>
        </w:rPr>
      </w:pPr>
      <w:r>
        <w:rPr>
          <w:rFonts w:hint="eastAsia" w:ascii="宋体" w:hAnsi="宋体" w:eastAsia="宋体" w:cs="宋体"/>
          <w:highlight w:val="none"/>
        </w:rPr>
        <w:t>13）能源管理要求</w:t>
      </w:r>
    </w:p>
    <w:p>
      <w:pPr>
        <w:spacing w:line="360" w:lineRule="auto"/>
        <w:ind w:left="240" w:right="-180" w:rightChars="-75" w:firstLine="420" w:firstLineChars="175"/>
        <w:rPr>
          <w:szCs w:val="24"/>
          <w:highlight w:val="none"/>
        </w:rPr>
      </w:pPr>
      <w:r>
        <w:rPr>
          <w:rFonts w:hint="eastAsia"/>
          <w:szCs w:val="24"/>
          <w:highlight w:val="none"/>
        </w:rPr>
        <w:t>能源管理通过实时采集各电力设备的运行参数，对相关电力数据进行分类计算和统计分析，系统应能直观展示数据中心综合能效情况，包括PUE值、PUE/CLF/PLF/功率实时曲线、用电趋势、分类能耗占比、TOP5分类能耗、电表当前度数等综合统计信息，提供多种能耗概况模板，每个模板可灵活自定义显示内容，并通过饼图、柱状图、曲线、百分比等方式进行直观展示。</w:t>
      </w:r>
    </w:p>
    <w:p>
      <w:pPr>
        <w:spacing w:line="360" w:lineRule="auto"/>
        <w:ind w:left="240" w:right="-180" w:rightChars="-75" w:firstLine="420" w:firstLineChars="175"/>
        <w:rPr>
          <w:szCs w:val="24"/>
          <w:highlight w:val="none"/>
        </w:rPr>
      </w:pPr>
      <w:r>
        <w:rPr>
          <w:rFonts w:hint="eastAsia"/>
          <w:szCs w:val="24"/>
          <w:highlight w:val="none"/>
        </w:rPr>
        <w:t>系统应支持时间统计数据中心各个区域的年耗电量或月耗电量占比情况。可以通过表格和饼图直观查看总耗电情况，以柱状图和曲线图展示单个年份每个月或单个月份每一天各个区域的耗电情况。电能数据模块主要统计所有前端电力监控仪表参数，包括当前功率、当前电度、昨日能耗、今日能耗等电能参数，可按区域进行分类统计，并支持导出成EXCEL报表。系统支持各子系统用电成本分析和统计，通过用户自定义输入电价策略，系统能够自动生成电费使用情况，并可通过曲线图的方式展示，支持导出成EXCEL报表。系统内置电价策略模型，用户可以根据实际情况进行调整单位电价。</w:t>
      </w:r>
    </w:p>
    <w:p>
      <w:pPr>
        <w:pStyle w:val="7"/>
        <w:ind w:left="1134" w:right="-180" w:rightChars="-75" w:hanging="708"/>
        <w:rPr>
          <w:rFonts w:ascii="宋体" w:hAnsi="宋体" w:eastAsia="宋体" w:cs="宋体"/>
          <w:highlight w:val="none"/>
        </w:rPr>
      </w:pPr>
      <w:r>
        <w:rPr>
          <w:rFonts w:hint="eastAsia" w:ascii="宋体" w:hAnsi="宋体" w:eastAsia="宋体" w:cs="宋体"/>
          <w:highlight w:val="none"/>
        </w:rPr>
        <w:t>14）运维管理要求</w:t>
      </w:r>
    </w:p>
    <w:p>
      <w:pPr>
        <w:spacing w:line="360" w:lineRule="auto"/>
        <w:ind w:left="240" w:right="-180" w:rightChars="-75" w:firstLine="422" w:firstLineChars="175"/>
        <w:rPr>
          <w:b/>
          <w:bCs/>
          <w:szCs w:val="24"/>
          <w:highlight w:val="none"/>
        </w:rPr>
      </w:pPr>
      <w:r>
        <w:rPr>
          <w:rFonts w:hint="eastAsia"/>
          <w:b/>
          <w:bCs/>
          <w:szCs w:val="24"/>
          <w:highlight w:val="none"/>
        </w:rPr>
        <w:t>1）运维服务台</w:t>
      </w:r>
    </w:p>
    <w:p>
      <w:pPr>
        <w:spacing w:line="360" w:lineRule="auto"/>
        <w:ind w:left="240" w:right="-180" w:rightChars="-75" w:firstLine="420" w:firstLineChars="175"/>
        <w:rPr>
          <w:szCs w:val="24"/>
          <w:highlight w:val="none"/>
        </w:rPr>
      </w:pPr>
      <w:r>
        <w:rPr>
          <w:rFonts w:hint="eastAsia"/>
          <w:szCs w:val="24"/>
          <w:highlight w:val="none"/>
        </w:rPr>
        <w:t>运维服务台可根据运维人员角色权限全面展示运维业务情况，以直观的图表显示工单、问题、巡检维护任务的统计数据，支持以日历表形式显示值排班信息，运维人员可查看相应月份的值排班情况，支持对历史收藏经验库的展示和浏览。工单支持手动派单和自动派单。工单派单可通过短信、邮件进行通知。系统可自定义自动派单策略，可根据系统相关报警事件设置派单规则，预先设定报警事件处理的执行人、审批人、通知方式、通知人员、确认时间等信息，当系统产生相关报警事件时，可根据预先设定好的派单策略自动派发给相关人员进行处理。</w:t>
      </w:r>
    </w:p>
    <w:p>
      <w:pPr>
        <w:spacing w:line="360" w:lineRule="auto"/>
        <w:ind w:left="240" w:right="-180" w:rightChars="-75" w:firstLine="420" w:firstLineChars="175"/>
        <w:rPr>
          <w:szCs w:val="24"/>
          <w:highlight w:val="none"/>
        </w:rPr>
      </w:pPr>
      <w:r>
        <w:rPr>
          <w:rFonts w:hint="eastAsia"/>
          <w:szCs w:val="24"/>
          <w:highlight w:val="none"/>
        </w:rPr>
        <w:t>系统提供运维文档管理功能，维保合同管理。</w:t>
      </w:r>
    </w:p>
    <w:p>
      <w:pPr>
        <w:spacing w:line="360" w:lineRule="auto"/>
        <w:ind w:left="240" w:right="-180" w:rightChars="-75" w:firstLine="420" w:firstLineChars="175"/>
        <w:rPr>
          <w:szCs w:val="24"/>
          <w:highlight w:val="none"/>
        </w:rPr>
      </w:pPr>
      <w:r>
        <w:rPr>
          <w:rFonts w:hint="eastAsia"/>
          <w:szCs w:val="24"/>
          <w:highlight w:val="none"/>
        </w:rPr>
        <w:t>系统支持移动巡检功能，可通过巡检系统合理安排巡检人员和巡检活动，并通过巡检管理系统及时发现、诊断问题，及时处理故障。</w:t>
      </w:r>
    </w:p>
    <w:p>
      <w:pPr>
        <w:spacing w:line="360" w:lineRule="auto"/>
        <w:ind w:left="240" w:right="-180" w:rightChars="-75" w:firstLine="420" w:firstLineChars="175"/>
        <w:rPr>
          <w:szCs w:val="24"/>
          <w:highlight w:val="none"/>
        </w:rPr>
      </w:pPr>
      <w:r>
        <w:rPr>
          <w:rFonts w:hint="eastAsia"/>
          <w:szCs w:val="24"/>
          <w:highlight w:val="none"/>
        </w:rPr>
        <w:t>系统应具备访客管理功能。</w:t>
      </w:r>
    </w:p>
    <w:p>
      <w:pPr>
        <w:spacing w:line="360" w:lineRule="auto"/>
        <w:ind w:left="240" w:right="-180" w:rightChars="-75" w:firstLine="422" w:firstLineChars="175"/>
        <w:rPr>
          <w:b/>
          <w:bCs/>
          <w:szCs w:val="24"/>
          <w:highlight w:val="none"/>
        </w:rPr>
      </w:pPr>
      <w:r>
        <w:rPr>
          <w:rFonts w:hint="eastAsia"/>
          <w:b/>
          <w:bCs/>
          <w:szCs w:val="24"/>
          <w:highlight w:val="none"/>
        </w:rPr>
        <w:t>2）移动手机APP要求</w:t>
      </w:r>
    </w:p>
    <w:p>
      <w:pPr>
        <w:spacing w:line="360" w:lineRule="auto"/>
        <w:ind w:left="240" w:right="-180" w:rightChars="-75" w:firstLine="420" w:firstLineChars="175"/>
        <w:rPr>
          <w:szCs w:val="24"/>
          <w:highlight w:val="none"/>
        </w:rPr>
      </w:pPr>
      <w:r>
        <w:rPr>
          <w:rFonts w:hint="eastAsia"/>
          <w:szCs w:val="24"/>
          <w:highlight w:val="none"/>
        </w:rPr>
        <w:t>系统应具备手机APP管理功能，通过手机APP可对机房动力、环境、安防、资产、容量、能源、运维等设备和事项进行实时监控并记录历史数据，实现对机房远程的监控与管理功能。手机APP应同时支持Android、IOS操作系统，自适应市面上绝大部分手机屏幕，可以通过GPRS、4G、WIFI等方式远程进行监控与控制，使运维人员可随时随地的了解机房运行健康状况，达到少人值守或无人值守，为机房高效的管理和安全运营提供有力保证。</w:t>
      </w:r>
    </w:p>
    <w:p>
      <w:pPr>
        <w:pStyle w:val="7"/>
        <w:ind w:left="1134" w:right="-180" w:rightChars="-75" w:hanging="708"/>
        <w:rPr>
          <w:rFonts w:ascii="宋体" w:hAnsi="宋体" w:eastAsia="宋体" w:cs="宋体"/>
          <w:highlight w:val="none"/>
        </w:rPr>
      </w:pPr>
      <w:bookmarkStart w:id="178" w:name="_Hlk118669215"/>
      <w:r>
        <w:rPr>
          <w:rFonts w:hint="eastAsia" w:ascii="宋体" w:hAnsi="宋体" w:eastAsia="宋体" w:cs="宋体"/>
          <w:highlight w:val="none"/>
        </w:rPr>
        <w:t>15、微模块动环监控主机性能要求</w:t>
      </w:r>
    </w:p>
    <w:p>
      <w:pPr>
        <w:pStyle w:val="48"/>
        <w:spacing w:line="360" w:lineRule="auto"/>
        <w:ind w:left="240" w:right="-180" w:rightChars="-75" w:firstLine="480"/>
        <w:rPr>
          <w:rFonts w:ascii="宋体" w:hAnsi="宋体" w:eastAsia="宋体" w:cs="宋体"/>
          <w:sz w:val="24"/>
          <w:szCs w:val="24"/>
          <w:highlight w:val="none"/>
        </w:rPr>
      </w:pPr>
      <w:r>
        <w:rPr>
          <w:rFonts w:hint="eastAsia" w:ascii="宋体" w:hAnsi="宋体" w:eastAsia="宋体" w:cs="宋体"/>
          <w:sz w:val="24"/>
          <w:szCs w:val="24"/>
          <w:highlight w:val="none"/>
        </w:rPr>
        <w:t>（1）动环监控系统所包含的监控采集器应采用B/S架构，内置Web Server功能，方便管理人员通过任意一台联网PC的IE浏览器访问监控采集器，实现对机房的远程整体监管。</w:t>
      </w:r>
    </w:p>
    <w:p>
      <w:pPr>
        <w:pStyle w:val="48"/>
        <w:spacing w:line="360" w:lineRule="auto"/>
        <w:ind w:left="240" w:right="-180" w:rightChars="-75" w:firstLine="480"/>
        <w:rPr>
          <w:rFonts w:ascii="宋体" w:hAnsi="宋体" w:eastAsia="宋体" w:cs="宋体"/>
          <w:sz w:val="24"/>
          <w:szCs w:val="24"/>
          <w:highlight w:val="none"/>
        </w:rPr>
      </w:pPr>
      <w:r>
        <w:rPr>
          <w:rFonts w:hint="eastAsia" w:ascii="宋体" w:hAnsi="宋体" w:eastAsia="宋体" w:cs="宋体"/>
          <w:sz w:val="24"/>
          <w:szCs w:val="24"/>
          <w:highlight w:val="none"/>
        </w:rPr>
        <w:t>（2）可将监控采集器对机房物理基础设施信息的采集与向BMS楼宇管理系统的上报隔离；监控采集器应采用双电源设计，以提升供电可靠性</w:t>
      </w:r>
    </w:p>
    <w:p>
      <w:pPr>
        <w:pStyle w:val="48"/>
        <w:spacing w:line="360" w:lineRule="auto"/>
        <w:ind w:left="240" w:right="-180" w:rightChars="-75" w:firstLine="480"/>
        <w:rPr>
          <w:rFonts w:ascii="宋体" w:hAnsi="宋体" w:eastAsia="宋体" w:cs="宋体"/>
          <w:sz w:val="24"/>
          <w:szCs w:val="24"/>
          <w:highlight w:val="none"/>
        </w:rPr>
      </w:pPr>
      <w:r>
        <w:rPr>
          <w:rFonts w:hint="eastAsia" w:ascii="宋体" w:hAnsi="宋体" w:eastAsia="宋体" w:cs="宋体"/>
          <w:sz w:val="24"/>
          <w:szCs w:val="24"/>
          <w:highlight w:val="none"/>
        </w:rPr>
        <w:t>（3）为节省网络资源，微模块内的各种智能设备（包括但不限于UPS、行间精密制冷单元、冷通道顶板开启控制器等）及传感器接入监控采集器应全部采用RS485串口通信方式，不占用任何IP地址；</w:t>
      </w:r>
    </w:p>
    <w:p>
      <w:pPr>
        <w:pStyle w:val="48"/>
        <w:spacing w:line="360" w:lineRule="auto"/>
        <w:ind w:left="240" w:right="-180" w:rightChars="-75" w:firstLine="480"/>
        <w:rPr>
          <w:rFonts w:ascii="宋体" w:hAnsi="宋体" w:eastAsia="宋体" w:cs="宋体"/>
          <w:sz w:val="24"/>
          <w:szCs w:val="24"/>
          <w:highlight w:val="none"/>
        </w:rPr>
      </w:pPr>
      <w:r>
        <w:rPr>
          <w:rFonts w:hint="eastAsia" w:ascii="宋体" w:hAnsi="宋体" w:eastAsia="宋体" w:cs="宋体"/>
          <w:sz w:val="24"/>
          <w:szCs w:val="24"/>
          <w:highlight w:val="none"/>
        </w:rPr>
        <w:t>（4）微模块触屏要求实现微模块内所有资源的可视化管理.</w:t>
      </w:r>
    </w:p>
    <w:p>
      <w:pPr>
        <w:pStyle w:val="48"/>
        <w:spacing w:line="360" w:lineRule="auto"/>
        <w:ind w:left="240" w:right="-180" w:rightChars="-75" w:firstLine="480"/>
        <w:rPr>
          <w:rFonts w:ascii="宋体" w:hAnsi="宋体" w:eastAsia="宋体" w:cs="宋体"/>
          <w:sz w:val="24"/>
          <w:szCs w:val="24"/>
          <w:highlight w:val="none"/>
        </w:rPr>
      </w:pPr>
      <w:r>
        <w:rPr>
          <w:rFonts w:hint="eastAsia" w:ascii="宋体" w:hAnsi="宋体" w:eastAsia="宋体" w:cs="宋体"/>
          <w:sz w:val="24"/>
          <w:szCs w:val="24"/>
          <w:highlight w:val="none"/>
        </w:rPr>
        <w:t>（5）安防可视化支持视频接入及管理，支持对现有门禁接入及管理。</w:t>
      </w:r>
    </w:p>
    <w:p>
      <w:pPr>
        <w:pStyle w:val="48"/>
        <w:spacing w:line="360" w:lineRule="auto"/>
        <w:ind w:left="240" w:right="-180" w:rightChars="-75" w:firstLine="480"/>
        <w:rPr>
          <w:rFonts w:ascii="宋体" w:hAnsi="宋体" w:eastAsia="宋体" w:cs="宋体"/>
          <w:sz w:val="24"/>
          <w:szCs w:val="24"/>
          <w:highlight w:val="none"/>
        </w:rPr>
      </w:pPr>
      <w:r>
        <w:rPr>
          <w:rFonts w:hint="eastAsia" w:ascii="宋体" w:hAnsi="宋体" w:eastAsia="宋体" w:cs="宋体"/>
          <w:sz w:val="24"/>
          <w:szCs w:val="24"/>
          <w:highlight w:val="none"/>
        </w:rPr>
        <w:t>（6）手机移动终端管理：手机移动终端管理APP支持用户查看数据中心的告警、监控信息、资源数据，并在手机APP端机房展现3D模型告警以及相关设备运行信息。</w:t>
      </w:r>
    </w:p>
    <w:p>
      <w:pPr>
        <w:pStyle w:val="48"/>
        <w:spacing w:line="360" w:lineRule="auto"/>
        <w:ind w:left="240" w:right="-180" w:rightChars="-75" w:firstLine="480"/>
        <w:rPr>
          <w:rFonts w:ascii="宋体" w:hAnsi="宋体" w:eastAsia="宋体" w:cs="宋体"/>
          <w:sz w:val="24"/>
          <w:szCs w:val="24"/>
          <w:highlight w:val="none"/>
        </w:rPr>
      </w:pPr>
      <w:r>
        <w:rPr>
          <w:rFonts w:hint="eastAsia" w:ascii="宋体" w:hAnsi="宋体" w:eastAsia="宋体" w:cs="宋体"/>
          <w:sz w:val="24"/>
          <w:szCs w:val="24"/>
          <w:highlight w:val="none"/>
        </w:rPr>
        <w:t>（7）动环监控系统所包含的监控采集器应采用B/S架构，内置Web Server功能，方便管理人员通过任意一台联网PC的IE浏览器访问监控采集器。</w:t>
      </w:r>
    </w:p>
    <w:p>
      <w:pPr>
        <w:pStyle w:val="48"/>
        <w:spacing w:line="360" w:lineRule="auto"/>
        <w:ind w:left="240" w:right="-180" w:rightChars="-75" w:firstLine="480"/>
        <w:rPr>
          <w:rFonts w:ascii="宋体" w:hAnsi="宋体" w:eastAsia="宋体" w:cs="宋体"/>
          <w:sz w:val="24"/>
          <w:szCs w:val="24"/>
          <w:highlight w:val="none"/>
        </w:rPr>
      </w:pPr>
      <w:r>
        <w:rPr>
          <w:rFonts w:hint="eastAsia" w:ascii="宋体" w:hAnsi="宋体" w:eastAsia="宋体" w:cs="宋体"/>
          <w:sz w:val="24"/>
          <w:szCs w:val="24"/>
          <w:highlight w:val="none"/>
        </w:rPr>
        <w:t>（8）监控采集器应采用双电源设计，以提升供电可靠性。</w:t>
      </w:r>
    </w:p>
    <w:p>
      <w:pPr>
        <w:pStyle w:val="48"/>
        <w:spacing w:line="360" w:lineRule="auto"/>
        <w:ind w:left="240" w:right="-180" w:rightChars="-75" w:firstLine="480"/>
        <w:rPr>
          <w:rFonts w:ascii="宋体" w:hAnsi="宋体" w:eastAsia="宋体" w:cs="宋体"/>
          <w:sz w:val="24"/>
          <w:szCs w:val="24"/>
          <w:highlight w:val="none"/>
        </w:rPr>
      </w:pPr>
      <w:r>
        <w:rPr>
          <w:rFonts w:hint="eastAsia" w:ascii="宋体" w:hAnsi="宋体" w:eastAsia="宋体" w:cs="宋体"/>
          <w:sz w:val="24"/>
          <w:szCs w:val="24"/>
          <w:highlight w:val="none"/>
        </w:rPr>
        <w:t>（9）为节省网络资源，机房内的各种智能设备（包括但不限于UPS、精密空调、门禁控制器）及传感器接入监控采集器应全部采用串口通信方式，不占用任何IP地址。</w:t>
      </w:r>
    </w:p>
    <w:p>
      <w:pPr>
        <w:pStyle w:val="48"/>
        <w:spacing w:line="360" w:lineRule="auto"/>
        <w:ind w:left="240" w:right="-180" w:rightChars="-75" w:firstLine="480"/>
        <w:rPr>
          <w:rFonts w:ascii="宋体" w:hAnsi="宋体" w:eastAsia="宋体" w:cs="宋体"/>
          <w:sz w:val="24"/>
          <w:szCs w:val="24"/>
          <w:highlight w:val="none"/>
        </w:rPr>
      </w:pPr>
      <w:r>
        <w:rPr>
          <w:rFonts w:hint="eastAsia" w:ascii="宋体" w:hAnsi="宋体" w:eastAsia="宋体" w:cs="宋体"/>
          <w:sz w:val="24"/>
          <w:szCs w:val="24"/>
          <w:highlight w:val="none"/>
        </w:rPr>
        <w:t>（10）固件升级：应支持通过WEB页面对监控采集器的固件进行升级。</w:t>
      </w:r>
    </w:p>
    <w:p>
      <w:pPr>
        <w:pStyle w:val="48"/>
        <w:spacing w:line="360" w:lineRule="auto"/>
        <w:ind w:left="240" w:right="-180" w:rightChars="-75" w:firstLine="480"/>
        <w:rPr>
          <w:rFonts w:ascii="宋体" w:hAnsi="宋体" w:eastAsia="宋体" w:cs="宋体"/>
          <w:sz w:val="24"/>
          <w:szCs w:val="24"/>
          <w:highlight w:val="none"/>
        </w:rPr>
      </w:pPr>
      <w:r>
        <w:rPr>
          <w:rFonts w:hint="eastAsia" w:ascii="宋体" w:hAnsi="宋体" w:eastAsia="宋体" w:cs="宋体"/>
          <w:sz w:val="24"/>
          <w:szCs w:val="24"/>
          <w:highlight w:val="none"/>
        </w:rPr>
        <w:t>（11）监控采集器提供动力环境管理监控系统软件国家级计算机软件著作权登记证书扫描件。</w:t>
      </w:r>
      <w:bookmarkEnd w:id="178"/>
    </w:p>
    <w:p>
      <w:pPr>
        <w:pStyle w:val="6"/>
        <w:ind w:left="1134" w:right="-180" w:rightChars="-75" w:hanging="708"/>
        <w:rPr>
          <w:color w:val="auto"/>
          <w:sz w:val="24"/>
          <w:szCs w:val="24"/>
          <w:highlight w:val="none"/>
        </w:rPr>
      </w:pPr>
      <w:r>
        <w:rPr>
          <w:rFonts w:hint="eastAsia"/>
          <w:color w:val="auto"/>
          <w:sz w:val="24"/>
          <w:szCs w:val="24"/>
          <w:highlight w:val="none"/>
        </w:rPr>
        <w:t>6.硬件产品要求</w:t>
      </w:r>
    </w:p>
    <w:p>
      <w:pPr>
        <w:pStyle w:val="7"/>
        <w:ind w:left="1134" w:right="-180" w:rightChars="-75" w:hanging="708"/>
        <w:rPr>
          <w:rFonts w:ascii="宋体" w:hAnsi="宋体" w:eastAsia="宋体" w:cs="宋体"/>
          <w:highlight w:val="none"/>
        </w:rPr>
      </w:pPr>
      <w:r>
        <w:rPr>
          <w:rFonts w:hint="eastAsia" w:ascii="宋体" w:hAnsi="宋体" w:eastAsia="宋体" w:cs="宋体"/>
          <w:highlight w:val="none"/>
        </w:rPr>
        <w:t>1）温湿度传感器</w:t>
      </w:r>
    </w:p>
    <w:p>
      <w:pPr>
        <w:pStyle w:val="48"/>
        <w:numPr>
          <w:ilvl w:val="0"/>
          <w:numId w:val="79"/>
        </w:numPr>
        <w:tabs>
          <w:tab w:val="left" w:pos="1440"/>
          <w:tab w:val="left" w:pos="168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大屏幕高亮度LCD显示</w:t>
      </w:r>
    </w:p>
    <w:p>
      <w:pPr>
        <w:pStyle w:val="48"/>
        <w:numPr>
          <w:ilvl w:val="0"/>
          <w:numId w:val="79"/>
        </w:numPr>
        <w:tabs>
          <w:tab w:val="left" w:pos="1440"/>
          <w:tab w:val="left" w:pos="168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温度测量：-20℃～70℃</w:t>
      </w:r>
    </w:p>
    <w:p>
      <w:pPr>
        <w:pStyle w:val="48"/>
        <w:numPr>
          <w:ilvl w:val="0"/>
          <w:numId w:val="79"/>
        </w:numPr>
        <w:tabs>
          <w:tab w:val="left" w:pos="1440"/>
          <w:tab w:val="left" w:pos="168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湿度测量：0～100%RH</w:t>
      </w:r>
    </w:p>
    <w:p>
      <w:pPr>
        <w:pStyle w:val="48"/>
        <w:numPr>
          <w:ilvl w:val="0"/>
          <w:numId w:val="79"/>
        </w:numPr>
        <w:tabs>
          <w:tab w:val="left" w:pos="1440"/>
          <w:tab w:val="left" w:pos="168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温度精度：误差&lt;±0.5℃，在25℃时测试</w:t>
      </w:r>
    </w:p>
    <w:p>
      <w:pPr>
        <w:pStyle w:val="48"/>
        <w:numPr>
          <w:ilvl w:val="0"/>
          <w:numId w:val="79"/>
        </w:numPr>
        <w:tabs>
          <w:tab w:val="left" w:pos="1440"/>
          <w:tab w:val="left" w:pos="168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湿度精度：误差&lt;±5%RH，在25℃时测试</w:t>
      </w:r>
    </w:p>
    <w:p>
      <w:pPr>
        <w:pStyle w:val="48"/>
        <w:numPr>
          <w:ilvl w:val="0"/>
          <w:numId w:val="79"/>
        </w:numPr>
        <w:tabs>
          <w:tab w:val="left" w:pos="1440"/>
          <w:tab w:val="left" w:pos="168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输出方式：RS485通信输出</w:t>
      </w:r>
    </w:p>
    <w:p>
      <w:pPr>
        <w:pStyle w:val="7"/>
        <w:ind w:left="1134" w:right="-180" w:rightChars="-75" w:hanging="708"/>
        <w:rPr>
          <w:rFonts w:ascii="宋体" w:hAnsi="宋体" w:eastAsia="宋体" w:cs="宋体"/>
          <w:highlight w:val="none"/>
        </w:rPr>
      </w:pPr>
      <w:r>
        <w:rPr>
          <w:rFonts w:hint="eastAsia" w:ascii="宋体" w:hAnsi="宋体" w:eastAsia="宋体" w:cs="宋体"/>
          <w:highlight w:val="none"/>
        </w:rPr>
        <w:t>2）开关量采集模块</w:t>
      </w:r>
    </w:p>
    <w:p>
      <w:pPr>
        <w:pStyle w:val="48"/>
        <w:numPr>
          <w:ilvl w:val="0"/>
          <w:numId w:val="80"/>
        </w:numPr>
        <w:tabs>
          <w:tab w:val="left" w:pos="1440"/>
          <w:tab w:val="left" w:pos="1680"/>
          <w:tab w:val="left" w:pos="192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输入通道：不少于16路数字量输入</w:t>
      </w:r>
    </w:p>
    <w:p>
      <w:pPr>
        <w:pStyle w:val="48"/>
        <w:numPr>
          <w:ilvl w:val="0"/>
          <w:numId w:val="80"/>
        </w:numPr>
        <w:tabs>
          <w:tab w:val="left" w:pos="1440"/>
          <w:tab w:val="left" w:pos="1680"/>
          <w:tab w:val="left" w:pos="192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电源输入：10V~30VDC</w:t>
      </w:r>
    </w:p>
    <w:p>
      <w:pPr>
        <w:pStyle w:val="48"/>
        <w:numPr>
          <w:ilvl w:val="0"/>
          <w:numId w:val="80"/>
        </w:numPr>
        <w:tabs>
          <w:tab w:val="left" w:pos="1440"/>
          <w:tab w:val="left" w:pos="1680"/>
          <w:tab w:val="left" w:pos="192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隔离电压：无</w:t>
      </w:r>
    </w:p>
    <w:p>
      <w:pPr>
        <w:pStyle w:val="48"/>
        <w:numPr>
          <w:ilvl w:val="0"/>
          <w:numId w:val="80"/>
        </w:numPr>
        <w:tabs>
          <w:tab w:val="left" w:pos="1440"/>
          <w:tab w:val="left" w:pos="1680"/>
          <w:tab w:val="left" w:pos="192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数字电平0： +2V max</w:t>
      </w:r>
    </w:p>
    <w:p>
      <w:pPr>
        <w:pStyle w:val="48"/>
        <w:numPr>
          <w:ilvl w:val="0"/>
          <w:numId w:val="80"/>
        </w:numPr>
        <w:tabs>
          <w:tab w:val="left" w:pos="1440"/>
          <w:tab w:val="left" w:pos="1680"/>
          <w:tab w:val="left" w:pos="192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数字电平1： +4 to +30V</w:t>
      </w:r>
    </w:p>
    <w:p>
      <w:pPr>
        <w:pStyle w:val="48"/>
        <w:numPr>
          <w:ilvl w:val="0"/>
          <w:numId w:val="80"/>
        </w:numPr>
        <w:tabs>
          <w:tab w:val="left" w:pos="1440"/>
          <w:tab w:val="left" w:pos="1680"/>
          <w:tab w:val="left" w:pos="192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功耗：0.9W</w:t>
      </w:r>
    </w:p>
    <w:p>
      <w:pPr>
        <w:pStyle w:val="48"/>
        <w:numPr>
          <w:ilvl w:val="0"/>
          <w:numId w:val="80"/>
        </w:numPr>
        <w:tabs>
          <w:tab w:val="left" w:pos="1440"/>
          <w:tab w:val="left" w:pos="1680"/>
          <w:tab w:val="left" w:pos="192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输出：RS-485</w:t>
      </w:r>
    </w:p>
    <w:p>
      <w:pPr>
        <w:pStyle w:val="7"/>
        <w:ind w:left="1134" w:right="-180" w:rightChars="-75" w:hanging="708"/>
        <w:rPr>
          <w:rFonts w:ascii="宋体" w:hAnsi="宋体" w:eastAsia="宋体" w:cs="宋体"/>
          <w:highlight w:val="none"/>
        </w:rPr>
      </w:pPr>
      <w:r>
        <w:rPr>
          <w:rFonts w:hint="eastAsia" w:ascii="宋体" w:hAnsi="宋体" w:eastAsia="宋体" w:cs="宋体"/>
          <w:highlight w:val="none"/>
        </w:rPr>
        <w:t>3）开关量控制模块</w:t>
      </w:r>
    </w:p>
    <w:p>
      <w:pPr>
        <w:pStyle w:val="48"/>
        <w:numPr>
          <w:ilvl w:val="0"/>
          <w:numId w:val="81"/>
        </w:numPr>
        <w:tabs>
          <w:tab w:val="left" w:pos="1155"/>
          <w:tab w:val="left" w:pos="1680"/>
        </w:tabs>
        <w:spacing w:line="360" w:lineRule="auto"/>
        <w:ind w:left="1134" w:right="-180" w:rightChars="-75" w:firstLine="306" w:firstLineChars="0"/>
        <w:rPr>
          <w:rFonts w:ascii="宋体" w:hAnsi="宋体" w:eastAsia="宋体" w:cs="宋体"/>
          <w:sz w:val="24"/>
          <w:szCs w:val="24"/>
          <w:highlight w:val="none"/>
        </w:rPr>
      </w:pPr>
      <w:r>
        <w:rPr>
          <w:rFonts w:hint="eastAsia" w:ascii="宋体" w:hAnsi="宋体" w:eastAsia="宋体" w:cs="宋体"/>
          <w:sz w:val="24"/>
          <w:szCs w:val="24"/>
          <w:highlight w:val="none"/>
        </w:rPr>
        <w:t>干接点输入不少于6路，继电器输出不少于4路</w:t>
      </w:r>
    </w:p>
    <w:p>
      <w:pPr>
        <w:pStyle w:val="48"/>
        <w:numPr>
          <w:ilvl w:val="0"/>
          <w:numId w:val="81"/>
        </w:numPr>
        <w:tabs>
          <w:tab w:val="left" w:pos="1155"/>
          <w:tab w:val="left" w:pos="1680"/>
        </w:tabs>
        <w:spacing w:line="360" w:lineRule="auto"/>
        <w:ind w:left="1134" w:right="-180" w:rightChars="-75" w:firstLine="306" w:firstLineChars="0"/>
        <w:rPr>
          <w:rFonts w:ascii="宋体" w:hAnsi="宋体" w:eastAsia="宋体" w:cs="宋体"/>
          <w:sz w:val="24"/>
          <w:szCs w:val="24"/>
          <w:highlight w:val="none"/>
        </w:rPr>
      </w:pPr>
      <w:r>
        <w:rPr>
          <w:rFonts w:hint="eastAsia" w:ascii="宋体" w:hAnsi="宋体" w:eastAsia="宋体" w:cs="宋体"/>
          <w:sz w:val="24"/>
          <w:szCs w:val="24"/>
          <w:highlight w:val="none"/>
        </w:rPr>
        <w:t>电源输入：10～24VDC</w:t>
      </w:r>
    </w:p>
    <w:p>
      <w:pPr>
        <w:pStyle w:val="48"/>
        <w:numPr>
          <w:ilvl w:val="0"/>
          <w:numId w:val="81"/>
        </w:numPr>
        <w:tabs>
          <w:tab w:val="left" w:pos="1155"/>
          <w:tab w:val="left" w:pos="1680"/>
        </w:tabs>
        <w:spacing w:line="360" w:lineRule="auto"/>
        <w:ind w:left="1134" w:right="-180" w:rightChars="-75" w:firstLine="306" w:firstLineChars="0"/>
        <w:rPr>
          <w:rFonts w:ascii="宋体" w:hAnsi="宋体" w:eastAsia="宋体" w:cs="宋体"/>
          <w:sz w:val="24"/>
          <w:szCs w:val="24"/>
          <w:highlight w:val="none"/>
        </w:rPr>
      </w:pPr>
      <w:r>
        <w:rPr>
          <w:rFonts w:hint="eastAsia" w:ascii="宋体" w:hAnsi="宋体" w:eastAsia="宋体" w:cs="宋体"/>
          <w:sz w:val="24"/>
          <w:szCs w:val="24"/>
          <w:highlight w:val="none"/>
        </w:rPr>
        <w:t>继电器输出规格：1A 30VDC</w:t>
      </w:r>
    </w:p>
    <w:p>
      <w:pPr>
        <w:pStyle w:val="48"/>
        <w:numPr>
          <w:ilvl w:val="0"/>
          <w:numId w:val="81"/>
        </w:numPr>
        <w:tabs>
          <w:tab w:val="left" w:pos="1155"/>
          <w:tab w:val="left" w:pos="1680"/>
        </w:tabs>
        <w:spacing w:line="360" w:lineRule="auto"/>
        <w:ind w:left="1134" w:right="-180" w:rightChars="-75" w:firstLine="306" w:firstLineChars="0"/>
        <w:rPr>
          <w:rFonts w:ascii="宋体" w:hAnsi="宋体" w:eastAsia="宋体" w:cs="宋体"/>
          <w:sz w:val="24"/>
          <w:szCs w:val="24"/>
          <w:highlight w:val="none"/>
        </w:rPr>
      </w:pPr>
      <w:r>
        <w:rPr>
          <w:rFonts w:hint="eastAsia" w:ascii="宋体" w:hAnsi="宋体" w:eastAsia="宋体" w:cs="宋体"/>
          <w:sz w:val="24"/>
          <w:szCs w:val="24"/>
          <w:highlight w:val="none"/>
        </w:rPr>
        <w:t>通讯接口：RS-485</w:t>
      </w:r>
    </w:p>
    <w:p>
      <w:pPr>
        <w:pStyle w:val="7"/>
        <w:ind w:left="1134" w:right="-180" w:rightChars="-75" w:hanging="708"/>
        <w:rPr>
          <w:rFonts w:ascii="宋体" w:hAnsi="宋体" w:eastAsia="宋体" w:cs="宋体"/>
          <w:highlight w:val="none"/>
        </w:rPr>
      </w:pPr>
      <w:r>
        <w:rPr>
          <w:rFonts w:hint="eastAsia" w:ascii="宋体" w:hAnsi="宋体" w:eastAsia="宋体" w:cs="宋体"/>
          <w:highlight w:val="none"/>
        </w:rPr>
        <w:t>4）定位漏水控制器</w:t>
      </w:r>
    </w:p>
    <w:p>
      <w:pPr>
        <w:pStyle w:val="48"/>
        <w:numPr>
          <w:ilvl w:val="0"/>
          <w:numId w:val="82"/>
        </w:numPr>
        <w:tabs>
          <w:tab w:val="left" w:pos="1155"/>
          <w:tab w:val="left" w:pos="1680"/>
        </w:tabs>
        <w:spacing w:line="360" w:lineRule="auto"/>
        <w:ind w:left="1134" w:right="-180" w:rightChars="-75" w:firstLine="306" w:firstLineChars="0"/>
        <w:rPr>
          <w:rFonts w:ascii="宋体" w:hAnsi="宋体" w:eastAsia="宋体" w:cs="宋体"/>
          <w:sz w:val="24"/>
          <w:szCs w:val="24"/>
          <w:highlight w:val="none"/>
        </w:rPr>
      </w:pPr>
      <w:r>
        <w:rPr>
          <w:rFonts w:hint="eastAsia" w:ascii="宋体" w:hAnsi="宋体" w:eastAsia="宋体" w:cs="宋体"/>
          <w:sz w:val="24"/>
          <w:szCs w:val="24"/>
          <w:highlight w:val="none"/>
        </w:rPr>
        <w:t>定位测漏控制器可监控长达1500米的测漏感应线；</w:t>
      </w:r>
    </w:p>
    <w:p>
      <w:pPr>
        <w:pStyle w:val="48"/>
        <w:numPr>
          <w:ilvl w:val="0"/>
          <w:numId w:val="82"/>
        </w:numPr>
        <w:tabs>
          <w:tab w:val="left" w:pos="1155"/>
          <w:tab w:val="left" w:pos="1680"/>
        </w:tabs>
        <w:spacing w:line="360" w:lineRule="auto"/>
        <w:ind w:left="1134" w:right="-180" w:rightChars="-75" w:firstLine="306" w:firstLineChars="0"/>
        <w:rPr>
          <w:rFonts w:ascii="宋体" w:hAnsi="宋体" w:eastAsia="宋体" w:cs="宋体"/>
          <w:sz w:val="24"/>
          <w:szCs w:val="24"/>
          <w:highlight w:val="none"/>
        </w:rPr>
      </w:pPr>
      <w:r>
        <w:rPr>
          <w:rFonts w:hint="eastAsia" w:ascii="宋体" w:hAnsi="宋体" w:eastAsia="宋体" w:cs="宋体"/>
          <w:sz w:val="24"/>
          <w:szCs w:val="24"/>
          <w:highlight w:val="none"/>
        </w:rPr>
        <w:t>LCD屏显示泄漏位置，精度达0.1米；</w:t>
      </w:r>
    </w:p>
    <w:p>
      <w:pPr>
        <w:pStyle w:val="48"/>
        <w:numPr>
          <w:ilvl w:val="0"/>
          <w:numId w:val="82"/>
        </w:numPr>
        <w:tabs>
          <w:tab w:val="left" w:pos="1155"/>
          <w:tab w:val="left" w:pos="1680"/>
        </w:tabs>
        <w:spacing w:line="360" w:lineRule="auto"/>
        <w:ind w:left="1134" w:right="-180" w:rightChars="-75" w:firstLine="306" w:firstLineChars="0"/>
        <w:rPr>
          <w:rFonts w:ascii="宋体" w:hAnsi="宋体" w:eastAsia="宋体" w:cs="宋体"/>
          <w:sz w:val="24"/>
          <w:szCs w:val="24"/>
          <w:highlight w:val="none"/>
        </w:rPr>
      </w:pPr>
      <w:r>
        <w:rPr>
          <w:rFonts w:hint="eastAsia" w:ascii="宋体" w:hAnsi="宋体" w:eastAsia="宋体" w:cs="宋体"/>
          <w:sz w:val="24"/>
          <w:szCs w:val="24"/>
          <w:highlight w:val="none"/>
        </w:rPr>
        <w:t>支持故障报警、泄漏报警、干扰报警及通信报警状态检测显示；</w:t>
      </w:r>
    </w:p>
    <w:p>
      <w:pPr>
        <w:pStyle w:val="48"/>
        <w:numPr>
          <w:ilvl w:val="0"/>
          <w:numId w:val="82"/>
        </w:numPr>
        <w:tabs>
          <w:tab w:val="left" w:pos="1155"/>
          <w:tab w:val="left" w:pos="1680"/>
        </w:tabs>
        <w:spacing w:line="360" w:lineRule="auto"/>
        <w:ind w:left="1134" w:right="-180" w:rightChars="-75" w:firstLine="306" w:firstLineChars="0"/>
        <w:rPr>
          <w:rFonts w:ascii="宋体" w:hAnsi="宋体" w:eastAsia="宋体" w:cs="宋体"/>
          <w:sz w:val="24"/>
          <w:szCs w:val="24"/>
          <w:highlight w:val="none"/>
        </w:rPr>
      </w:pPr>
      <w:r>
        <w:rPr>
          <w:rFonts w:hint="eastAsia" w:ascii="宋体" w:hAnsi="宋体" w:eastAsia="宋体" w:cs="宋体"/>
          <w:sz w:val="24"/>
          <w:szCs w:val="24"/>
          <w:highlight w:val="none"/>
        </w:rPr>
        <w:t>固态继电器1组，常态通电或常态断电，额 定 值AC 250V，10A；</w:t>
      </w:r>
    </w:p>
    <w:p>
      <w:pPr>
        <w:pStyle w:val="48"/>
        <w:numPr>
          <w:ilvl w:val="0"/>
          <w:numId w:val="82"/>
        </w:numPr>
        <w:tabs>
          <w:tab w:val="left" w:pos="1155"/>
          <w:tab w:val="left" w:pos="1680"/>
        </w:tabs>
        <w:spacing w:line="360" w:lineRule="auto"/>
        <w:ind w:left="1134" w:right="-180" w:rightChars="-75" w:firstLine="306" w:firstLineChars="0"/>
        <w:rPr>
          <w:rFonts w:ascii="宋体" w:hAnsi="宋体" w:eastAsia="宋体" w:cs="宋体"/>
          <w:sz w:val="24"/>
          <w:szCs w:val="24"/>
          <w:highlight w:val="none"/>
        </w:rPr>
      </w:pPr>
      <w:r>
        <w:rPr>
          <w:rFonts w:hint="eastAsia" w:ascii="宋体" w:hAnsi="宋体" w:eastAsia="宋体" w:cs="宋体"/>
          <w:sz w:val="24"/>
          <w:szCs w:val="24"/>
          <w:highlight w:val="none"/>
        </w:rPr>
        <w:t>安装方式：导轨安装；</w:t>
      </w:r>
    </w:p>
    <w:p>
      <w:pPr>
        <w:pStyle w:val="48"/>
        <w:numPr>
          <w:ilvl w:val="0"/>
          <w:numId w:val="82"/>
        </w:numPr>
        <w:tabs>
          <w:tab w:val="left" w:pos="1155"/>
          <w:tab w:val="left" w:pos="1680"/>
        </w:tabs>
        <w:spacing w:line="360" w:lineRule="auto"/>
        <w:ind w:left="1134" w:right="-180" w:rightChars="-75" w:firstLine="306" w:firstLineChars="0"/>
        <w:rPr>
          <w:rFonts w:ascii="宋体" w:hAnsi="宋体" w:eastAsia="宋体" w:cs="宋体"/>
          <w:sz w:val="24"/>
          <w:szCs w:val="24"/>
          <w:highlight w:val="none"/>
        </w:rPr>
      </w:pPr>
      <w:r>
        <w:rPr>
          <w:rFonts w:hint="eastAsia" w:ascii="宋体" w:hAnsi="宋体" w:eastAsia="宋体" w:cs="宋体"/>
          <w:sz w:val="24"/>
          <w:szCs w:val="24"/>
          <w:highlight w:val="none"/>
        </w:rPr>
        <w:t>电源输入：12VDC；</w:t>
      </w:r>
    </w:p>
    <w:p>
      <w:pPr>
        <w:pStyle w:val="48"/>
        <w:numPr>
          <w:ilvl w:val="0"/>
          <w:numId w:val="82"/>
        </w:numPr>
        <w:tabs>
          <w:tab w:val="left" w:pos="1155"/>
          <w:tab w:val="left" w:pos="1680"/>
        </w:tabs>
        <w:spacing w:line="360" w:lineRule="auto"/>
        <w:ind w:left="1134" w:right="-180" w:rightChars="-75" w:firstLine="306" w:firstLineChars="0"/>
        <w:rPr>
          <w:rFonts w:ascii="宋体" w:hAnsi="宋体" w:eastAsia="宋体" w:cs="宋体"/>
          <w:sz w:val="24"/>
          <w:szCs w:val="24"/>
          <w:highlight w:val="none"/>
        </w:rPr>
      </w:pPr>
      <w:r>
        <w:rPr>
          <w:rFonts w:hint="eastAsia" w:ascii="宋体" w:hAnsi="宋体" w:eastAsia="宋体" w:cs="宋体"/>
          <w:sz w:val="24"/>
          <w:szCs w:val="24"/>
          <w:highlight w:val="none"/>
        </w:rPr>
        <w:t>工作温度：-10 ℃ 至 50 ℃（14 oF 至 122 oF）；</w:t>
      </w:r>
    </w:p>
    <w:p>
      <w:pPr>
        <w:pStyle w:val="48"/>
        <w:numPr>
          <w:ilvl w:val="0"/>
          <w:numId w:val="82"/>
        </w:numPr>
        <w:tabs>
          <w:tab w:val="left" w:pos="1155"/>
          <w:tab w:val="left" w:pos="1680"/>
        </w:tabs>
        <w:spacing w:line="360" w:lineRule="auto"/>
        <w:ind w:left="1134" w:right="-180" w:rightChars="-75" w:firstLine="306" w:firstLineChars="0"/>
        <w:rPr>
          <w:rFonts w:ascii="宋体" w:hAnsi="宋体" w:eastAsia="宋体" w:cs="宋体"/>
          <w:sz w:val="24"/>
          <w:szCs w:val="24"/>
          <w:highlight w:val="none"/>
        </w:rPr>
      </w:pPr>
      <w:r>
        <w:rPr>
          <w:rFonts w:hint="eastAsia" w:ascii="宋体" w:hAnsi="宋体" w:eastAsia="宋体" w:cs="宋体"/>
          <w:sz w:val="24"/>
          <w:szCs w:val="24"/>
          <w:highlight w:val="none"/>
        </w:rPr>
        <w:t>湿   度：5%到95%RH（无冷凝）；</w:t>
      </w:r>
    </w:p>
    <w:p>
      <w:pPr>
        <w:pStyle w:val="7"/>
        <w:ind w:left="1134" w:right="-180" w:rightChars="-75" w:hanging="708"/>
        <w:rPr>
          <w:rFonts w:ascii="宋体" w:hAnsi="宋体" w:eastAsia="宋体" w:cs="宋体"/>
          <w:highlight w:val="none"/>
        </w:rPr>
      </w:pPr>
      <w:r>
        <w:rPr>
          <w:rFonts w:hint="eastAsia" w:ascii="宋体" w:hAnsi="宋体" w:eastAsia="宋体" w:cs="宋体"/>
          <w:highlight w:val="none"/>
        </w:rPr>
        <w:t>5）蓄电池组主控模块</w:t>
      </w:r>
    </w:p>
    <w:p>
      <w:pPr>
        <w:pStyle w:val="48"/>
        <w:numPr>
          <w:ilvl w:val="0"/>
          <w:numId w:val="83"/>
        </w:numPr>
        <w:tabs>
          <w:tab w:val="left" w:pos="1440"/>
          <w:tab w:val="left" w:pos="168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可通过Web等远程配置方式，可配置通信参数、相关选项。</w:t>
      </w:r>
    </w:p>
    <w:p>
      <w:pPr>
        <w:pStyle w:val="48"/>
        <w:numPr>
          <w:ilvl w:val="0"/>
          <w:numId w:val="83"/>
        </w:numPr>
        <w:tabs>
          <w:tab w:val="left" w:pos="1440"/>
          <w:tab w:val="left" w:pos="168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可下接单体电池采集模块和电压电流采集模块，最多支持4组共200节单体电池；主机汇总各模块采集到的数据。</w:t>
      </w:r>
    </w:p>
    <w:p>
      <w:pPr>
        <w:pStyle w:val="48"/>
        <w:numPr>
          <w:ilvl w:val="0"/>
          <w:numId w:val="83"/>
        </w:numPr>
        <w:tabs>
          <w:tab w:val="left" w:pos="1440"/>
          <w:tab w:val="left" w:pos="168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工作电压：支持9-27VDC供电</w:t>
      </w:r>
    </w:p>
    <w:p>
      <w:pPr>
        <w:pStyle w:val="48"/>
        <w:numPr>
          <w:ilvl w:val="0"/>
          <w:numId w:val="83"/>
        </w:numPr>
        <w:tabs>
          <w:tab w:val="left" w:pos="1440"/>
          <w:tab w:val="left" w:pos="168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上行通讯接口：LAN 10/100Mbps 1路（Modbus-TCP协议），RS485 1路（Modbus-RTU协议）；</w:t>
      </w:r>
    </w:p>
    <w:p>
      <w:pPr>
        <w:pStyle w:val="48"/>
        <w:numPr>
          <w:ilvl w:val="0"/>
          <w:numId w:val="83"/>
        </w:numPr>
        <w:tabs>
          <w:tab w:val="left" w:pos="1440"/>
          <w:tab w:val="left" w:pos="168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下行通讯接口：SNS总线接口4个，RJ45接口</w:t>
      </w:r>
    </w:p>
    <w:p>
      <w:pPr>
        <w:pStyle w:val="48"/>
        <w:numPr>
          <w:ilvl w:val="0"/>
          <w:numId w:val="83"/>
        </w:numPr>
        <w:tabs>
          <w:tab w:val="left" w:pos="1440"/>
          <w:tab w:val="left" w:pos="168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自身功耗＜10W</w:t>
      </w:r>
    </w:p>
    <w:p>
      <w:pPr>
        <w:pStyle w:val="48"/>
        <w:numPr>
          <w:ilvl w:val="0"/>
          <w:numId w:val="83"/>
        </w:numPr>
        <w:tabs>
          <w:tab w:val="left" w:pos="1440"/>
          <w:tab w:val="left" w:pos="168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工作环境温度-40-85 ℃、湿度5%-95%（无凝结）</w:t>
      </w:r>
    </w:p>
    <w:p>
      <w:pPr>
        <w:pStyle w:val="7"/>
        <w:ind w:left="1134" w:right="-180" w:rightChars="-75" w:hanging="708"/>
        <w:rPr>
          <w:rFonts w:ascii="宋体" w:hAnsi="宋体" w:eastAsia="宋体" w:cs="宋体"/>
          <w:highlight w:val="none"/>
        </w:rPr>
      </w:pPr>
      <w:r>
        <w:rPr>
          <w:rFonts w:hint="eastAsia" w:ascii="宋体" w:hAnsi="宋体" w:eastAsia="宋体" w:cs="宋体"/>
          <w:highlight w:val="none"/>
        </w:rPr>
        <w:t>6）组电压传感器</w:t>
      </w:r>
    </w:p>
    <w:p>
      <w:pPr>
        <w:pStyle w:val="48"/>
        <w:numPr>
          <w:ilvl w:val="0"/>
          <w:numId w:val="84"/>
        </w:numPr>
        <w:tabs>
          <w:tab w:val="left" w:pos="1155"/>
          <w:tab w:val="left" w:pos="1680"/>
          <w:tab w:val="left" w:pos="192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蓄电池组电压检测</w:t>
      </w:r>
    </w:p>
    <w:p>
      <w:pPr>
        <w:pStyle w:val="48"/>
        <w:numPr>
          <w:ilvl w:val="0"/>
          <w:numId w:val="84"/>
        </w:numPr>
        <w:tabs>
          <w:tab w:val="left" w:pos="1155"/>
          <w:tab w:val="left" w:pos="1680"/>
          <w:tab w:val="left" w:pos="192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电压量程：0-60V DC/0-300V DC/0-700V DC可选</w:t>
      </w:r>
    </w:p>
    <w:p>
      <w:pPr>
        <w:pStyle w:val="48"/>
        <w:numPr>
          <w:ilvl w:val="0"/>
          <w:numId w:val="84"/>
        </w:numPr>
        <w:tabs>
          <w:tab w:val="left" w:pos="1155"/>
          <w:tab w:val="left" w:pos="1680"/>
          <w:tab w:val="left" w:pos="192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电压精度：±0.5%（FS）@25℃</w:t>
      </w:r>
    </w:p>
    <w:p>
      <w:pPr>
        <w:pStyle w:val="48"/>
        <w:numPr>
          <w:ilvl w:val="0"/>
          <w:numId w:val="84"/>
        </w:numPr>
        <w:tabs>
          <w:tab w:val="left" w:pos="1155"/>
          <w:tab w:val="left" w:pos="1680"/>
          <w:tab w:val="left" w:pos="192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绝缘强度：1500V</w:t>
      </w:r>
    </w:p>
    <w:p>
      <w:pPr>
        <w:pStyle w:val="48"/>
        <w:numPr>
          <w:ilvl w:val="0"/>
          <w:numId w:val="84"/>
        </w:numPr>
        <w:tabs>
          <w:tab w:val="left" w:pos="1155"/>
          <w:tab w:val="left" w:pos="1680"/>
          <w:tab w:val="left" w:pos="192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工作环境温度：-40~85℃，</w:t>
      </w:r>
      <w:r>
        <w:rPr>
          <w:rFonts w:hint="eastAsia" w:ascii="宋体" w:hAnsi="宋体" w:eastAsia="宋体" w:cs="宋体"/>
          <w:sz w:val="24"/>
          <w:szCs w:val="24"/>
          <w:highlight w:val="none"/>
        </w:rPr>
        <w:tab/>
      </w:r>
      <w:r>
        <w:rPr>
          <w:rFonts w:hint="eastAsia" w:ascii="宋体" w:hAnsi="宋体" w:eastAsia="宋体" w:cs="宋体"/>
          <w:sz w:val="24"/>
          <w:szCs w:val="24"/>
          <w:highlight w:val="none"/>
        </w:rPr>
        <w:t>湿度：5%~95%（无凝结）</w:t>
      </w:r>
    </w:p>
    <w:p>
      <w:pPr>
        <w:pStyle w:val="48"/>
        <w:numPr>
          <w:ilvl w:val="0"/>
          <w:numId w:val="84"/>
        </w:numPr>
        <w:tabs>
          <w:tab w:val="left" w:pos="1155"/>
          <w:tab w:val="left" w:pos="1680"/>
          <w:tab w:val="left" w:pos="192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电源电压：9-16V DC</w:t>
      </w:r>
    </w:p>
    <w:p>
      <w:pPr>
        <w:pStyle w:val="48"/>
        <w:numPr>
          <w:ilvl w:val="0"/>
          <w:numId w:val="84"/>
        </w:numPr>
        <w:tabs>
          <w:tab w:val="left" w:pos="1155"/>
          <w:tab w:val="left" w:pos="1680"/>
          <w:tab w:val="left" w:pos="192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电流：≤200mA@12V DC</w:t>
      </w:r>
    </w:p>
    <w:p>
      <w:pPr>
        <w:pStyle w:val="48"/>
        <w:numPr>
          <w:ilvl w:val="0"/>
          <w:numId w:val="84"/>
        </w:numPr>
        <w:tabs>
          <w:tab w:val="left" w:pos="1155"/>
          <w:tab w:val="left" w:pos="1680"/>
          <w:tab w:val="left" w:pos="192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接口形式：RJ45（T568B）</w:t>
      </w:r>
    </w:p>
    <w:p>
      <w:pPr>
        <w:pStyle w:val="7"/>
        <w:ind w:left="1134" w:right="-180" w:rightChars="-75" w:hanging="708"/>
        <w:rPr>
          <w:rFonts w:ascii="宋体" w:hAnsi="宋体" w:eastAsia="宋体" w:cs="宋体"/>
          <w:highlight w:val="none"/>
        </w:rPr>
      </w:pPr>
      <w:r>
        <w:rPr>
          <w:rFonts w:hint="eastAsia" w:ascii="宋体" w:hAnsi="宋体" w:eastAsia="宋体" w:cs="宋体"/>
          <w:highlight w:val="none"/>
        </w:rPr>
        <w:t>7）电流传感器</w:t>
      </w:r>
    </w:p>
    <w:p>
      <w:pPr>
        <w:pStyle w:val="48"/>
        <w:numPr>
          <w:ilvl w:val="0"/>
          <w:numId w:val="85"/>
        </w:numPr>
        <w:tabs>
          <w:tab w:val="left" w:pos="1155"/>
          <w:tab w:val="left" w:pos="168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适用于蓄电池在线监控，测量蓄电池组电流。</w:t>
      </w:r>
    </w:p>
    <w:p>
      <w:pPr>
        <w:pStyle w:val="48"/>
        <w:numPr>
          <w:ilvl w:val="0"/>
          <w:numId w:val="85"/>
        </w:numPr>
        <w:tabs>
          <w:tab w:val="left" w:pos="1155"/>
          <w:tab w:val="left" w:pos="168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电流量程：±300A DC、±600A DC、±1000A DC可选</w:t>
      </w:r>
    </w:p>
    <w:p>
      <w:pPr>
        <w:pStyle w:val="48"/>
        <w:numPr>
          <w:ilvl w:val="0"/>
          <w:numId w:val="85"/>
        </w:numPr>
        <w:tabs>
          <w:tab w:val="left" w:pos="1155"/>
          <w:tab w:val="left" w:pos="168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电流精度：±1%(FS)@25℃</w:t>
      </w:r>
    </w:p>
    <w:p>
      <w:pPr>
        <w:pStyle w:val="48"/>
        <w:numPr>
          <w:ilvl w:val="0"/>
          <w:numId w:val="85"/>
        </w:numPr>
        <w:tabs>
          <w:tab w:val="left" w:pos="1155"/>
          <w:tab w:val="left" w:pos="168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工作温度： -40~85℃</w:t>
      </w:r>
    </w:p>
    <w:p>
      <w:pPr>
        <w:pStyle w:val="48"/>
        <w:numPr>
          <w:ilvl w:val="0"/>
          <w:numId w:val="85"/>
        </w:numPr>
        <w:tabs>
          <w:tab w:val="left" w:pos="1155"/>
          <w:tab w:val="left" w:pos="168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工作湿度： 5%~95%（无凝结）</w:t>
      </w:r>
    </w:p>
    <w:p>
      <w:pPr>
        <w:pStyle w:val="7"/>
        <w:ind w:left="1134" w:right="-180" w:rightChars="-75" w:hanging="708"/>
        <w:rPr>
          <w:rFonts w:ascii="宋体" w:hAnsi="宋体" w:eastAsia="宋体" w:cs="宋体"/>
          <w:highlight w:val="none"/>
        </w:rPr>
      </w:pPr>
      <w:r>
        <w:rPr>
          <w:rFonts w:hint="eastAsia" w:ascii="宋体" w:hAnsi="宋体" w:eastAsia="宋体" w:cs="宋体"/>
          <w:highlight w:val="none"/>
        </w:rPr>
        <w:t>8）电池传感器模块</w:t>
      </w:r>
    </w:p>
    <w:p>
      <w:pPr>
        <w:pStyle w:val="48"/>
        <w:numPr>
          <w:ilvl w:val="0"/>
          <w:numId w:val="86"/>
        </w:numPr>
        <w:tabs>
          <w:tab w:val="left" w:pos="1155"/>
          <w:tab w:val="left" w:pos="168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测量单体蓄电池电压、内阻和温度，与电流传感器和蓄电池组监控主机配套使用</w:t>
      </w:r>
    </w:p>
    <w:p>
      <w:pPr>
        <w:pStyle w:val="48"/>
        <w:numPr>
          <w:ilvl w:val="0"/>
          <w:numId w:val="86"/>
        </w:numPr>
        <w:tabs>
          <w:tab w:val="left" w:pos="1155"/>
          <w:tab w:val="left" w:pos="168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串联通讯：采用SNS总线通讯，单通道最多64个单体电池采集模块串接使用</w:t>
      </w:r>
    </w:p>
    <w:p>
      <w:pPr>
        <w:pStyle w:val="48"/>
        <w:numPr>
          <w:ilvl w:val="0"/>
          <w:numId w:val="86"/>
        </w:numPr>
        <w:tabs>
          <w:tab w:val="left" w:pos="1155"/>
          <w:tab w:val="left" w:pos="168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地址自动编码：需支持接入蓄电池组监控主机后地址自动编码，无需手动设置每个模块的地址，便于快速部署</w:t>
      </w:r>
    </w:p>
    <w:p>
      <w:pPr>
        <w:pStyle w:val="48"/>
        <w:numPr>
          <w:ilvl w:val="0"/>
          <w:numId w:val="86"/>
        </w:numPr>
        <w:tabs>
          <w:tab w:val="left" w:pos="1155"/>
          <w:tab w:val="left" w:pos="168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安装方式：使用3M背胶粘贴或扎带固定于电池表面或电池架上</w:t>
      </w:r>
    </w:p>
    <w:p>
      <w:pPr>
        <w:pStyle w:val="48"/>
        <w:numPr>
          <w:ilvl w:val="0"/>
          <w:numId w:val="86"/>
        </w:numPr>
        <w:tabs>
          <w:tab w:val="left" w:pos="1155"/>
          <w:tab w:val="left" w:pos="168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电压测量量程：1.5-3.0V DC ；5-18V DC；</w:t>
      </w:r>
    </w:p>
    <w:p>
      <w:pPr>
        <w:pStyle w:val="48"/>
        <w:numPr>
          <w:ilvl w:val="0"/>
          <w:numId w:val="86"/>
        </w:numPr>
        <w:tabs>
          <w:tab w:val="left" w:pos="1155"/>
          <w:tab w:val="left" w:pos="168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电压精度：±0.1%(FS)@25℃</w:t>
      </w:r>
    </w:p>
    <w:p>
      <w:pPr>
        <w:pStyle w:val="48"/>
        <w:numPr>
          <w:ilvl w:val="0"/>
          <w:numId w:val="86"/>
        </w:numPr>
        <w:tabs>
          <w:tab w:val="left" w:pos="1155"/>
          <w:tab w:val="left" w:pos="168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温度量程： -10~99.9℃</w:t>
      </w:r>
    </w:p>
    <w:p>
      <w:pPr>
        <w:pStyle w:val="48"/>
        <w:numPr>
          <w:ilvl w:val="0"/>
          <w:numId w:val="86"/>
        </w:numPr>
        <w:tabs>
          <w:tab w:val="left" w:pos="1155"/>
          <w:tab w:val="left" w:pos="168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温度精度：±1℃</w:t>
      </w:r>
    </w:p>
    <w:p>
      <w:pPr>
        <w:pStyle w:val="48"/>
        <w:numPr>
          <w:ilvl w:val="0"/>
          <w:numId w:val="86"/>
        </w:numPr>
        <w:tabs>
          <w:tab w:val="left" w:pos="1155"/>
          <w:tab w:val="left" w:pos="168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内阻量程：100~65535μΩ</w:t>
      </w:r>
    </w:p>
    <w:p>
      <w:pPr>
        <w:pStyle w:val="48"/>
        <w:numPr>
          <w:ilvl w:val="0"/>
          <w:numId w:val="86"/>
        </w:numPr>
        <w:tabs>
          <w:tab w:val="left" w:pos="1155"/>
          <w:tab w:val="left" w:pos="168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内阻重复精度：±(2%+30μΩ )@25℃</w:t>
      </w:r>
    </w:p>
    <w:p>
      <w:pPr>
        <w:pStyle w:val="7"/>
        <w:ind w:left="1134" w:right="-180" w:rightChars="-75" w:hanging="708"/>
        <w:rPr>
          <w:rFonts w:ascii="宋体" w:hAnsi="宋体" w:eastAsia="宋体" w:cs="宋体"/>
          <w:highlight w:val="none"/>
        </w:rPr>
      </w:pPr>
      <w:r>
        <w:rPr>
          <w:rFonts w:hint="eastAsia" w:ascii="宋体" w:hAnsi="宋体" w:eastAsia="宋体" w:cs="宋体"/>
          <w:highlight w:val="none"/>
        </w:rPr>
        <w:t>9）动环数据采集器</w:t>
      </w:r>
    </w:p>
    <w:p>
      <w:pPr>
        <w:pStyle w:val="48"/>
        <w:numPr>
          <w:ilvl w:val="0"/>
          <w:numId w:val="87"/>
        </w:numPr>
        <w:tabs>
          <w:tab w:val="left" w:pos="1440"/>
          <w:tab w:val="left" w:pos="192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采用ARM架构，工业级硬件设计</w:t>
      </w:r>
    </w:p>
    <w:p>
      <w:pPr>
        <w:pStyle w:val="48"/>
        <w:numPr>
          <w:ilvl w:val="0"/>
          <w:numId w:val="87"/>
        </w:numPr>
        <w:tabs>
          <w:tab w:val="left" w:pos="1440"/>
          <w:tab w:val="left" w:pos="192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双网口级联：支持多级综合监控采集器网口之间级联功能</w:t>
      </w:r>
    </w:p>
    <w:p>
      <w:pPr>
        <w:pStyle w:val="48"/>
        <w:numPr>
          <w:ilvl w:val="0"/>
          <w:numId w:val="87"/>
        </w:numPr>
        <w:tabs>
          <w:tab w:val="left" w:pos="1440"/>
          <w:tab w:val="left" w:pos="192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至少提供8个RS485下行串口，4个DI、2个DO；提供2个以太网口上行接口。</w:t>
      </w:r>
    </w:p>
    <w:p>
      <w:pPr>
        <w:pStyle w:val="48"/>
        <w:numPr>
          <w:ilvl w:val="0"/>
          <w:numId w:val="87"/>
        </w:numPr>
        <w:tabs>
          <w:tab w:val="left" w:pos="1440"/>
          <w:tab w:val="left" w:pos="192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电源/RS485/DI/DO各端口采用凤凰端子接口，其中RS485/DI/DO同时具备RJ45接口，提供一条网线POE(DC12V)供电能力，简化布线。</w:t>
      </w:r>
    </w:p>
    <w:p>
      <w:pPr>
        <w:pStyle w:val="7"/>
        <w:ind w:left="1134" w:right="-180" w:rightChars="-75" w:hanging="708"/>
        <w:rPr>
          <w:rFonts w:ascii="宋体" w:hAnsi="宋体" w:eastAsia="宋体" w:cs="宋体"/>
          <w:highlight w:val="none"/>
        </w:rPr>
      </w:pPr>
      <w:r>
        <w:rPr>
          <w:rFonts w:hint="eastAsia" w:ascii="宋体" w:hAnsi="宋体" w:eastAsia="宋体" w:cs="宋体"/>
          <w:highlight w:val="none"/>
        </w:rPr>
        <w:t>10）电话报警设备</w:t>
      </w:r>
    </w:p>
    <w:p>
      <w:pPr>
        <w:pStyle w:val="48"/>
        <w:numPr>
          <w:ilvl w:val="0"/>
          <w:numId w:val="88"/>
        </w:numPr>
        <w:tabs>
          <w:tab w:val="left" w:pos="1440"/>
          <w:tab w:val="left" w:pos="192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USB接口，安装方便，即插即用，自动识别</w:t>
      </w:r>
    </w:p>
    <w:p>
      <w:pPr>
        <w:pStyle w:val="48"/>
        <w:numPr>
          <w:ilvl w:val="0"/>
          <w:numId w:val="88"/>
        </w:numPr>
        <w:tabs>
          <w:tab w:val="left" w:pos="1440"/>
          <w:tab w:val="left" w:pos="192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支持Windows 98/NT/2000/XP/2003/VISTA操作环境</w:t>
      </w:r>
    </w:p>
    <w:p>
      <w:pPr>
        <w:pStyle w:val="48"/>
        <w:numPr>
          <w:ilvl w:val="0"/>
          <w:numId w:val="88"/>
        </w:numPr>
        <w:tabs>
          <w:tab w:val="left" w:pos="1440"/>
          <w:tab w:val="left" w:pos="192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支持压控、声控和键控三种录音启动方式</w:t>
      </w:r>
    </w:p>
    <w:p>
      <w:pPr>
        <w:pStyle w:val="48"/>
        <w:numPr>
          <w:ilvl w:val="0"/>
          <w:numId w:val="88"/>
        </w:numPr>
        <w:tabs>
          <w:tab w:val="left" w:pos="1440"/>
          <w:tab w:val="left" w:pos="192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支持5倍语音压缩(GSM)存储</w:t>
      </w:r>
    </w:p>
    <w:p>
      <w:pPr>
        <w:pStyle w:val="48"/>
        <w:numPr>
          <w:ilvl w:val="0"/>
          <w:numId w:val="88"/>
        </w:numPr>
        <w:tabs>
          <w:tab w:val="left" w:pos="1440"/>
          <w:tab w:val="left" w:pos="192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录音数据可直接采用WINDOWS标准的WAVE格式保存</w:t>
      </w:r>
    </w:p>
    <w:p>
      <w:pPr>
        <w:pStyle w:val="48"/>
        <w:numPr>
          <w:ilvl w:val="0"/>
          <w:numId w:val="88"/>
        </w:numPr>
        <w:tabs>
          <w:tab w:val="left" w:pos="1440"/>
          <w:tab w:val="left" w:pos="192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支持带电拔插后自动恢复功能</w:t>
      </w:r>
    </w:p>
    <w:p>
      <w:pPr>
        <w:pStyle w:val="7"/>
        <w:ind w:left="1134" w:right="-180" w:rightChars="-75" w:hanging="708"/>
        <w:rPr>
          <w:rFonts w:ascii="宋体" w:hAnsi="宋体" w:eastAsia="宋体" w:cs="宋体"/>
          <w:highlight w:val="none"/>
        </w:rPr>
      </w:pPr>
      <w:r>
        <w:rPr>
          <w:rFonts w:hint="eastAsia" w:ascii="宋体" w:hAnsi="宋体" w:eastAsia="宋体" w:cs="宋体"/>
          <w:highlight w:val="none"/>
        </w:rPr>
        <w:t>11）嵌入式监控主机</w:t>
      </w:r>
    </w:p>
    <w:p>
      <w:pPr>
        <w:pStyle w:val="48"/>
        <w:numPr>
          <w:ilvl w:val="0"/>
          <w:numId w:val="89"/>
        </w:numPr>
        <w:tabs>
          <w:tab w:val="left" w:pos="1440"/>
          <w:tab w:val="left" w:pos="168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CPU不低于Intel®Celeron J4125 ,4MB Cache,四核四线程，2.0GHz</w:t>
      </w:r>
    </w:p>
    <w:p>
      <w:pPr>
        <w:pStyle w:val="48"/>
        <w:numPr>
          <w:ilvl w:val="0"/>
          <w:numId w:val="89"/>
        </w:numPr>
        <w:tabs>
          <w:tab w:val="left" w:pos="1440"/>
          <w:tab w:val="left" w:pos="168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内存≥8G；</w:t>
      </w:r>
    </w:p>
    <w:p>
      <w:pPr>
        <w:pStyle w:val="48"/>
        <w:numPr>
          <w:ilvl w:val="0"/>
          <w:numId w:val="89"/>
        </w:numPr>
        <w:tabs>
          <w:tab w:val="left" w:pos="1440"/>
          <w:tab w:val="left" w:pos="168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硬盘不少于机械硬盘1T</w:t>
      </w:r>
    </w:p>
    <w:p>
      <w:pPr>
        <w:pStyle w:val="48"/>
        <w:numPr>
          <w:ilvl w:val="0"/>
          <w:numId w:val="89"/>
        </w:numPr>
        <w:tabs>
          <w:tab w:val="left" w:pos="1440"/>
          <w:tab w:val="left" w:pos="168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2个10/100/1000M以太网口</w:t>
      </w:r>
    </w:p>
    <w:p>
      <w:pPr>
        <w:pStyle w:val="48"/>
        <w:numPr>
          <w:ilvl w:val="0"/>
          <w:numId w:val="89"/>
        </w:numPr>
        <w:tabs>
          <w:tab w:val="left" w:pos="1440"/>
          <w:tab w:val="left" w:pos="168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串口不少于2个RS232，6个RS485串口</w:t>
      </w:r>
    </w:p>
    <w:p>
      <w:pPr>
        <w:pStyle w:val="48"/>
        <w:numPr>
          <w:ilvl w:val="0"/>
          <w:numId w:val="89"/>
        </w:numPr>
        <w:tabs>
          <w:tab w:val="left" w:pos="1440"/>
          <w:tab w:val="left" w:pos="168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IO通道不少于6DI 、2 DO ；</w:t>
      </w:r>
    </w:p>
    <w:p>
      <w:pPr>
        <w:pStyle w:val="48"/>
        <w:numPr>
          <w:ilvl w:val="0"/>
          <w:numId w:val="89"/>
        </w:numPr>
        <w:tabs>
          <w:tab w:val="left" w:pos="1440"/>
          <w:tab w:val="left" w:pos="168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电源输出不少于10路12V输出</w:t>
      </w:r>
    </w:p>
    <w:p>
      <w:pPr>
        <w:pStyle w:val="48"/>
        <w:numPr>
          <w:ilvl w:val="0"/>
          <w:numId w:val="89"/>
        </w:numPr>
        <w:tabs>
          <w:tab w:val="left" w:pos="1440"/>
          <w:tab w:val="left" w:pos="168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3个USB口</w:t>
      </w:r>
    </w:p>
    <w:p>
      <w:pPr>
        <w:pStyle w:val="48"/>
        <w:numPr>
          <w:ilvl w:val="0"/>
          <w:numId w:val="89"/>
        </w:numPr>
        <w:tabs>
          <w:tab w:val="left" w:pos="1440"/>
          <w:tab w:val="left" w:pos="168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支持双电源AC 220V输入</w:t>
      </w:r>
    </w:p>
    <w:p>
      <w:pPr>
        <w:pStyle w:val="48"/>
        <w:numPr>
          <w:ilvl w:val="0"/>
          <w:numId w:val="89"/>
        </w:numPr>
        <w:tabs>
          <w:tab w:val="left" w:pos="1440"/>
          <w:tab w:val="left" w:pos="168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功耗&lt;25W</w:t>
      </w:r>
    </w:p>
    <w:p>
      <w:pPr>
        <w:pStyle w:val="48"/>
        <w:numPr>
          <w:ilvl w:val="0"/>
          <w:numId w:val="89"/>
        </w:numPr>
        <w:tabs>
          <w:tab w:val="left" w:pos="1440"/>
          <w:tab w:val="left" w:pos="168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环境温度：-10℃～55℃</w:t>
      </w:r>
    </w:p>
    <w:p>
      <w:pPr>
        <w:pStyle w:val="48"/>
        <w:numPr>
          <w:ilvl w:val="0"/>
          <w:numId w:val="89"/>
        </w:numPr>
        <w:tabs>
          <w:tab w:val="left" w:pos="1440"/>
          <w:tab w:val="left" w:pos="168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环境湿度：5%～95%RH，无凝露</w:t>
      </w:r>
    </w:p>
    <w:p>
      <w:pPr>
        <w:pStyle w:val="48"/>
        <w:numPr>
          <w:ilvl w:val="0"/>
          <w:numId w:val="89"/>
        </w:numPr>
        <w:tabs>
          <w:tab w:val="left" w:pos="1440"/>
          <w:tab w:val="left" w:pos="168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1U标准机架安装</w:t>
      </w:r>
    </w:p>
    <w:p>
      <w:pPr>
        <w:pStyle w:val="7"/>
        <w:ind w:left="1134" w:right="-180" w:rightChars="-75" w:hanging="708"/>
        <w:rPr>
          <w:rFonts w:ascii="宋体" w:hAnsi="宋体" w:eastAsia="宋体" w:cs="宋体"/>
          <w:highlight w:val="none"/>
        </w:rPr>
      </w:pPr>
      <w:r>
        <w:rPr>
          <w:rFonts w:hint="eastAsia" w:ascii="宋体" w:hAnsi="宋体" w:eastAsia="宋体" w:cs="宋体"/>
          <w:highlight w:val="none"/>
        </w:rPr>
        <w:t>12）人脸识别终端：</w:t>
      </w:r>
    </w:p>
    <w:p>
      <w:pPr>
        <w:pStyle w:val="48"/>
        <w:numPr>
          <w:ilvl w:val="0"/>
          <w:numId w:val="90"/>
        </w:numPr>
        <w:tabs>
          <w:tab w:val="left" w:pos="1440"/>
          <w:tab w:val="left" w:pos="168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读卡类型：支持IC卡、CUP卡、二维码、密码开门、国密卡</w:t>
      </w:r>
    </w:p>
    <w:p>
      <w:pPr>
        <w:pStyle w:val="48"/>
        <w:numPr>
          <w:ilvl w:val="0"/>
          <w:numId w:val="90"/>
        </w:numPr>
        <w:tabs>
          <w:tab w:val="left" w:pos="1440"/>
          <w:tab w:val="left" w:pos="168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接口:韦根26、韦根34、开关量、USB</w:t>
      </w:r>
    </w:p>
    <w:p>
      <w:pPr>
        <w:pStyle w:val="48"/>
        <w:numPr>
          <w:ilvl w:val="0"/>
          <w:numId w:val="90"/>
        </w:numPr>
        <w:tabs>
          <w:tab w:val="left" w:pos="1440"/>
          <w:tab w:val="left" w:pos="168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通讯方式：TCP、WIFI</w:t>
      </w:r>
    </w:p>
    <w:p>
      <w:pPr>
        <w:pStyle w:val="48"/>
        <w:numPr>
          <w:ilvl w:val="0"/>
          <w:numId w:val="90"/>
        </w:numPr>
        <w:tabs>
          <w:tab w:val="left" w:pos="1440"/>
          <w:tab w:val="left" w:pos="168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人脸库:5万</w:t>
      </w:r>
    </w:p>
    <w:p>
      <w:pPr>
        <w:pStyle w:val="48"/>
        <w:numPr>
          <w:ilvl w:val="0"/>
          <w:numId w:val="90"/>
        </w:numPr>
        <w:tabs>
          <w:tab w:val="left" w:pos="1440"/>
          <w:tab w:val="left" w:pos="168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识别时间:&lt;1s</w:t>
      </w:r>
    </w:p>
    <w:p>
      <w:pPr>
        <w:pStyle w:val="48"/>
        <w:numPr>
          <w:ilvl w:val="0"/>
          <w:numId w:val="90"/>
        </w:numPr>
        <w:tabs>
          <w:tab w:val="left" w:pos="1440"/>
          <w:tab w:val="left" w:pos="168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错误识别率:＜0.01%</w:t>
      </w:r>
    </w:p>
    <w:p>
      <w:pPr>
        <w:pStyle w:val="48"/>
        <w:numPr>
          <w:ilvl w:val="0"/>
          <w:numId w:val="90"/>
        </w:numPr>
        <w:tabs>
          <w:tab w:val="left" w:pos="1440"/>
          <w:tab w:val="left" w:pos="168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拒绝识别率: ＜0.1%</w:t>
      </w:r>
    </w:p>
    <w:p>
      <w:pPr>
        <w:pStyle w:val="48"/>
        <w:numPr>
          <w:ilvl w:val="0"/>
          <w:numId w:val="90"/>
        </w:numPr>
        <w:tabs>
          <w:tab w:val="left" w:pos="1440"/>
          <w:tab w:val="left" w:pos="168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活体检测:支持</w:t>
      </w:r>
    </w:p>
    <w:p>
      <w:pPr>
        <w:pStyle w:val="48"/>
        <w:numPr>
          <w:ilvl w:val="0"/>
          <w:numId w:val="90"/>
        </w:numPr>
        <w:tabs>
          <w:tab w:val="left" w:pos="1440"/>
          <w:tab w:val="left" w:pos="168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人脸登记方式:照片录入/身份证阅读录入</w:t>
      </w:r>
    </w:p>
    <w:p>
      <w:pPr>
        <w:pStyle w:val="48"/>
        <w:numPr>
          <w:ilvl w:val="0"/>
          <w:numId w:val="90"/>
        </w:numPr>
        <w:tabs>
          <w:tab w:val="left" w:pos="1440"/>
          <w:tab w:val="left" w:pos="168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人脸响应时间：离线式人脸识别平均响应时间应＜1S（10000人）</w:t>
      </w:r>
    </w:p>
    <w:p>
      <w:pPr>
        <w:pStyle w:val="48"/>
        <w:numPr>
          <w:ilvl w:val="0"/>
          <w:numId w:val="90"/>
        </w:numPr>
        <w:tabs>
          <w:tab w:val="left" w:pos="1440"/>
          <w:tab w:val="left" w:pos="168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脸识读距离：识别距离应保证在30~80cm之间</w:t>
      </w:r>
    </w:p>
    <w:p>
      <w:pPr>
        <w:pStyle w:val="48"/>
        <w:numPr>
          <w:ilvl w:val="0"/>
          <w:numId w:val="90"/>
        </w:numPr>
        <w:tabs>
          <w:tab w:val="left" w:pos="1440"/>
          <w:tab w:val="left" w:pos="168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人脸识别摄像机部分要求：</w:t>
      </w:r>
    </w:p>
    <w:p>
      <w:pPr>
        <w:pStyle w:val="48"/>
        <w:numPr>
          <w:ilvl w:val="0"/>
          <w:numId w:val="90"/>
        </w:numPr>
        <w:tabs>
          <w:tab w:val="left" w:pos="1440"/>
          <w:tab w:val="left" w:pos="168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图像水平分辨率应≥720TVL；</w:t>
      </w:r>
    </w:p>
    <w:p>
      <w:pPr>
        <w:pStyle w:val="48"/>
        <w:numPr>
          <w:ilvl w:val="0"/>
          <w:numId w:val="90"/>
        </w:numPr>
        <w:tabs>
          <w:tab w:val="left" w:pos="1440"/>
          <w:tab w:val="left" w:pos="168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灰度等级试验应≥10级；</w:t>
      </w:r>
    </w:p>
    <w:p>
      <w:pPr>
        <w:pStyle w:val="48"/>
        <w:numPr>
          <w:ilvl w:val="0"/>
          <w:numId w:val="90"/>
        </w:numPr>
        <w:tabs>
          <w:tab w:val="left" w:pos="1440"/>
          <w:tab w:val="left" w:pos="168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采集帧率不低于25帧/s；</w:t>
      </w:r>
    </w:p>
    <w:p>
      <w:pPr>
        <w:pStyle w:val="48"/>
        <w:numPr>
          <w:ilvl w:val="0"/>
          <w:numId w:val="90"/>
        </w:numPr>
        <w:tabs>
          <w:tab w:val="left" w:pos="1440"/>
          <w:tab w:val="left" w:pos="168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采集图像的颜色与被摄物对比，在同等色温环境下应无明显偏色；室外应用的产品应具备宽动态功能；</w:t>
      </w:r>
    </w:p>
    <w:p>
      <w:pPr>
        <w:pStyle w:val="48"/>
        <w:numPr>
          <w:ilvl w:val="0"/>
          <w:numId w:val="90"/>
        </w:numPr>
        <w:tabs>
          <w:tab w:val="left" w:pos="1440"/>
          <w:tab w:val="left" w:pos="168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采集的人脸图像应无明显畸变；</w:t>
      </w:r>
    </w:p>
    <w:p>
      <w:pPr>
        <w:pStyle w:val="48"/>
        <w:numPr>
          <w:ilvl w:val="0"/>
          <w:numId w:val="90"/>
        </w:numPr>
        <w:tabs>
          <w:tab w:val="left" w:pos="1440"/>
          <w:tab w:val="left" w:pos="168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人脸注册成功率≥99%；人脸识别通过率（基于人脸阙值93）；静态人脸识别通过率不小于98%，动态人脸识别通过率不小于85%</w:t>
      </w:r>
    </w:p>
    <w:p>
      <w:pPr>
        <w:pStyle w:val="48"/>
        <w:numPr>
          <w:ilvl w:val="0"/>
          <w:numId w:val="90"/>
        </w:numPr>
        <w:tabs>
          <w:tab w:val="left" w:pos="1440"/>
          <w:tab w:val="left" w:pos="168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环境照度0.11ux时应能正常进行人脸识别</w:t>
      </w:r>
    </w:p>
    <w:p>
      <w:pPr>
        <w:pStyle w:val="48"/>
        <w:numPr>
          <w:ilvl w:val="0"/>
          <w:numId w:val="90"/>
        </w:numPr>
        <w:tabs>
          <w:tab w:val="left" w:pos="1440"/>
          <w:tab w:val="left" w:pos="168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 xml:space="preserve">人脸识别注册具备①应能使用符合GA/T922.2-2011中4.1要求静态人脸图像数据进行人脸注册②应能采集现场人脸图像数据进行人脸注册；③应能批量导入人脸图像数据进行人脸注册④应能对建库照片进行人员字段的添加和编辑，图片格式要求符合JPG或JPEG、BMP、PNG. </w:t>
      </w:r>
    </w:p>
    <w:p>
      <w:pPr>
        <w:pStyle w:val="48"/>
        <w:numPr>
          <w:ilvl w:val="0"/>
          <w:numId w:val="90"/>
        </w:numPr>
        <w:tabs>
          <w:tab w:val="left" w:pos="1440"/>
          <w:tab w:val="left" w:pos="168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人脸识别具备①应能自动摄取人脸图像，并从获取的人脸图像中提取人脸特征，与注册名单中所有目标人人脸特征进行比对，生产相似度值；②应能对人脸比对产生的相似度进行分析，根据设定的阙值输出控制指令，控制出入口开启，并记录关联信息③应能对人脸比对结果给出可听/可视提示；④当不能有效识别人脸图像时，应给出可听/可视提示；⑤使用照片或视频应不能进行有效识别。</w:t>
      </w:r>
    </w:p>
    <w:p>
      <w:pPr>
        <w:pStyle w:val="7"/>
        <w:ind w:left="1134" w:right="-180" w:rightChars="-75" w:hanging="708"/>
        <w:rPr>
          <w:rFonts w:ascii="宋体" w:hAnsi="宋体" w:eastAsia="宋体" w:cs="宋体"/>
          <w:highlight w:val="none"/>
        </w:rPr>
      </w:pPr>
      <w:r>
        <w:rPr>
          <w:rFonts w:hint="eastAsia" w:ascii="宋体" w:hAnsi="宋体" w:eastAsia="宋体" w:cs="宋体"/>
          <w:highlight w:val="none"/>
        </w:rPr>
        <w:t>13）64路硬盘录像机：</w:t>
      </w:r>
    </w:p>
    <w:p>
      <w:pPr>
        <w:pStyle w:val="48"/>
        <w:numPr>
          <w:ilvl w:val="0"/>
          <w:numId w:val="91"/>
        </w:numPr>
        <w:tabs>
          <w:tab w:val="left" w:pos="1440"/>
          <w:tab w:val="left" w:pos="168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16盘位64路网络硬盘录像机；</w:t>
      </w:r>
    </w:p>
    <w:p>
      <w:pPr>
        <w:pStyle w:val="48"/>
        <w:numPr>
          <w:ilvl w:val="0"/>
          <w:numId w:val="91"/>
        </w:numPr>
        <w:tabs>
          <w:tab w:val="left" w:pos="1440"/>
          <w:tab w:val="left" w:pos="168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384Mbps接入带宽；4x4K@25,16x1080P@30解码能力；</w:t>
      </w:r>
    </w:p>
    <w:p>
      <w:pPr>
        <w:pStyle w:val="48"/>
        <w:numPr>
          <w:ilvl w:val="0"/>
          <w:numId w:val="91"/>
        </w:numPr>
        <w:tabs>
          <w:tab w:val="left" w:pos="1440"/>
          <w:tab w:val="left" w:pos="168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4个RJ45千兆以太网口，2个千兆光口，2个HDMI接口，1个VGA接口，1入/1出音频接口，24入/8出报警接口，4个USB3.0接口；支持2个Mini SAS接口（可接入2个扩展柜）；</w:t>
      </w:r>
    </w:p>
    <w:p>
      <w:pPr>
        <w:pStyle w:val="48"/>
        <w:numPr>
          <w:ilvl w:val="0"/>
          <w:numId w:val="91"/>
        </w:numPr>
        <w:tabs>
          <w:tab w:val="left" w:pos="1440"/>
          <w:tab w:val="left" w:pos="168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2个扩展插槽（可接入解码卡）；支持H.264、H.265编码、超级265智能编码技术；支持ONVIF、RTSP、国标(GB/T28181（2016）)等协议；支持RAID0/1/5/6/10/50/60阵列存储；支持硬盘热插拔；支持N+1热备；支持智能搜索、智能回放功能，有效提高录像检索与回放效率；支持对重要录像的锁定、解锁，支持警前警后录像；</w:t>
      </w:r>
    </w:p>
    <w:p>
      <w:pPr>
        <w:pStyle w:val="48"/>
        <w:numPr>
          <w:ilvl w:val="0"/>
          <w:numId w:val="91"/>
        </w:numPr>
        <w:tabs>
          <w:tab w:val="left" w:pos="1440"/>
          <w:tab w:val="left" w:pos="168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支持人脸检测、区域入侵、越界检测、音频检测等多种智能检测相机接入和联动；支持客流量统计（配合客流统计相机）等功能；</w:t>
      </w:r>
    </w:p>
    <w:p>
      <w:pPr>
        <w:pStyle w:val="7"/>
        <w:ind w:left="1134" w:right="-180" w:rightChars="-75" w:hanging="708"/>
        <w:rPr>
          <w:rFonts w:ascii="宋体" w:hAnsi="宋体" w:eastAsia="宋体" w:cs="宋体"/>
          <w:highlight w:val="none"/>
        </w:rPr>
      </w:pPr>
      <w:r>
        <w:rPr>
          <w:rFonts w:hint="eastAsia" w:ascii="宋体" w:hAnsi="宋体" w:eastAsia="宋体" w:cs="宋体"/>
          <w:highlight w:val="none"/>
        </w:rPr>
        <w:t xml:space="preserve">14）室内半球摄像机技术要求 </w:t>
      </w:r>
    </w:p>
    <w:p>
      <w:pPr>
        <w:pStyle w:val="48"/>
        <w:numPr>
          <w:ilvl w:val="0"/>
          <w:numId w:val="92"/>
        </w:numPr>
        <w:tabs>
          <w:tab w:val="left" w:pos="1440"/>
          <w:tab w:val="left" w:pos="168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400万像素1/3"半球网络摄像机</w:t>
      </w:r>
    </w:p>
    <w:p>
      <w:pPr>
        <w:pStyle w:val="48"/>
        <w:numPr>
          <w:ilvl w:val="0"/>
          <w:numId w:val="92"/>
        </w:numPr>
        <w:tabs>
          <w:tab w:val="left" w:pos="1440"/>
          <w:tab w:val="left" w:pos="168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镜头：定焦，焦距2.8mm/4mm/6mm可选</w:t>
      </w:r>
    </w:p>
    <w:p>
      <w:pPr>
        <w:pStyle w:val="48"/>
        <w:numPr>
          <w:ilvl w:val="0"/>
          <w:numId w:val="92"/>
        </w:numPr>
        <w:tabs>
          <w:tab w:val="left" w:pos="1440"/>
          <w:tab w:val="left" w:pos="168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最低照度：彩色≤0.005lx，0lux(开启红外)</w:t>
      </w:r>
    </w:p>
    <w:p>
      <w:pPr>
        <w:pStyle w:val="48"/>
        <w:numPr>
          <w:ilvl w:val="0"/>
          <w:numId w:val="92"/>
        </w:numPr>
        <w:tabs>
          <w:tab w:val="left" w:pos="1440"/>
          <w:tab w:val="left" w:pos="168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支持ONVIF、GB/T 28181标准协议</w:t>
      </w:r>
    </w:p>
    <w:p>
      <w:pPr>
        <w:pStyle w:val="48"/>
        <w:numPr>
          <w:ilvl w:val="0"/>
          <w:numId w:val="92"/>
        </w:numPr>
        <w:tabs>
          <w:tab w:val="left" w:pos="1440"/>
          <w:tab w:val="left" w:pos="168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支持H.265、H.264、MJPEG编码</w:t>
      </w:r>
    </w:p>
    <w:p>
      <w:pPr>
        <w:pStyle w:val="48"/>
        <w:numPr>
          <w:ilvl w:val="0"/>
          <w:numId w:val="92"/>
        </w:numPr>
        <w:tabs>
          <w:tab w:val="left" w:pos="1440"/>
          <w:tab w:val="left" w:pos="168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支持三码流，主码流不低于2688×1520@30fps</w:t>
      </w:r>
    </w:p>
    <w:p>
      <w:pPr>
        <w:pStyle w:val="48"/>
        <w:numPr>
          <w:ilvl w:val="0"/>
          <w:numId w:val="92"/>
        </w:numPr>
        <w:tabs>
          <w:tab w:val="left" w:pos="1440"/>
          <w:tab w:val="left" w:pos="168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支持走廊模式，开启走廊模式之后，监控画面可90°旋转并自动调整宽高比</w:t>
      </w:r>
    </w:p>
    <w:p>
      <w:pPr>
        <w:pStyle w:val="48"/>
        <w:numPr>
          <w:ilvl w:val="0"/>
          <w:numId w:val="92"/>
        </w:numPr>
        <w:tabs>
          <w:tab w:val="left" w:pos="1440"/>
          <w:tab w:val="left" w:pos="168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支持以IPSAN或以ISCSI直存方式进行双路传输数据</w:t>
      </w:r>
    </w:p>
    <w:p>
      <w:pPr>
        <w:pStyle w:val="48"/>
        <w:numPr>
          <w:ilvl w:val="0"/>
          <w:numId w:val="92"/>
        </w:numPr>
        <w:tabs>
          <w:tab w:val="left" w:pos="1440"/>
          <w:tab w:val="left" w:pos="168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宽动态自动切换功能，当环境亮度变化时，可自动开启/关闭宽动态</w:t>
      </w:r>
    </w:p>
    <w:p>
      <w:pPr>
        <w:pStyle w:val="48"/>
        <w:numPr>
          <w:ilvl w:val="0"/>
          <w:numId w:val="92"/>
        </w:numPr>
        <w:tabs>
          <w:tab w:val="left" w:pos="1440"/>
          <w:tab w:val="left" w:pos="168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支持双向语音对讲和单向语音广播功能</w:t>
      </w:r>
    </w:p>
    <w:p>
      <w:pPr>
        <w:pStyle w:val="48"/>
        <w:numPr>
          <w:ilvl w:val="0"/>
          <w:numId w:val="92"/>
        </w:numPr>
        <w:tabs>
          <w:tab w:val="left" w:pos="1440"/>
          <w:tab w:val="left" w:pos="168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供电方式：DC12V±25%，支持POE供电</w:t>
      </w:r>
    </w:p>
    <w:p>
      <w:pPr>
        <w:pStyle w:val="48"/>
        <w:numPr>
          <w:ilvl w:val="0"/>
          <w:numId w:val="92"/>
        </w:numPr>
        <w:tabs>
          <w:tab w:val="left" w:pos="1440"/>
          <w:tab w:val="left" w:pos="168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接口：1路10M/100M自适应以太网电口</w:t>
      </w:r>
    </w:p>
    <w:p>
      <w:pPr>
        <w:pStyle w:val="48"/>
        <w:numPr>
          <w:ilvl w:val="0"/>
          <w:numId w:val="92"/>
        </w:numPr>
        <w:tabs>
          <w:tab w:val="left" w:pos="1440"/>
          <w:tab w:val="left" w:pos="168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防护等级不低于IP66</w:t>
      </w:r>
    </w:p>
    <w:p>
      <w:pPr>
        <w:pStyle w:val="7"/>
        <w:ind w:left="1134" w:right="-180" w:rightChars="-75" w:hanging="708"/>
        <w:rPr>
          <w:rFonts w:ascii="宋体" w:hAnsi="宋体" w:eastAsia="宋体" w:cs="宋体"/>
          <w:highlight w:val="none"/>
        </w:rPr>
      </w:pPr>
      <w:r>
        <w:rPr>
          <w:rFonts w:hint="eastAsia" w:ascii="宋体" w:hAnsi="宋体" w:eastAsia="宋体" w:cs="宋体"/>
          <w:highlight w:val="none"/>
        </w:rPr>
        <w:t xml:space="preserve">15）CAT 6A屏蔽跳线（8层数据中心使用）技术要求 </w:t>
      </w:r>
    </w:p>
    <w:p>
      <w:pPr>
        <w:pStyle w:val="48"/>
        <w:numPr>
          <w:ilvl w:val="0"/>
          <w:numId w:val="93"/>
        </w:numPr>
        <w:tabs>
          <w:tab w:val="left" w:pos="1440"/>
          <w:tab w:val="left" w:pos="1680"/>
        </w:tabs>
        <w:spacing w:line="360" w:lineRule="auto"/>
        <w:ind w:left="1434" w:right="-180" w:rightChars="-75" w:firstLine="6" w:firstLineChars="0"/>
        <w:rPr>
          <w:rFonts w:ascii="宋体" w:hAnsi="宋体" w:eastAsia="宋体" w:cs="宋体"/>
          <w:sz w:val="24"/>
          <w:szCs w:val="24"/>
          <w:highlight w:val="none"/>
        </w:rPr>
      </w:pPr>
      <w:r>
        <w:rPr>
          <w:rFonts w:hint="eastAsia" w:ascii="宋体" w:hAnsi="宋体" w:eastAsia="宋体" w:cs="宋体"/>
          <w:sz w:val="24"/>
          <w:szCs w:val="24"/>
          <w:highlight w:val="none"/>
        </w:rPr>
        <w:t>导体直径:28-30AWG,多股铜线；</w:t>
      </w:r>
    </w:p>
    <w:p>
      <w:pPr>
        <w:pStyle w:val="48"/>
        <w:numPr>
          <w:ilvl w:val="0"/>
          <w:numId w:val="93"/>
        </w:numPr>
        <w:tabs>
          <w:tab w:val="left" w:pos="1440"/>
          <w:tab w:val="left" w:pos="1680"/>
        </w:tabs>
        <w:spacing w:line="360" w:lineRule="auto"/>
        <w:ind w:left="1434" w:right="-180" w:rightChars="-75" w:firstLine="6" w:firstLineChars="0"/>
        <w:rPr>
          <w:rFonts w:ascii="宋体" w:hAnsi="宋体" w:eastAsia="宋体" w:cs="宋体"/>
          <w:sz w:val="24"/>
          <w:szCs w:val="24"/>
          <w:highlight w:val="none"/>
        </w:rPr>
      </w:pPr>
      <w:r>
        <w:rPr>
          <w:rFonts w:hint="eastAsia" w:ascii="宋体" w:hAnsi="宋体" w:eastAsia="宋体" w:cs="宋体"/>
          <w:sz w:val="24"/>
          <w:szCs w:val="24"/>
          <w:highlight w:val="none"/>
        </w:rPr>
        <w:t>线缆类型：S/FTP；</w:t>
      </w:r>
    </w:p>
    <w:p>
      <w:pPr>
        <w:pStyle w:val="48"/>
        <w:numPr>
          <w:ilvl w:val="0"/>
          <w:numId w:val="93"/>
        </w:numPr>
        <w:tabs>
          <w:tab w:val="left" w:pos="1440"/>
          <w:tab w:val="left" w:pos="1680"/>
        </w:tabs>
        <w:spacing w:line="360" w:lineRule="auto"/>
        <w:ind w:left="1434" w:right="-180" w:rightChars="-75" w:firstLine="6" w:firstLineChars="0"/>
        <w:rPr>
          <w:rFonts w:ascii="宋体" w:hAnsi="宋体" w:eastAsia="宋体" w:cs="宋体"/>
          <w:sz w:val="24"/>
          <w:szCs w:val="24"/>
          <w:highlight w:val="none"/>
        </w:rPr>
      </w:pPr>
      <w:r>
        <w:rPr>
          <w:rFonts w:hint="eastAsia" w:ascii="宋体" w:hAnsi="宋体" w:eastAsia="宋体" w:cs="宋体"/>
          <w:sz w:val="24"/>
          <w:szCs w:val="24"/>
          <w:highlight w:val="none"/>
        </w:rPr>
        <w:t>传输带宽:500MHz；</w:t>
      </w:r>
    </w:p>
    <w:p>
      <w:pPr>
        <w:pStyle w:val="48"/>
        <w:numPr>
          <w:ilvl w:val="0"/>
          <w:numId w:val="93"/>
        </w:numPr>
        <w:tabs>
          <w:tab w:val="left" w:pos="1440"/>
          <w:tab w:val="left" w:pos="1680"/>
        </w:tabs>
        <w:spacing w:line="360" w:lineRule="auto"/>
        <w:ind w:left="1434" w:right="-180" w:rightChars="-75" w:firstLine="6" w:firstLineChars="0"/>
        <w:rPr>
          <w:rFonts w:ascii="宋体" w:hAnsi="宋体" w:eastAsia="宋体" w:cs="宋体"/>
          <w:sz w:val="24"/>
          <w:szCs w:val="24"/>
          <w:highlight w:val="none"/>
        </w:rPr>
      </w:pPr>
      <w:r>
        <w:rPr>
          <w:rFonts w:hint="eastAsia" w:ascii="宋体" w:hAnsi="宋体" w:eastAsia="宋体" w:cs="宋体"/>
          <w:sz w:val="24"/>
          <w:szCs w:val="24"/>
          <w:highlight w:val="none"/>
        </w:rPr>
        <w:t>标准：符合TIA/EIA-568B.2-10和ISO11801 2nd1.1附录；低烟无卤性能；阻燃性能满足IEC 60332-1</w:t>
      </w:r>
    </w:p>
    <w:p>
      <w:pPr>
        <w:pStyle w:val="48"/>
        <w:numPr>
          <w:ilvl w:val="0"/>
          <w:numId w:val="93"/>
        </w:numPr>
        <w:tabs>
          <w:tab w:val="left" w:pos="1440"/>
          <w:tab w:val="left" w:pos="1680"/>
        </w:tabs>
        <w:spacing w:line="360" w:lineRule="auto"/>
        <w:ind w:left="1434" w:right="-180" w:rightChars="-75" w:firstLine="6" w:firstLineChars="0"/>
        <w:rPr>
          <w:rFonts w:ascii="宋体" w:hAnsi="宋体" w:eastAsia="宋体" w:cs="宋体"/>
          <w:sz w:val="24"/>
          <w:szCs w:val="24"/>
          <w:highlight w:val="none"/>
        </w:rPr>
      </w:pPr>
      <w:r>
        <w:rPr>
          <w:rFonts w:hint="eastAsia" w:ascii="宋体" w:hAnsi="宋体" w:eastAsia="宋体" w:cs="宋体"/>
          <w:sz w:val="24"/>
          <w:szCs w:val="24"/>
          <w:highlight w:val="none"/>
        </w:rPr>
        <w:t>长度：3米/5米/10米/20米。</w:t>
      </w:r>
    </w:p>
    <w:p>
      <w:pPr>
        <w:pStyle w:val="48"/>
        <w:numPr>
          <w:ilvl w:val="0"/>
          <w:numId w:val="93"/>
        </w:numPr>
        <w:tabs>
          <w:tab w:val="left" w:pos="1440"/>
          <w:tab w:val="left" w:pos="1680"/>
        </w:tabs>
        <w:spacing w:line="360" w:lineRule="auto"/>
        <w:ind w:left="1434" w:right="-180" w:rightChars="-75" w:firstLine="6" w:firstLineChars="0"/>
        <w:rPr>
          <w:rFonts w:ascii="宋体" w:hAnsi="宋体" w:eastAsia="宋体" w:cs="宋体"/>
          <w:sz w:val="24"/>
          <w:szCs w:val="24"/>
          <w:highlight w:val="none"/>
        </w:rPr>
      </w:pPr>
      <w:r>
        <w:rPr>
          <w:rFonts w:hint="eastAsia" w:ascii="宋体" w:hAnsi="宋体" w:eastAsia="宋体" w:cs="宋体"/>
          <w:sz w:val="24"/>
          <w:szCs w:val="24"/>
          <w:highlight w:val="none"/>
        </w:rPr>
        <w:t>最小插拔次数：大于等于750次（IEC 60603-7）；</w:t>
      </w:r>
    </w:p>
    <w:p>
      <w:pPr>
        <w:pStyle w:val="48"/>
        <w:numPr>
          <w:ilvl w:val="0"/>
          <w:numId w:val="93"/>
        </w:numPr>
        <w:tabs>
          <w:tab w:val="left" w:pos="1440"/>
          <w:tab w:val="left" w:pos="1680"/>
        </w:tabs>
        <w:spacing w:line="360" w:lineRule="auto"/>
        <w:ind w:left="1434" w:right="-180" w:rightChars="-75" w:firstLine="6" w:firstLineChars="0"/>
        <w:rPr>
          <w:rFonts w:ascii="宋体" w:hAnsi="宋体" w:eastAsia="宋体" w:cs="宋体"/>
          <w:sz w:val="24"/>
          <w:szCs w:val="24"/>
          <w:highlight w:val="none"/>
        </w:rPr>
      </w:pPr>
      <w:r>
        <w:rPr>
          <w:rFonts w:hint="eastAsia" w:ascii="宋体" w:hAnsi="宋体" w:eastAsia="宋体" w:cs="宋体"/>
          <w:sz w:val="24"/>
          <w:szCs w:val="24"/>
          <w:highlight w:val="none"/>
        </w:rPr>
        <w:t>提供多种颜色的跳线，满足彩色化管理需求；</w:t>
      </w:r>
    </w:p>
    <w:p>
      <w:pPr>
        <w:pStyle w:val="48"/>
        <w:numPr>
          <w:ilvl w:val="0"/>
          <w:numId w:val="93"/>
        </w:numPr>
        <w:tabs>
          <w:tab w:val="left" w:pos="1440"/>
          <w:tab w:val="left" w:pos="1680"/>
        </w:tabs>
        <w:spacing w:line="360" w:lineRule="auto"/>
        <w:ind w:left="1434" w:right="-180" w:rightChars="-75" w:firstLine="6" w:firstLineChars="0"/>
        <w:rPr>
          <w:rFonts w:ascii="宋体" w:hAnsi="宋体" w:eastAsia="宋体" w:cs="宋体"/>
          <w:sz w:val="24"/>
          <w:szCs w:val="24"/>
          <w:highlight w:val="none"/>
        </w:rPr>
      </w:pPr>
      <w:r>
        <w:rPr>
          <w:rFonts w:hint="eastAsia" w:ascii="宋体" w:hAnsi="宋体" w:eastAsia="宋体" w:cs="宋体"/>
          <w:sz w:val="24"/>
          <w:szCs w:val="24"/>
          <w:highlight w:val="none"/>
        </w:rPr>
        <w:t>插针：底层镀&gt;100µm镍,局部镀50µm铜锡磷合金，其他部位镀金；</w:t>
      </w:r>
    </w:p>
    <w:p>
      <w:pPr>
        <w:pStyle w:val="7"/>
        <w:ind w:left="1134" w:right="-180" w:rightChars="-75" w:hanging="708"/>
        <w:rPr>
          <w:rFonts w:ascii="宋体" w:hAnsi="宋体" w:eastAsia="宋体" w:cs="宋体"/>
          <w:highlight w:val="none"/>
        </w:rPr>
      </w:pPr>
      <w:r>
        <w:rPr>
          <w:rFonts w:hint="eastAsia" w:ascii="宋体" w:hAnsi="宋体" w:eastAsia="宋体" w:cs="宋体"/>
          <w:highlight w:val="none"/>
        </w:rPr>
        <w:t xml:space="preserve">16）24口配线架技术要求 </w:t>
      </w:r>
    </w:p>
    <w:p>
      <w:pPr>
        <w:pStyle w:val="48"/>
        <w:numPr>
          <w:ilvl w:val="0"/>
          <w:numId w:val="94"/>
        </w:numPr>
        <w:tabs>
          <w:tab w:val="left" w:pos="1440"/>
          <w:tab w:val="left" w:pos="168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19“标准机柜安装,高度1U,支持24个六类/超六类屏蔽模块插座；</w:t>
      </w:r>
    </w:p>
    <w:p>
      <w:pPr>
        <w:pStyle w:val="48"/>
        <w:numPr>
          <w:ilvl w:val="0"/>
          <w:numId w:val="94"/>
        </w:numPr>
        <w:tabs>
          <w:tab w:val="left" w:pos="1440"/>
          <w:tab w:val="left" w:pos="168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与工作区信息模块完全兼容，每个插座可以单独拆卸，支持彩色化管理；</w:t>
      </w:r>
    </w:p>
    <w:p>
      <w:pPr>
        <w:pStyle w:val="48"/>
        <w:numPr>
          <w:ilvl w:val="0"/>
          <w:numId w:val="94"/>
        </w:numPr>
        <w:tabs>
          <w:tab w:val="left" w:pos="1440"/>
          <w:tab w:val="left" w:pos="168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线缆类型：屏蔽；</w:t>
      </w:r>
    </w:p>
    <w:p>
      <w:pPr>
        <w:pStyle w:val="48"/>
        <w:numPr>
          <w:ilvl w:val="0"/>
          <w:numId w:val="94"/>
        </w:numPr>
        <w:tabs>
          <w:tab w:val="left" w:pos="1440"/>
          <w:tab w:val="left" w:pos="168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360度完全屏蔽，带接地附件；</w:t>
      </w:r>
    </w:p>
    <w:p>
      <w:pPr>
        <w:pStyle w:val="48"/>
        <w:numPr>
          <w:ilvl w:val="0"/>
          <w:numId w:val="94"/>
        </w:numPr>
        <w:tabs>
          <w:tab w:val="left" w:pos="1440"/>
          <w:tab w:val="left" w:pos="168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提供标签与嵌入式图标,便于工作于标注与管理。</w:t>
      </w:r>
    </w:p>
    <w:p>
      <w:pPr>
        <w:pStyle w:val="7"/>
        <w:ind w:left="1134" w:right="-180" w:rightChars="-75" w:hanging="708"/>
        <w:rPr>
          <w:rFonts w:ascii="宋体" w:hAnsi="宋体" w:eastAsia="宋体" w:cs="宋体"/>
          <w:highlight w:val="none"/>
        </w:rPr>
      </w:pPr>
      <w:r>
        <w:rPr>
          <w:rFonts w:hint="eastAsia" w:ascii="宋体" w:hAnsi="宋体" w:eastAsia="宋体" w:cs="宋体"/>
          <w:highlight w:val="none"/>
        </w:rPr>
        <w:t xml:space="preserve">17）CAT 6 非屏蔽双绞线技术要求 </w:t>
      </w:r>
    </w:p>
    <w:p>
      <w:pPr>
        <w:pStyle w:val="48"/>
        <w:numPr>
          <w:ilvl w:val="0"/>
          <w:numId w:val="95"/>
        </w:numPr>
        <w:tabs>
          <w:tab w:val="left" w:pos="1440"/>
          <w:tab w:val="left" w:pos="168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 xml:space="preserve">带宽：0-250MHz; </w:t>
      </w:r>
    </w:p>
    <w:p>
      <w:pPr>
        <w:pStyle w:val="48"/>
        <w:numPr>
          <w:ilvl w:val="0"/>
          <w:numId w:val="95"/>
        </w:numPr>
        <w:tabs>
          <w:tab w:val="left" w:pos="1440"/>
          <w:tab w:val="left" w:pos="168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导体直径：23AWG 裸铜导体；</w:t>
      </w:r>
    </w:p>
    <w:p>
      <w:pPr>
        <w:pStyle w:val="48"/>
        <w:numPr>
          <w:ilvl w:val="0"/>
          <w:numId w:val="95"/>
        </w:numPr>
        <w:tabs>
          <w:tab w:val="left" w:pos="1440"/>
          <w:tab w:val="left" w:pos="168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结构：中间十字填充骨架，非屏蔽实芯双绞线；</w:t>
      </w:r>
    </w:p>
    <w:p>
      <w:pPr>
        <w:pStyle w:val="48"/>
        <w:numPr>
          <w:ilvl w:val="0"/>
          <w:numId w:val="95"/>
        </w:numPr>
        <w:tabs>
          <w:tab w:val="left" w:pos="1440"/>
          <w:tab w:val="left" w:pos="168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护套：符合燃烧性能为GB 31247 B1级；</w:t>
      </w:r>
    </w:p>
    <w:p>
      <w:pPr>
        <w:pStyle w:val="48"/>
        <w:numPr>
          <w:ilvl w:val="0"/>
          <w:numId w:val="95"/>
        </w:numPr>
        <w:tabs>
          <w:tab w:val="left" w:pos="1440"/>
          <w:tab w:val="left" w:pos="168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护套直径：不大于6.2mm；</w:t>
      </w:r>
    </w:p>
    <w:p>
      <w:pPr>
        <w:pStyle w:val="48"/>
        <w:numPr>
          <w:ilvl w:val="0"/>
          <w:numId w:val="95"/>
        </w:numPr>
        <w:tabs>
          <w:tab w:val="left" w:pos="1440"/>
          <w:tab w:val="left" w:pos="168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符合标准：ISO/IEC 11801 Class E 以及 ANSI/TIA 568C  Category 6；</w:t>
      </w:r>
    </w:p>
    <w:p>
      <w:pPr>
        <w:pStyle w:val="7"/>
        <w:ind w:left="1134" w:right="-180" w:rightChars="-75" w:hanging="708"/>
        <w:rPr>
          <w:rFonts w:ascii="宋体" w:hAnsi="宋体" w:eastAsia="宋体" w:cs="宋体"/>
          <w:highlight w:val="none"/>
        </w:rPr>
      </w:pPr>
      <w:r>
        <w:rPr>
          <w:rFonts w:hint="eastAsia" w:ascii="宋体" w:hAnsi="宋体" w:eastAsia="宋体" w:cs="宋体"/>
          <w:highlight w:val="none"/>
        </w:rPr>
        <w:t xml:space="preserve">18）CAT 6 非屏蔽跳线技术要求 </w:t>
      </w:r>
    </w:p>
    <w:p>
      <w:pPr>
        <w:pStyle w:val="48"/>
        <w:numPr>
          <w:ilvl w:val="0"/>
          <w:numId w:val="96"/>
        </w:numPr>
        <w:tabs>
          <w:tab w:val="left" w:pos="1440"/>
          <w:tab w:val="left" w:pos="168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 xml:space="preserve">带宽：0-250MHz; </w:t>
      </w:r>
    </w:p>
    <w:p>
      <w:pPr>
        <w:pStyle w:val="48"/>
        <w:numPr>
          <w:ilvl w:val="0"/>
          <w:numId w:val="96"/>
        </w:numPr>
        <w:tabs>
          <w:tab w:val="left" w:pos="1440"/>
          <w:tab w:val="left" w:pos="168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导体直径23-26AWG，多股绞合软线，外径：不大于6.2mm；</w:t>
      </w:r>
    </w:p>
    <w:p>
      <w:pPr>
        <w:pStyle w:val="48"/>
        <w:numPr>
          <w:ilvl w:val="0"/>
          <w:numId w:val="96"/>
        </w:numPr>
        <w:tabs>
          <w:tab w:val="left" w:pos="1440"/>
          <w:tab w:val="left" w:pos="168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长度：3米；</w:t>
      </w:r>
    </w:p>
    <w:p>
      <w:pPr>
        <w:pStyle w:val="48"/>
        <w:numPr>
          <w:ilvl w:val="0"/>
          <w:numId w:val="96"/>
        </w:numPr>
        <w:tabs>
          <w:tab w:val="left" w:pos="1440"/>
          <w:tab w:val="left" w:pos="168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护套：LSZH/OFNR；</w:t>
      </w:r>
    </w:p>
    <w:p>
      <w:pPr>
        <w:pStyle w:val="48"/>
        <w:numPr>
          <w:ilvl w:val="0"/>
          <w:numId w:val="96"/>
        </w:numPr>
        <w:tabs>
          <w:tab w:val="left" w:pos="1440"/>
          <w:tab w:val="left" w:pos="168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最小插拔次数：大于等于750次；</w:t>
      </w:r>
    </w:p>
    <w:p>
      <w:pPr>
        <w:pStyle w:val="48"/>
        <w:numPr>
          <w:ilvl w:val="0"/>
          <w:numId w:val="96"/>
        </w:numPr>
        <w:tabs>
          <w:tab w:val="left" w:pos="1440"/>
          <w:tab w:val="left" w:pos="168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提供多种颜色的跳线，满足彩色化管理需求。</w:t>
      </w:r>
    </w:p>
    <w:p>
      <w:pPr>
        <w:pStyle w:val="7"/>
        <w:ind w:left="1134" w:right="-180" w:rightChars="-75" w:hanging="708"/>
        <w:rPr>
          <w:rFonts w:ascii="宋体" w:hAnsi="宋体" w:eastAsia="宋体" w:cs="宋体"/>
          <w:highlight w:val="none"/>
        </w:rPr>
      </w:pPr>
      <w:r>
        <w:rPr>
          <w:rFonts w:hint="eastAsia" w:ascii="宋体" w:hAnsi="宋体" w:eastAsia="宋体" w:cs="宋体"/>
          <w:highlight w:val="none"/>
        </w:rPr>
        <w:t xml:space="preserve">19）CAT 6 非屏蔽信息模块技术要求 </w:t>
      </w:r>
    </w:p>
    <w:p>
      <w:pPr>
        <w:pStyle w:val="48"/>
        <w:numPr>
          <w:ilvl w:val="0"/>
          <w:numId w:val="97"/>
        </w:numPr>
        <w:tabs>
          <w:tab w:val="left" w:pos="1440"/>
          <w:tab w:val="left" w:pos="168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性能符合TIA/EIA 568C.2标准要求的六类非屏蔽双绞线性能要求</w:t>
      </w:r>
    </w:p>
    <w:p>
      <w:pPr>
        <w:pStyle w:val="48"/>
        <w:numPr>
          <w:ilvl w:val="0"/>
          <w:numId w:val="97"/>
        </w:numPr>
        <w:tabs>
          <w:tab w:val="left" w:pos="1440"/>
          <w:tab w:val="left" w:pos="168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可安装在1U/24口配线架空板上或工作区信息面板</w:t>
      </w:r>
    </w:p>
    <w:p>
      <w:pPr>
        <w:pStyle w:val="48"/>
        <w:numPr>
          <w:ilvl w:val="0"/>
          <w:numId w:val="97"/>
        </w:numPr>
        <w:tabs>
          <w:tab w:val="left" w:pos="1440"/>
          <w:tab w:val="left" w:pos="168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可端接22AWG-24AWG硬线，或24AWG多股软线</w:t>
      </w:r>
    </w:p>
    <w:p>
      <w:pPr>
        <w:pStyle w:val="48"/>
        <w:numPr>
          <w:ilvl w:val="0"/>
          <w:numId w:val="97"/>
        </w:numPr>
        <w:tabs>
          <w:tab w:val="left" w:pos="1440"/>
          <w:tab w:val="left" w:pos="168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支持彩色化管理，可提供多种颜色的模块</w:t>
      </w:r>
    </w:p>
    <w:p>
      <w:pPr>
        <w:pStyle w:val="7"/>
        <w:ind w:left="1134" w:right="-180" w:rightChars="-75" w:hanging="708"/>
        <w:rPr>
          <w:rFonts w:ascii="宋体" w:hAnsi="宋体" w:eastAsia="宋体" w:cs="宋体"/>
          <w:highlight w:val="none"/>
        </w:rPr>
      </w:pPr>
      <w:r>
        <w:rPr>
          <w:rFonts w:hint="eastAsia" w:ascii="宋体" w:hAnsi="宋体" w:eastAsia="宋体" w:cs="宋体"/>
          <w:highlight w:val="none"/>
        </w:rPr>
        <w:t>19）24口POE交换机</w:t>
      </w:r>
    </w:p>
    <w:p>
      <w:pPr>
        <w:pStyle w:val="48"/>
        <w:numPr>
          <w:ilvl w:val="0"/>
          <w:numId w:val="98"/>
        </w:numPr>
        <w:tabs>
          <w:tab w:val="left" w:pos="1440"/>
          <w:tab w:val="left" w:pos="168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交换容量≥330Gbps</w:t>
      </w:r>
    </w:p>
    <w:p>
      <w:pPr>
        <w:pStyle w:val="48"/>
        <w:numPr>
          <w:ilvl w:val="0"/>
          <w:numId w:val="98"/>
        </w:numPr>
        <w:tabs>
          <w:tab w:val="left" w:pos="1440"/>
          <w:tab w:val="left" w:pos="168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 xml:space="preserve">转发性能≥120Mpps </w:t>
      </w:r>
    </w:p>
    <w:p>
      <w:pPr>
        <w:pStyle w:val="48"/>
        <w:numPr>
          <w:ilvl w:val="0"/>
          <w:numId w:val="98"/>
        </w:numPr>
        <w:tabs>
          <w:tab w:val="left" w:pos="1440"/>
          <w:tab w:val="left" w:pos="168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24个10/100/1000Base-T自适应以太网端口（其中有4个combo口），4个万兆SFP+口；支持802.3at/POE+供电标准，配置电源，至少支持360W功率POE供电</w:t>
      </w:r>
    </w:p>
    <w:p>
      <w:pPr>
        <w:pStyle w:val="48"/>
        <w:numPr>
          <w:ilvl w:val="0"/>
          <w:numId w:val="98"/>
        </w:numPr>
        <w:tabs>
          <w:tab w:val="left" w:pos="1440"/>
          <w:tab w:val="left" w:pos="168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 xml:space="preserve">实现ERPS功能，能够快速阻断环路，链路收敛时间≤50ms； </w:t>
      </w:r>
    </w:p>
    <w:p>
      <w:pPr>
        <w:pStyle w:val="48"/>
        <w:numPr>
          <w:ilvl w:val="0"/>
          <w:numId w:val="98"/>
        </w:numPr>
        <w:tabs>
          <w:tab w:val="left" w:pos="1440"/>
          <w:tab w:val="left" w:pos="168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 xml:space="preserve">实现CPU保护功能，能限制非法报文对CPU的攻击，保护交换机在各种环境下稳定工作； </w:t>
      </w:r>
    </w:p>
    <w:p>
      <w:pPr>
        <w:pStyle w:val="48"/>
        <w:numPr>
          <w:ilvl w:val="0"/>
          <w:numId w:val="98"/>
        </w:numPr>
        <w:tabs>
          <w:tab w:val="left" w:pos="1440"/>
          <w:tab w:val="left" w:pos="168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 xml:space="preserve">最大堆叠台数&gt;=3台； </w:t>
      </w:r>
    </w:p>
    <w:p>
      <w:pPr>
        <w:pStyle w:val="48"/>
        <w:numPr>
          <w:ilvl w:val="0"/>
          <w:numId w:val="98"/>
        </w:numPr>
        <w:tabs>
          <w:tab w:val="left" w:pos="1440"/>
          <w:tab w:val="left" w:pos="168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支持基于端口的VLAN，支持基于协议的VLAN；</w:t>
      </w:r>
    </w:p>
    <w:p>
      <w:pPr>
        <w:pStyle w:val="48"/>
        <w:numPr>
          <w:ilvl w:val="0"/>
          <w:numId w:val="98"/>
        </w:numPr>
        <w:tabs>
          <w:tab w:val="left" w:pos="1440"/>
          <w:tab w:val="left" w:pos="168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支持最多8个端口聚合；支持最多128个聚合组；支持LACP</w:t>
      </w:r>
    </w:p>
    <w:p>
      <w:pPr>
        <w:pStyle w:val="48"/>
        <w:numPr>
          <w:ilvl w:val="0"/>
          <w:numId w:val="98"/>
        </w:numPr>
        <w:tabs>
          <w:tab w:val="left" w:pos="1440"/>
          <w:tab w:val="left" w:pos="168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支持IGMP v1/v2/v3，MLD v1/v2；支持IGMP Snooping v1/v2/v3，MLD Snooping v1/v2</w:t>
      </w:r>
    </w:p>
    <w:p>
      <w:pPr>
        <w:pStyle w:val="48"/>
        <w:numPr>
          <w:ilvl w:val="0"/>
          <w:numId w:val="98"/>
        </w:numPr>
        <w:tabs>
          <w:tab w:val="left" w:pos="1440"/>
          <w:tab w:val="left" w:pos="168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支持IPv4静态路由、RIP V1/V2、OSPF</w:t>
      </w:r>
    </w:p>
    <w:p>
      <w:pPr>
        <w:pStyle w:val="48"/>
        <w:numPr>
          <w:ilvl w:val="0"/>
          <w:numId w:val="98"/>
        </w:numPr>
        <w:tabs>
          <w:tab w:val="left" w:pos="1440"/>
          <w:tab w:val="left" w:pos="168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支持IPv6静态路由、RIPng</w:t>
      </w:r>
    </w:p>
    <w:p>
      <w:pPr>
        <w:pStyle w:val="48"/>
        <w:numPr>
          <w:ilvl w:val="0"/>
          <w:numId w:val="98"/>
        </w:numPr>
        <w:tabs>
          <w:tab w:val="left" w:pos="1440"/>
          <w:tab w:val="left" w:pos="168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 xml:space="preserve">支持RRPP（快速环网保护协议），环网故障恢复时间不超过50ms； </w:t>
      </w:r>
    </w:p>
    <w:p>
      <w:pPr>
        <w:pStyle w:val="48"/>
        <w:numPr>
          <w:ilvl w:val="0"/>
          <w:numId w:val="98"/>
        </w:numPr>
        <w:tabs>
          <w:tab w:val="left" w:pos="1440"/>
          <w:tab w:val="left" w:pos="168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 xml:space="preserve">支持Smartlink，收敛时间≤50ms； </w:t>
      </w:r>
    </w:p>
    <w:p>
      <w:pPr>
        <w:pStyle w:val="48"/>
        <w:numPr>
          <w:ilvl w:val="0"/>
          <w:numId w:val="98"/>
        </w:numPr>
        <w:tabs>
          <w:tab w:val="left" w:pos="1440"/>
          <w:tab w:val="left" w:pos="168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支持基于第二层、第三层和第四层的ACL；支持基于端口和VLAN的 ACL；</w:t>
      </w:r>
    </w:p>
    <w:p>
      <w:pPr>
        <w:pStyle w:val="48"/>
        <w:numPr>
          <w:ilvl w:val="0"/>
          <w:numId w:val="98"/>
        </w:numPr>
        <w:tabs>
          <w:tab w:val="left" w:pos="1440"/>
          <w:tab w:val="left" w:pos="168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支持OPENFLOW 1.3标准支持普通模式和Openflow 模式切换</w:t>
      </w:r>
    </w:p>
    <w:p>
      <w:pPr>
        <w:pStyle w:val="48"/>
        <w:numPr>
          <w:ilvl w:val="0"/>
          <w:numId w:val="98"/>
        </w:numPr>
        <w:tabs>
          <w:tab w:val="left" w:pos="1440"/>
          <w:tab w:val="left" w:pos="168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支持SNMP V1/V2/V3、RMON、SSHV2</w:t>
      </w:r>
    </w:p>
    <w:p>
      <w:pPr>
        <w:pStyle w:val="48"/>
        <w:numPr>
          <w:ilvl w:val="0"/>
          <w:numId w:val="98"/>
        </w:numPr>
        <w:tabs>
          <w:tab w:val="left" w:pos="1440"/>
          <w:tab w:val="left" w:pos="168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支持远程镜像、支持流镜像、支持端口镜像</w:t>
      </w:r>
    </w:p>
    <w:p>
      <w:pPr>
        <w:pStyle w:val="48"/>
        <w:numPr>
          <w:ilvl w:val="0"/>
          <w:numId w:val="98"/>
        </w:numPr>
        <w:tabs>
          <w:tab w:val="left" w:pos="1440"/>
          <w:tab w:val="left" w:pos="168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支持Telemetry技术，可通过GRPC协议将交换机的实时资源信息与告警信息上送至运维平台，运维平台针对实时数据进行分析，可实现网络质量回溯，故障排查，风险预警，架构优化等功能</w:t>
      </w:r>
    </w:p>
    <w:p>
      <w:pPr>
        <w:pStyle w:val="7"/>
        <w:ind w:left="1134" w:right="-180" w:rightChars="-75" w:hanging="708"/>
        <w:rPr>
          <w:rFonts w:ascii="宋体" w:hAnsi="宋体" w:eastAsia="宋体" w:cs="宋体"/>
          <w:highlight w:val="none"/>
        </w:rPr>
      </w:pPr>
      <w:r>
        <w:rPr>
          <w:rFonts w:hint="eastAsia" w:ascii="宋体" w:hAnsi="宋体" w:eastAsia="宋体" w:cs="宋体"/>
          <w:highlight w:val="none"/>
        </w:rPr>
        <w:t>20）48口POE交换机</w:t>
      </w:r>
    </w:p>
    <w:p>
      <w:pPr>
        <w:pStyle w:val="48"/>
        <w:numPr>
          <w:ilvl w:val="0"/>
          <w:numId w:val="99"/>
        </w:numPr>
        <w:tabs>
          <w:tab w:val="left" w:pos="1680"/>
        </w:tabs>
        <w:spacing w:line="360" w:lineRule="auto"/>
        <w:ind w:left="1434" w:right="-180" w:rightChars="-75" w:firstLine="6" w:firstLineChars="0"/>
        <w:rPr>
          <w:rFonts w:ascii="宋体" w:hAnsi="宋体" w:eastAsia="宋体" w:cs="宋体"/>
          <w:sz w:val="24"/>
          <w:szCs w:val="24"/>
          <w:highlight w:val="none"/>
        </w:rPr>
      </w:pPr>
      <w:r>
        <w:rPr>
          <w:rFonts w:hint="eastAsia" w:ascii="宋体" w:hAnsi="宋体" w:eastAsia="宋体" w:cs="宋体"/>
          <w:sz w:val="24"/>
          <w:szCs w:val="24"/>
          <w:highlight w:val="none"/>
        </w:rPr>
        <w:t>交换容量≥430Gbps</w:t>
      </w:r>
    </w:p>
    <w:p>
      <w:pPr>
        <w:pStyle w:val="48"/>
        <w:numPr>
          <w:ilvl w:val="0"/>
          <w:numId w:val="99"/>
        </w:numPr>
        <w:tabs>
          <w:tab w:val="left" w:pos="1680"/>
        </w:tabs>
        <w:spacing w:line="360" w:lineRule="auto"/>
        <w:ind w:left="1434" w:right="-180" w:rightChars="-75" w:firstLine="6" w:firstLineChars="0"/>
        <w:rPr>
          <w:rFonts w:ascii="宋体" w:hAnsi="宋体" w:eastAsia="宋体" w:cs="宋体"/>
          <w:sz w:val="24"/>
          <w:szCs w:val="24"/>
          <w:highlight w:val="none"/>
        </w:rPr>
      </w:pPr>
      <w:r>
        <w:rPr>
          <w:rFonts w:hint="eastAsia" w:ascii="宋体" w:hAnsi="宋体" w:eastAsia="宋体" w:cs="宋体"/>
          <w:sz w:val="24"/>
          <w:szCs w:val="24"/>
          <w:highlight w:val="none"/>
        </w:rPr>
        <w:t>转发性能≥160Mpps</w:t>
      </w:r>
    </w:p>
    <w:p>
      <w:pPr>
        <w:pStyle w:val="48"/>
        <w:numPr>
          <w:ilvl w:val="0"/>
          <w:numId w:val="99"/>
        </w:numPr>
        <w:tabs>
          <w:tab w:val="left" w:pos="1680"/>
        </w:tabs>
        <w:spacing w:line="360" w:lineRule="auto"/>
        <w:ind w:left="1434" w:right="-180" w:rightChars="-75" w:firstLine="6" w:firstLineChars="0"/>
        <w:rPr>
          <w:rFonts w:ascii="宋体" w:hAnsi="宋体" w:eastAsia="宋体" w:cs="宋体"/>
          <w:sz w:val="24"/>
          <w:szCs w:val="24"/>
          <w:highlight w:val="none"/>
        </w:rPr>
      </w:pPr>
      <w:r>
        <w:rPr>
          <w:rFonts w:hint="eastAsia" w:ascii="宋体" w:hAnsi="宋体" w:eastAsia="宋体" w:cs="宋体"/>
          <w:sz w:val="24"/>
          <w:szCs w:val="24"/>
          <w:highlight w:val="none"/>
        </w:rPr>
        <w:t>48个GE端口，4个万兆SFP+口；支持802.3at/POE+供电标准，配置电源，至少支持600W功率POE供电</w:t>
      </w:r>
    </w:p>
    <w:p>
      <w:pPr>
        <w:pStyle w:val="48"/>
        <w:numPr>
          <w:ilvl w:val="0"/>
          <w:numId w:val="99"/>
        </w:numPr>
        <w:tabs>
          <w:tab w:val="left" w:pos="1680"/>
        </w:tabs>
        <w:spacing w:line="360" w:lineRule="auto"/>
        <w:ind w:left="1434" w:right="-180" w:rightChars="-75" w:firstLine="6" w:firstLineChars="0"/>
        <w:rPr>
          <w:rFonts w:ascii="宋体" w:hAnsi="宋体" w:eastAsia="宋体" w:cs="宋体"/>
          <w:sz w:val="24"/>
          <w:szCs w:val="24"/>
          <w:highlight w:val="none"/>
        </w:rPr>
      </w:pPr>
      <w:r>
        <w:rPr>
          <w:rFonts w:hint="eastAsia" w:ascii="宋体" w:hAnsi="宋体" w:eastAsia="宋体" w:cs="宋体"/>
          <w:sz w:val="24"/>
          <w:szCs w:val="24"/>
          <w:highlight w:val="none"/>
        </w:rPr>
        <w:t xml:space="preserve">实现ERPS功能，能够快速阻断环路，链路收敛时间≤50ms； </w:t>
      </w:r>
    </w:p>
    <w:p>
      <w:pPr>
        <w:pStyle w:val="48"/>
        <w:numPr>
          <w:ilvl w:val="0"/>
          <w:numId w:val="99"/>
        </w:numPr>
        <w:tabs>
          <w:tab w:val="left" w:pos="1680"/>
        </w:tabs>
        <w:spacing w:line="360" w:lineRule="auto"/>
        <w:ind w:left="1434" w:right="-180" w:rightChars="-75" w:firstLine="6" w:firstLineChars="0"/>
        <w:rPr>
          <w:rFonts w:ascii="宋体" w:hAnsi="宋体" w:eastAsia="宋体" w:cs="宋体"/>
          <w:sz w:val="24"/>
          <w:szCs w:val="24"/>
          <w:highlight w:val="none"/>
        </w:rPr>
      </w:pPr>
      <w:r>
        <w:rPr>
          <w:rFonts w:hint="eastAsia" w:ascii="宋体" w:hAnsi="宋体" w:eastAsia="宋体" w:cs="宋体"/>
          <w:sz w:val="24"/>
          <w:szCs w:val="24"/>
          <w:highlight w:val="none"/>
        </w:rPr>
        <w:t xml:space="preserve">实现CPU保护功能，能限制非法报文对CPU的攻击，保护交换机在各种环境下稳定工作； </w:t>
      </w:r>
    </w:p>
    <w:p>
      <w:pPr>
        <w:pStyle w:val="48"/>
        <w:numPr>
          <w:ilvl w:val="0"/>
          <w:numId w:val="99"/>
        </w:numPr>
        <w:tabs>
          <w:tab w:val="left" w:pos="1680"/>
        </w:tabs>
        <w:spacing w:line="360" w:lineRule="auto"/>
        <w:ind w:left="1434" w:right="-180" w:rightChars="-75" w:firstLine="6" w:firstLineChars="0"/>
        <w:rPr>
          <w:rFonts w:ascii="宋体" w:hAnsi="宋体" w:eastAsia="宋体" w:cs="宋体"/>
          <w:sz w:val="24"/>
          <w:szCs w:val="24"/>
          <w:highlight w:val="none"/>
        </w:rPr>
      </w:pPr>
      <w:r>
        <w:rPr>
          <w:rFonts w:hint="eastAsia" w:ascii="宋体" w:hAnsi="宋体" w:eastAsia="宋体" w:cs="宋体"/>
          <w:sz w:val="24"/>
          <w:szCs w:val="24"/>
          <w:highlight w:val="none"/>
        </w:rPr>
        <w:t>最大堆叠台数&gt;=3台；</w:t>
      </w:r>
    </w:p>
    <w:p>
      <w:pPr>
        <w:pStyle w:val="48"/>
        <w:numPr>
          <w:ilvl w:val="0"/>
          <w:numId w:val="99"/>
        </w:numPr>
        <w:tabs>
          <w:tab w:val="left" w:pos="1680"/>
        </w:tabs>
        <w:spacing w:line="360" w:lineRule="auto"/>
        <w:ind w:left="1434" w:right="-180" w:rightChars="-75" w:firstLine="6" w:firstLineChars="0"/>
        <w:rPr>
          <w:rFonts w:ascii="宋体" w:hAnsi="宋体" w:eastAsia="宋体" w:cs="宋体"/>
          <w:sz w:val="24"/>
          <w:szCs w:val="24"/>
          <w:highlight w:val="none"/>
        </w:rPr>
      </w:pPr>
      <w:r>
        <w:rPr>
          <w:rFonts w:hint="eastAsia" w:ascii="宋体" w:hAnsi="宋体" w:eastAsia="宋体" w:cs="宋体"/>
          <w:sz w:val="24"/>
          <w:szCs w:val="24"/>
          <w:highlight w:val="none"/>
        </w:rPr>
        <w:t>支持基于端口的VLAN，支持基于协议的VLAN；</w:t>
      </w:r>
    </w:p>
    <w:p>
      <w:pPr>
        <w:pStyle w:val="48"/>
        <w:numPr>
          <w:ilvl w:val="0"/>
          <w:numId w:val="99"/>
        </w:numPr>
        <w:tabs>
          <w:tab w:val="left" w:pos="1680"/>
        </w:tabs>
        <w:spacing w:line="360" w:lineRule="auto"/>
        <w:ind w:left="1434" w:right="-180" w:rightChars="-75" w:firstLine="6" w:firstLineChars="0"/>
        <w:rPr>
          <w:rFonts w:ascii="宋体" w:hAnsi="宋体" w:eastAsia="宋体" w:cs="宋体"/>
          <w:sz w:val="24"/>
          <w:szCs w:val="24"/>
          <w:highlight w:val="none"/>
        </w:rPr>
      </w:pPr>
      <w:r>
        <w:rPr>
          <w:rFonts w:hint="eastAsia" w:ascii="宋体" w:hAnsi="宋体" w:eastAsia="宋体" w:cs="宋体"/>
          <w:sz w:val="24"/>
          <w:szCs w:val="24"/>
          <w:highlight w:val="none"/>
        </w:rPr>
        <w:t>支持最多8个端口聚合；支持最多128个聚合组；支持LACP</w:t>
      </w:r>
    </w:p>
    <w:p>
      <w:pPr>
        <w:pStyle w:val="48"/>
        <w:numPr>
          <w:ilvl w:val="0"/>
          <w:numId w:val="99"/>
        </w:numPr>
        <w:tabs>
          <w:tab w:val="left" w:pos="1680"/>
        </w:tabs>
        <w:spacing w:line="360" w:lineRule="auto"/>
        <w:ind w:left="1434" w:right="-180" w:rightChars="-75" w:firstLine="6" w:firstLineChars="0"/>
        <w:rPr>
          <w:rFonts w:ascii="宋体" w:hAnsi="宋体" w:eastAsia="宋体" w:cs="宋体"/>
          <w:sz w:val="24"/>
          <w:szCs w:val="24"/>
          <w:highlight w:val="none"/>
        </w:rPr>
      </w:pPr>
      <w:r>
        <w:rPr>
          <w:rFonts w:hint="eastAsia" w:ascii="宋体" w:hAnsi="宋体" w:eastAsia="宋体" w:cs="宋体"/>
          <w:sz w:val="24"/>
          <w:szCs w:val="24"/>
          <w:highlight w:val="none"/>
        </w:rPr>
        <w:t>支持IGMP v1/v2/v3，MLD v1/v2；支持IGMP Snooping v1/v2/v3，MLD Snooping v1/v2</w:t>
      </w:r>
    </w:p>
    <w:p>
      <w:pPr>
        <w:pStyle w:val="48"/>
        <w:numPr>
          <w:ilvl w:val="0"/>
          <w:numId w:val="99"/>
        </w:numPr>
        <w:tabs>
          <w:tab w:val="left" w:pos="1680"/>
        </w:tabs>
        <w:spacing w:line="360" w:lineRule="auto"/>
        <w:ind w:left="1434" w:right="-180" w:rightChars="-75" w:firstLine="6" w:firstLineChars="0"/>
        <w:rPr>
          <w:rFonts w:ascii="宋体" w:hAnsi="宋体" w:eastAsia="宋体" w:cs="宋体"/>
          <w:sz w:val="24"/>
          <w:szCs w:val="24"/>
          <w:highlight w:val="none"/>
        </w:rPr>
      </w:pPr>
      <w:r>
        <w:rPr>
          <w:rFonts w:hint="eastAsia" w:ascii="宋体" w:hAnsi="宋体" w:eastAsia="宋体" w:cs="宋体"/>
          <w:sz w:val="24"/>
          <w:szCs w:val="24"/>
          <w:highlight w:val="none"/>
        </w:rPr>
        <w:t>支持IPv4静态路由、RIP V1/V2、OSPF</w:t>
      </w:r>
    </w:p>
    <w:p>
      <w:pPr>
        <w:pStyle w:val="48"/>
        <w:numPr>
          <w:ilvl w:val="0"/>
          <w:numId w:val="99"/>
        </w:numPr>
        <w:tabs>
          <w:tab w:val="left" w:pos="1680"/>
        </w:tabs>
        <w:spacing w:line="360" w:lineRule="auto"/>
        <w:ind w:left="1434" w:right="-180" w:rightChars="-75" w:firstLine="6" w:firstLineChars="0"/>
        <w:rPr>
          <w:rFonts w:ascii="宋体" w:hAnsi="宋体" w:eastAsia="宋体" w:cs="宋体"/>
          <w:sz w:val="24"/>
          <w:szCs w:val="24"/>
          <w:highlight w:val="none"/>
        </w:rPr>
      </w:pPr>
      <w:r>
        <w:rPr>
          <w:rFonts w:hint="eastAsia" w:ascii="宋体" w:hAnsi="宋体" w:eastAsia="宋体" w:cs="宋体"/>
          <w:sz w:val="24"/>
          <w:szCs w:val="24"/>
          <w:highlight w:val="none"/>
        </w:rPr>
        <w:t>支持IPv6静态路由、RIPng</w:t>
      </w:r>
    </w:p>
    <w:p>
      <w:pPr>
        <w:pStyle w:val="48"/>
        <w:numPr>
          <w:ilvl w:val="0"/>
          <w:numId w:val="99"/>
        </w:numPr>
        <w:tabs>
          <w:tab w:val="left" w:pos="1680"/>
        </w:tabs>
        <w:spacing w:line="360" w:lineRule="auto"/>
        <w:ind w:left="1434" w:right="-180" w:rightChars="-75" w:firstLine="6" w:firstLineChars="0"/>
        <w:rPr>
          <w:rFonts w:ascii="宋体" w:hAnsi="宋体" w:eastAsia="宋体" w:cs="宋体"/>
          <w:sz w:val="24"/>
          <w:szCs w:val="24"/>
          <w:highlight w:val="none"/>
        </w:rPr>
      </w:pPr>
      <w:r>
        <w:rPr>
          <w:rFonts w:hint="eastAsia" w:ascii="宋体" w:hAnsi="宋体" w:eastAsia="宋体" w:cs="宋体"/>
          <w:sz w:val="24"/>
          <w:szCs w:val="24"/>
          <w:highlight w:val="none"/>
        </w:rPr>
        <w:t xml:space="preserve">支持RRPP（快速环网保护协议），环网故障恢复时间不超过50ms； </w:t>
      </w:r>
    </w:p>
    <w:p>
      <w:pPr>
        <w:pStyle w:val="48"/>
        <w:numPr>
          <w:ilvl w:val="0"/>
          <w:numId w:val="99"/>
        </w:numPr>
        <w:tabs>
          <w:tab w:val="left" w:pos="1680"/>
        </w:tabs>
        <w:spacing w:line="360" w:lineRule="auto"/>
        <w:ind w:left="1434" w:right="-180" w:rightChars="-75" w:firstLine="6" w:firstLineChars="0"/>
        <w:rPr>
          <w:rFonts w:ascii="宋体" w:hAnsi="宋体" w:eastAsia="宋体" w:cs="宋体"/>
          <w:sz w:val="24"/>
          <w:szCs w:val="24"/>
          <w:highlight w:val="none"/>
        </w:rPr>
      </w:pPr>
      <w:r>
        <w:rPr>
          <w:rFonts w:hint="eastAsia" w:ascii="宋体" w:hAnsi="宋体" w:eastAsia="宋体" w:cs="宋体"/>
          <w:sz w:val="24"/>
          <w:szCs w:val="24"/>
          <w:highlight w:val="none"/>
        </w:rPr>
        <w:t xml:space="preserve">支持Smartlink，收敛时间≤50ms； </w:t>
      </w:r>
    </w:p>
    <w:p>
      <w:pPr>
        <w:pStyle w:val="48"/>
        <w:numPr>
          <w:ilvl w:val="0"/>
          <w:numId w:val="99"/>
        </w:numPr>
        <w:tabs>
          <w:tab w:val="left" w:pos="1680"/>
        </w:tabs>
        <w:spacing w:line="360" w:lineRule="auto"/>
        <w:ind w:left="1434" w:right="-180" w:rightChars="-75" w:firstLine="6" w:firstLineChars="0"/>
        <w:rPr>
          <w:rFonts w:ascii="宋体" w:hAnsi="宋体" w:eastAsia="宋体" w:cs="宋体"/>
          <w:sz w:val="24"/>
          <w:szCs w:val="24"/>
          <w:highlight w:val="none"/>
        </w:rPr>
      </w:pPr>
      <w:r>
        <w:rPr>
          <w:rFonts w:hint="eastAsia" w:ascii="宋体" w:hAnsi="宋体" w:eastAsia="宋体" w:cs="宋体"/>
          <w:sz w:val="24"/>
          <w:szCs w:val="24"/>
          <w:highlight w:val="none"/>
        </w:rPr>
        <w:t>支持基于第二层、第三层和第四层的ACL；支持基于端口和VLAN的 ACL；</w:t>
      </w:r>
    </w:p>
    <w:p>
      <w:pPr>
        <w:pStyle w:val="48"/>
        <w:numPr>
          <w:ilvl w:val="0"/>
          <w:numId w:val="99"/>
        </w:numPr>
        <w:tabs>
          <w:tab w:val="left" w:pos="1680"/>
        </w:tabs>
        <w:spacing w:line="360" w:lineRule="auto"/>
        <w:ind w:left="1434" w:right="-180" w:rightChars="-75" w:firstLine="6" w:firstLineChars="0"/>
        <w:rPr>
          <w:rFonts w:ascii="宋体" w:hAnsi="宋体" w:eastAsia="宋体" w:cs="宋体"/>
          <w:sz w:val="24"/>
          <w:szCs w:val="24"/>
          <w:highlight w:val="none"/>
        </w:rPr>
      </w:pPr>
      <w:r>
        <w:rPr>
          <w:rFonts w:hint="eastAsia" w:ascii="宋体" w:hAnsi="宋体" w:eastAsia="宋体" w:cs="宋体"/>
          <w:sz w:val="24"/>
          <w:szCs w:val="24"/>
          <w:highlight w:val="none"/>
        </w:rPr>
        <w:t>支持OPENFLOW 1.3标准支持普通模式和Openflow 模式切换</w:t>
      </w:r>
    </w:p>
    <w:p>
      <w:pPr>
        <w:pStyle w:val="48"/>
        <w:numPr>
          <w:ilvl w:val="0"/>
          <w:numId w:val="99"/>
        </w:numPr>
        <w:tabs>
          <w:tab w:val="left" w:pos="1680"/>
        </w:tabs>
        <w:spacing w:line="360" w:lineRule="auto"/>
        <w:ind w:left="1434" w:right="-180" w:rightChars="-75" w:firstLine="6" w:firstLineChars="0"/>
        <w:rPr>
          <w:rFonts w:ascii="宋体" w:hAnsi="宋体" w:eastAsia="宋体" w:cs="宋体"/>
          <w:sz w:val="24"/>
          <w:szCs w:val="24"/>
          <w:highlight w:val="none"/>
        </w:rPr>
      </w:pPr>
      <w:r>
        <w:rPr>
          <w:rFonts w:hint="eastAsia" w:ascii="宋体" w:hAnsi="宋体" w:eastAsia="宋体" w:cs="宋体"/>
          <w:sz w:val="24"/>
          <w:szCs w:val="24"/>
          <w:highlight w:val="none"/>
        </w:rPr>
        <w:t>支持SNMP V1/V2/V3、RMON、SSHV2</w:t>
      </w:r>
    </w:p>
    <w:p>
      <w:pPr>
        <w:pStyle w:val="48"/>
        <w:numPr>
          <w:ilvl w:val="0"/>
          <w:numId w:val="99"/>
        </w:numPr>
        <w:tabs>
          <w:tab w:val="left" w:pos="1680"/>
        </w:tabs>
        <w:spacing w:line="360" w:lineRule="auto"/>
        <w:ind w:left="1434" w:right="-180" w:rightChars="-75" w:firstLine="6" w:firstLineChars="0"/>
        <w:rPr>
          <w:rFonts w:ascii="宋体" w:hAnsi="宋体" w:eastAsia="宋体" w:cs="宋体"/>
          <w:sz w:val="24"/>
          <w:szCs w:val="24"/>
          <w:highlight w:val="none"/>
        </w:rPr>
      </w:pPr>
      <w:r>
        <w:rPr>
          <w:rFonts w:hint="eastAsia" w:ascii="宋体" w:hAnsi="宋体" w:eastAsia="宋体" w:cs="宋体"/>
          <w:sz w:val="24"/>
          <w:szCs w:val="24"/>
          <w:highlight w:val="none"/>
        </w:rPr>
        <w:t>支持远程镜像、支持流镜像、支持端口镜像</w:t>
      </w:r>
    </w:p>
    <w:p>
      <w:pPr>
        <w:pStyle w:val="48"/>
        <w:numPr>
          <w:ilvl w:val="0"/>
          <w:numId w:val="99"/>
        </w:numPr>
        <w:tabs>
          <w:tab w:val="left" w:pos="1680"/>
        </w:tabs>
        <w:spacing w:line="360" w:lineRule="auto"/>
        <w:ind w:left="1434" w:right="-180" w:rightChars="-75" w:firstLine="6" w:firstLineChars="0"/>
        <w:rPr>
          <w:rFonts w:ascii="宋体" w:hAnsi="宋体" w:eastAsia="宋体" w:cs="宋体"/>
          <w:sz w:val="24"/>
          <w:szCs w:val="24"/>
          <w:highlight w:val="none"/>
        </w:rPr>
      </w:pPr>
      <w:r>
        <w:rPr>
          <w:rFonts w:hint="eastAsia" w:ascii="宋体" w:hAnsi="宋体" w:eastAsia="宋体" w:cs="宋体"/>
          <w:sz w:val="24"/>
          <w:szCs w:val="24"/>
          <w:highlight w:val="none"/>
        </w:rPr>
        <w:t>支持Telemetry技术，可通过GRPC协议将交换机的实时资源信息与告警信息上送至运维平台，运维平台针对实时数据进行分析，可实现网络质量回溯，故障排查，风险预警，架构优化等功能</w:t>
      </w:r>
    </w:p>
    <w:p>
      <w:pPr>
        <w:pStyle w:val="48"/>
        <w:numPr>
          <w:ilvl w:val="255"/>
          <w:numId w:val="0"/>
        </w:numPr>
        <w:tabs>
          <w:tab w:val="left" w:pos="1680"/>
        </w:tabs>
        <w:spacing w:line="360" w:lineRule="auto"/>
        <w:ind w:left="1440" w:right="-180" w:rightChars="-75"/>
        <w:rPr>
          <w:rFonts w:ascii="宋体" w:hAnsi="宋体" w:eastAsia="宋体" w:cs="宋体"/>
          <w:sz w:val="24"/>
          <w:szCs w:val="24"/>
          <w:highlight w:val="none"/>
        </w:rPr>
      </w:pPr>
    </w:p>
    <w:p>
      <w:pPr>
        <w:pStyle w:val="48"/>
        <w:spacing w:line="360" w:lineRule="auto"/>
        <w:ind w:left="12" w:leftChars="5" w:right="-180" w:rightChars="-75" w:firstLine="463" w:firstLineChars="232"/>
        <w:rPr>
          <w:rFonts w:ascii="宋体" w:hAnsi="宋体" w:eastAsia="宋体" w:cs="宋体"/>
          <w:sz w:val="24"/>
          <w:szCs w:val="24"/>
          <w:highlight w:val="none"/>
        </w:rPr>
      </w:pPr>
      <w:r>
        <w:rPr>
          <w:rFonts w:hint="eastAsia" w:ascii="宋体" w:hAnsi="宋体" w:eastAsia="宋体" w:cs="宋体"/>
          <w:highlight w:val="none"/>
        </w:rPr>
        <w:t>21）</w:t>
      </w:r>
      <w:r>
        <w:rPr>
          <w:rFonts w:hint="eastAsia" w:ascii="宋体" w:hAnsi="宋体" w:eastAsia="宋体" w:cs="宋体"/>
          <w:sz w:val="24"/>
          <w:szCs w:val="24"/>
          <w:highlight w:val="none"/>
        </w:rPr>
        <w:t>视频拼接控制器技术要求</w:t>
      </w:r>
    </w:p>
    <w:p>
      <w:pPr>
        <w:pStyle w:val="48"/>
        <w:numPr>
          <w:ilvl w:val="0"/>
          <w:numId w:val="100"/>
        </w:numPr>
        <w:tabs>
          <w:tab w:val="left" w:pos="1440"/>
          <w:tab w:val="left" w:pos="168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总信号路数：4路HDMI 输入，8路HDMI输出</w:t>
      </w:r>
    </w:p>
    <w:p>
      <w:pPr>
        <w:pStyle w:val="48"/>
        <w:numPr>
          <w:ilvl w:val="0"/>
          <w:numId w:val="100"/>
        </w:numPr>
        <w:tabs>
          <w:tab w:val="left" w:pos="1440"/>
          <w:tab w:val="left" w:pos="168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 xml:space="preserve">外置式拼接器是一款性能强大的纯硬件架构的高端图像拼接处理设备，能够在多个显示单元同时显示多个动态HDMI/DVI/VGA/VIDEO/YCBCR/SDI画面，是适合大屏幕拼接显示系统的核心图像处理设备。 输入接口类型 HDMI </w:t>
      </w:r>
    </w:p>
    <w:p>
      <w:pPr>
        <w:pStyle w:val="48"/>
        <w:numPr>
          <w:ilvl w:val="0"/>
          <w:numId w:val="100"/>
        </w:numPr>
        <w:tabs>
          <w:tab w:val="left" w:pos="1440"/>
          <w:tab w:val="left" w:pos="168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 xml:space="preserve">输入分辨率 HDMI: 1920x1080@60Hz </w:t>
      </w:r>
    </w:p>
    <w:p>
      <w:pPr>
        <w:pStyle w:val="48"/>
        <w:numPr>
          <w:ilvl w:val="0"/>
          <w:numId w:val="100"/>
        </w:numPr>
        <w:tabs>
          <w:tab w:val="left" w:pos="1440"/>
          <w:tab w:val="left" w:pos="168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 xml:space="preserve">输出分辨率 HDMI:1920×1080@60Hz / 1366×768@60Hz </w:t>
      </w:r>
    </w:p>
    <w:p>
      <w:pPr>
        <w:pStyle w:val="48"/>
        <w:numPr>
          <w:ilvl w:val="0"/>
          <w:numId w:val="100"/>
        </w:numPr>
        <w:tabs>
          <w:tab w:val="left" w:pos="1440"/>
          <w:tab w:val="left" w:pos="168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输入板卡 HDMI输入：每块板4路输入，</w:t>
      </w:r>
    </w:p>
    <w:p>
      <w:pPr>
        <w:pStyle w:val="48"/>
        <w:numPr>
          <w:ilvl w:val="0"/>
          <w:numId w:val="100"/>
        </w:numPr>
        <w:tabs>
          <w:tab w:val="left" w:pos="1440"/>
          <w:tab w:val="left" w:pos="168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输出板卡 HDMI输出：每块板4路输出 ，共8路输出</w:t>
      </w:r>
    </w:p>
    <w:p>
      <w:pPr>
        <w:pStyle w:val="48"/>
        <w:numPr>
          <w:ilvl w:val="0"/>
          <w:numId w:val="100"/>
        </w:numPr>
        <w:tabs>
          <w:tab w:val="left" w:pos="1440"/>
          <w:tab w:val="left" w:pos="168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 xml:space="preserve">图形处理能力 窗口可任意漫游、叠加、缩放 </w:t>
      </w:r>
    </w:p>
    <w:p>
      <w:pPr>
        <w:pStyle w:val="48"/>
        <w:numPr>
          <w:ilvl w:val="0"/>
          <w:numId w:val="100"/>
        </w:numPr>
        <w:tabs>
          <w:tab w:val="left" w:pos="1440"/>
          <w:tab w:val="left" w:pos="168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 xml:space="preserve">单屏最多窗口 2个窗口 </w:t>
      </w:r>
    </w:p>
    <w:p>
      <w:pPr>
        <w:pStyle w:val="48"/>
        <w:numPr>
          <w:ilvl w:val="0"/>
          <w:numId w:val="100"/>
        </w:numPr>
        <w:tabs>
          <w:tab w:val="left" w:pos="1440"/>
          <w:tab w:val="left" w:pos="168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 xml:space="preserve">滚动字幕 可设置字幕的字体，滚动速度 </w:t>
      </w:r>
    </w:p>
    <w:p>
      <w:pPr>
        <w:pStyle w:val="48"/>
        <w:numPr>
          <w:ilvl w:val="0"/>
          <w:numId w:val="100"/>
        </w:numPr>
        <w:tabs>
          <w:tab w:val="left" w:pos="1440"/>
          <w:tab w:val="left" w:pos="168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 xml:space="preserve">60Hz处理核心 缩放漫游叠加处理过程中保持60Hz刷新率 </w:t>
      </w:r>
    </w:p>
    <w:p>
      <w:pPr>
        <w:pStyle w:val="48"/>
        <w:numPr>
          <w:ilvl w:val="0"/>
          <w:numId w:val="100"/>
        </w:numPr>
        <w:tabs>
          <w:tab w:val="left" w:pos="1440"/>
          <w:tab w:val="left" w:pos="168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 xml:space="preserve">无闪烁切换 直接切换到新的画面,中间没有任何中间不稳定的闪烁现象 </w:t>
      </w:r>
    </w:p>
    <w:p>
      <w:pPr>
        <w:pStyle w:val="48"/>
        <w:numPr>
          <w:ilvl w:val="0"/>
          <w:numId w:val="100"/>
        </w:numPr>
        <w:tabs>
          <w:tab w:val="left" w:pos="1440"/>
          <w:tab w:val="left" w:pos="168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 xml:space="preserve">点对点 实现点对点精细图像处理 </w:t>
      </w:r>
    </w:p>
    <w:p>
      <w:pPr>
        <w:pStyle w:val="48"/>
        <w:numPr>
          <w:ilvl w:val="0"/>
          <w:numId w:val="100"/>
        </w:numPr>
        <w:tabs>
          <w:tab w:val="left" w:pos="1440"/>
          <w:tab w:val="left" w:pos="168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 xml:space="preserve">垂直方向同步 快速移动的图像无错位的现象 </w:t>
      </w:r>
    </w:p>
    <w:p>
      <w:pPr>
        <w:pStyle w:val="48"/>
        <w:numPr>
          <w:ilvl w:val="0"/>
          <w:numId w:val="100"/>
        </w:numPr>
        <w:tabs>
          <w:tab w:val="left" w:pos="1440"/>
          <w:tab w:val="left" w:pos="168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控制接口 RS232输入/环出，带网络接口，可通过网络控制</w:t>
      </w:r>
    </w:p>
    <w:p>
      <w:pPr>
        <w:pStyle w:val="48"/>
        <w:numPr>
          <w:ilvl w:val="0"/>
          <w:numId w:val="100"/>
        </w:numPr>
        <w:tabs>
          <w:tab w:val="left" w:pos="1440"/>
          <w:tab w:val="left" w:pos="1680"/>
        </w:tabs>
        <w:spacing w:line="360" w:lineRule="auto"/>
        <w:ind w:left="144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带大屏控制软件</w:t>
      </w:r>
    </w:p>
    <w:p>
      <w:pPr>
        <w:pStyle w:val="48"/>
        <w:spacing w:line="360" w:lineRule="auto"/>
        <w:ind w:left="1134" w:right="-180" w:rightChars="-75" w:firstLine="480"/>
        <w:rPr>
          <w:rFonts w:ascii="宋体" w:hAnsi="宋体" w:eastAsia="宋体" w:cs="宋体"/>
          <w:sz w:val="24"/>
          <w:szCs w:val="24"/>
          <w:highlight w:val="none"/>
        </w:rPr>
      </w:pPr>
    </w:p>
    <w:p>
      <w:pPr>
        <w:pStyle w:val="48"/>
        <w:spacing w:line="360" w:lineRule="auto"/>
        <w:ind w:left="12" w:leftChars="5" w:right="-180" w:rightChars="-75" w:firstLine="468" w:firstLineChars="195"/>
        <w:rPr>
          <w:rFonts w:ascii="宋体" w:hAnsi="宋体" w:eastAsia="宋体" w:cs="宋体"/>
          <w:sz w:val="24"/>
          <w:szCs w:val="24"/>
          <w:highlight w:val="none"/>
        </w:rPr>
      </w:pPr>
      <w:r>
        <w:rPr>
          <w:rFonts w:hint="eastAsia" w:ascii="宋体" w:hAnsi="宋体" w:eastAsia="宋体" w:cs="宋体"/>
          <w:sz w:val="24"/>
          <w:szCs w:val="24"/>
          <w:highlight w:val="none"/>
        </w:rPr>
        <w:t>22）拼接屏技术要求</w:t>
      </w:r>
    </w:p>
    <w:p>
      <w:pPr>
        <w:pStyle w:val="48"/>
        <w:numPr>
          <w:ilvl w:val="0"/>
          <w:numId w:val="101"/>
        </w:numPr>
        <w:tabs>
          <w:tab w:val="left" w:pos="1155"/>
          <w:tab w:val="left" w:pos="1680"/>
        </w:tabs>
        <w:spacing w:line="360" w:lineRule="auto"/>
        <w:ind w:left="1440" w:leftChars="60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55“DID LED，</w:t>
      </w:r>
    </w:p>
    <w:p>
      <w:pPr>
        <w:pStyle w:val="48"/>
        <w:numPr>
          <w:ilvl w:val="0"/>
          <w:numId w:val="101"/>
        </w:numPr>
        <w:tabs>
          <w:tab w:val="left" w:pos="1155"/>
          <w:tab w:val="left" w:pos="1680"/>
        </w:tabs>
        <w:spacing w:line="360" w:lineRule="auto"/>
        <w:ind w:left="1440" w:leftChars="60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分辨率：1920x1080，</w:t>
      </w:r>
    </w:p>
    <w:p>
      <w:pPr>
        <w:pStyle w:val="48"/>
        <w:numPr>
          <w:ilvl w:val="0"/>
          <w:numId w:val="101"/>
        </w:numPr>
        <w:tabs>
          <w:tab w:val="left" w:pos="1155"/>
          <w:tab w:val="left" w:pos="1680"/>
        </w:tabs>
        <w:spacing w:line="360" w:lineRule="auto"/>
        <w:ind w:left="1440" w:leftChars="60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对比度：3500:1，</w:t>
      </w:r>
    </w:p>
    <w:p>
      <w:pPr>
        <w:pStyle w:val="48"/>
        <w:numPr>
          <w:ilvl w:val="0"/>
          <w:numId w:val="101"/>
        </w:numPr>
        <w:tabs>
          <w:tab w:val="left" w:pos="1155"/>
          <w:tab w:val="left" w:pos="1680"/>
        </w:tabs>
        <w:spacing w:line="360" w:lineRule="auto"/>
        <w:ind w:left="1440" w:leftChars="60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亮度：500cd/㎡，</w:t>
      </w:r>
    </w:p>
    <w:p>
      <w:pPr>
        <w:pStyle w:val="48"/>
        <w:numPr>
          <w:ilvl w:val="0"/>
          <w:numId w:val="101"/>
        </w:numPr>
        <w:tabs>
          <w:tab w:val="left" w:pos="1155"/>
          <w:tab w:val="left" w:pos="1680"/>
        </w:tabs>
        <w:spacing w:line="360" w:lineRule="auto"/>
        <w:ind w:left="1440" w:leftChars="60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全功能接口，</w:t>
      </w:r>
    </w:p>
    <w:p>
      <w:pPr>
        <w:pStyle w:val="48"/>
        <w:numPr>
          <w:ilvl w:val="0"/>
          <w:numId w:val="101"/>
        </w:numPr>
        <w:tabs>
          <w:tab w:val="left" w:pos="1155"/>
          <w:tab w:val="left" w:pos="1680"/>
        </w:tabs>
        <w:spacing w:line="360" w:lineRule="auto"/>
        <w:ind w:left="1440" w:leftChars="60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最大功耗：150W，</w:t>
      </w:r>
    </w:p>
    <w:p>
      <w:pPr>
        <w:pStyle w:val="48"/>
        <w:numPr>
          <w:ilvl w:val="0"/>
          <w:numId w:val="101"/>
        </w:numPr>
        <w:tabs>
          <w:tab w:val="left" w:pos="1155"/>
          <w:tab w:val="left" w:pos="1680"/>
        </w:tabs>
        <w:spacing w:line="360" w:lineRule="auto"/>
        <w:ind w:left="1440" w:leftChars="60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使用寿命：60000小时，</w:t>
      </w:r>
    </w:p>
    <w:p>
      <w:pPr>
        <w:pStyle w:val="48"/>
        <w:numPr>
          <w:ilvl w:val="0"/>
          <w:numId w:val="101"/>
        </w:numPr>
        <w:tabs>
          <w:tab w:val="left" w:pos="1155"/>
          <w:tab w:val="left" w:pos="1680"/>
        </w:tabs>
        <w:spacing w:line="360" w:lineRule="auto"/>
        <w:ind w:left="1440" w:leftChars="600" w:right="-180" w:rightChars="-75" w:firstLine="0" w:firstLineChars="0"/>
        <w:rPr>
          <w:rFonts w:ascii="宋体" w:hAnsi="宋体" w:eastAsia="宋体" w:cs="宋体"/>
          <w:sz w:val="24"/>
          <w:szCs w:val="24"/>
          <w:highlight w:val="none"/>
        </w:rPr>
      </w:pPr>
      <w:r>
        <w:rPr>
          <w:rFonts w:hint="eastAsia" w:ascii="宋体" w:hAnsi="宋体" w:eastAsia="宋体" w:cs="宋体"/>
          <w:sz w:val="24"/>
          <w:szCs w:val="24"/>
          <w:highlight w:val="none"/>
        </w:rPr>
        <w:t>单元尺寸1223(W)×693(H)mm，窄边，拼缝3.5mm。</w:t>
      </w:r>
    </w:p>
    <w:p>
      <w:pPr>
        <w:spacing w:after="0" w:line="360" w:lineRule="auto"/>
        <w:ind w:left="0" w:right="-180" w:rightChars="-75" w:firstLine="0"/>
        <w:rPr>
          <w:color w:val="auto"/>
          <w:szCs w:val="24"/>
          <w:highlight w:val="none"/>
        </w:rPr>
      </w:pPr>
    </w:p>
    <w:p>
      <w:pPr>
        <w:pStyle w:val="3"/>
        <w:numPr>
          <w:ilvl w:val="1"/>
          <w:numId w:val="3"/>
        </w:numPr>
        <w:spacing w:before="0" w:after="0" w:line="360" w:lineRule="auto"/>
        <w:ind w:left="1134" w:right="-180" w:rightChars="-75" w:hanging="708"/>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    </w:t>
      </w:r>
      <w:r>
        <w:rPr>
          <w:rFonts w:hint="eastAsia" w:ascii="宋体" w:hAnsi="宋体" w:eastAsia="宋体" w:cs="宋体"/>
          <w:color w:val="auto"/>
          <w:sz w:val="24"/>
          <w:szCs w:val="24"/>
          <w:highlight w:val="none"/>
        </w:rPr>
        <w:tab/>
      </w:r>
      <w:r>
        <w:rPr>
          <w:rFonts w:hint="eastAsia" w:ascii="宋体" w:hAnsi="宋体" w:eastAsia="宋体" w:cs="宋体"/>
          <w:color w:val="auto"/>
          <w:sz w:val="24"/>
          <w:szCs w:val="24"/>
          <w:highlight w:val="none"/>
        </w:rPr>
        <w:t xml:space="preserve">系统测试检验 </w:t>
      </w:r>
    </w:p>
    <w:p>
      <w:pPr>
        <w:numPr>
          <w:ilvl w:val="2"/>
          <w:numId w:val="3"/>
        </w:numPr>
        <w:spacing w:after="0" w:line="360" w:lineRule="auto"/>
        <w:ind w:left="1134" w:right="-180" w:rightChars="-75" w:hanging="708"/>
        <w:rPr>
          <w:color w:val="auto"/>
          <w:szCs w:val="24"/>
          <w:highlight w:val="none"/>
        </w:rPr>
      </w:pPr>
      <w:r>
        <w:rPr>
          <w:color w:val="auto"/>
          <w:szCs w:val="24"/>
          <w:highlight w:val="none"/>
        </w:rPr>
        <w:t xml:space="preserve">系统检验应符合现行标准《智能建筑工程施工规范》（GB50606-2010）、《智能建筑工程质量验收规范》（GB50339-2013）、《数据中心基础设施施工及验收规范》（GB50462-2015）、《建筑物电子信息系统防雷技术规范》（GB 50343-2012）等标准规范以及消防验收与当地相关部门的要求。   </w:t>
      </w:r>
    </w:p>
    <w:p>
      <w:pPr>
        <w:numPr>
          <w:ilvl w:val="255"/>
          <w:numId w:val="0"/>
        </w:numPr>
        <w:spacing w:after="0" w:line="360" w:lineRule="auto"/>
        <w:ind w:left="240" w:right="12"/>
        <w:rPr>
          <w:color w:val="auto"/>
          <w:szCs w:val="24"/>
          <w:highlight w:val="none"/>
        </w:rPr>
      </w:pPr>
    </w:p>
    <w:p>
      <w:pPr>
        <w:spacing w:after="0" w:line="360" w:lineRule="auto"/>
        <w:ind w:left="0" w:right="0" w:firstLine="0"/>
        <w:rPr>
          <w:rFonts w:ascii="Times New Roman" w:hAnsi="Times New Roman" w:eastAsia="Times New Roman" w:cs="Times New Roman"/>
          <w:color w:val="auto"/>
          <w:highlight w:val="none"/>
        </w:rPr>
      </w:pPr>
      <w:r>
        <w:rPr>
          <w:rFonts w:ascii="Times New Roman" w:hAnsi="Times New Roman" w:eastAsia="Times New Roman" w:cs="Times New Roman"/>
          <w:color w:val="auto"/>
          <w:highlight w:val="none"/>
        </w:rPr>
        <w:br w:type="page"/>
      </w:r>
    </w:p>
    <w:p>
      <w:pPr>
        <w:pStyle w:val="2"/>
        <w:numPr>
          <w:ilvl w:val="0"/>
          <w:numId w:val="2"/>
        </w:numPr>
        <w:tabs>
          <w:tab w:val="center" w:pos="480"/>
        </w:tabs>
        <w:spacing w:after="0" w:line="360" w:lineRule="auto"/>
        <w:ind w:right="0"/>
        <w:rPr>
          <w:b/>
          <w:color w:val="auto"/>
          <w:sz w:val="30"/>
          <w:szCs w:val="30"/>
          <w:highlight w:val="none"/>
        </w:rPr>
      </w:pPr>
      <w:bookmarkStart w:id="179" w:name="_Toc6149"/>
      <w:bookmarkStart w:id="180" w:name="_Toc22123"/>
      <w:bookmarkStart w:id="181" w:name="_Toc16705"/>
      <w:bookmarkStart w:id="182" w:name="_Toc8402"/>
      <w:bookmarkStart w:id="183" w:name="_Toc15523"/>
      <w:bookmarkStart w:id="184" w:name="_Toc6795"/>
      <w:bookmarkStart w:id="185" w:name="_Toc4973"/>
      <w:bookmarkStart w:id="186" w:name="_Toc26929"/>
      <w:bookmarkStart w:id="187" w:name="_Toc6889"/>
      <w:bookmarkStart w:id="188" w:name="_Toc13908"/>
      <w:bookmarkStart w:id="189" w:name="_Toc25008"/>
      <w:bookmarkStart w:id="190" w:name="_Toc3961"/>
      <w:bookmarkStart w:id="191" w:name="_Toc32749"/>
      <w:bookmarkStart w:id="192" w:name="_Toc23707"/>
      <w:bookmarkStart w:id="193" w:name="_Toc11128"/>
      <w:bookmarkStart w:id="194" w:name="_Toc25820"/>
      <w:bookmarkStart w:id="195" w:name="_Toc79151143"/>
      <w:bookmarkStart w:id="196" w:name="_Toc18673"/>
      <w:bookmarkStart w:id="197" w:name="_Toc2028"/>
      <w:bookmarkStart w:id="198" w:name="_Toc1046"/>
      <w:bookmarkStart w:id="199" w:name="_Toc2249"/>
      <w:bookmarkStart w:id="200" w:name="_Toc9294"/>
      <w:r>
        <w:rPr>
          <w:rFonts w:hint="eastAsia"/>
          <w:b/>
          <w:color w:val="auto"/>
          <w:sz w:val="30"/>
          <w:szCs w:val="30"/>
          <w:highlight w:val="none"/>
        </w:rPr>
        <w:t>服务器、工作站等通用设备</w:t>
      </w:r>
      <w:bookmarkEnd w:id="179"/>
      <w:bookmarkEnd w:id="180"/>
      <w:bookmarkEnd w:id="181"/>
      <w:bookmarkEnd w:id="182"/>
      <w:bookmarkEnd w:id="183"/>
      <w:bookmarkEnd w:id="184"/>
      <w:bookmarkEnd w:id="185"/>
      <w:bookmarkEnd w:id="186"/>
      <w:bookmarkEnd w:id="187"/>
      <w:bookmarkEnd w:id="188"/>
      <w:bookmarkEnd w:id="189"/>
      <w:bookmarkEnd w:id="190"/>
      <w:bookmarkEnd w:id="191"/>
      <w:r>
        <w:rPr>
          <w:rFonts w:hint="eastAsia"/>
          <w:b/>
          <w:color w:val="auto"/>
          <w:sz w:val="30"/>
          <w:szCs w:val="30"/>
          <w:highlight w:val="none"/>
        </w:rPr>
        <w:t xml:space="preserve"> </w:t>
      </w:r>
    </w:p>
    <w:bookmarkEnd w:id="192"/>
    <w:bookmarkEnd w:id="193"/>
    <w:bookmarkEnd w:id="194"/>
    <w:bookmarkEnd w:id="195"/>
    <w:bookmarkEnd w:id="196"/>
    <w:bookmarkEnd w:id="197"/>
    <w:bookmarkEnd w:id="198"/>
    <w:bookmarkEnd w:id="199"/>
    <w:bookmarkEnd w:id="200"/>
    <w:p>
      <w:pPr>
        <w:pStyle w:val="30"/>
        <w:keepNext/>
        <w:keepLines/>
        <w:numPr>
          <w:ilvl w:val="0"/>
          <w:numId w:val="3"/>
        </w:numPr>
        <w:spacing w:after="0" w:line="360" w:lineRule="auto"/>
        <w:ind w:right="1593" w:hanging="10" w:firstLineChars="0"/>
        <w:outlineLvl w:val="1"/>
        <w:rPr>
          <w:rFonts w:cs="Times New Roman"/>
          <w:b/>
          <w:bCs/>
          <w:vanish/>
          <w:color w:val="auto"/>
          <w:szCs w:val="24"/>
          <w:highlight w:val="none"/>
        </w:rPr>
      </w:pPr>
    </w:p>
    <w:p>
      <w:pPr>
        <w:pStyle w:val="3"/>
        <w:numPr>
          <w:ilvl w:val="1"/>
          <w:numId w:val="3"/>
        </w:numPr>
        <w:tabs>
          <w:tab w:val="left" w:pos="480"/>
        </w:tabs>
        <w:spacing w:before="0" w:after="0" w:line="360" w:lineRule="auto"/>
        <w:ind w:left="10" w:right="1593"/>
        <w:rPr>
          <w:rFonts w:ascii="宋体" w:hAnsi="宋体" w:eastAsia="宋体" w:cs="Times New Roman"/>
          <w:color w:val="auto"/>
          <w:sz w:val="24"/>
          <w:szCs w:val="24"/>
          <w:highlight w:val="none"/>
        </w:rPr>
      </w:pPr>
      <w:r>
        <w:rPr>
          <w:rFonts w:ascii="宋体" w:hAnsi="宋体" w:eastAsia="宋体" w:cs="Times New Roman"/>
          <w:color w:val="auto"/>
          <w:sz w:val="24"/>
          <w:szCs w:val="24"/>
          <w:highlight w:val="none"/>
        </w:rPr>
        <w:t xml:space="preserve">     </w:t>
      </w:r>
      <w:r>
        <w:rPr>
          <w:rFonts w:hint="eastAsia" w:ascii="宋体" w:hAnsi="宋体" w:eastAsia="宋体" w:cs="Times New Roman"/>
          <w:color w:val="auto"/>
          <w:sz w:val="24"/>
          <w:szCs w:val="24"/>
          <w:highlight w:val="none"/>
        </w:rPr>
        <w:t>服务器</w:t>
      </w:r>
      <w:r>
        <w:rPr>
          <w:rFonts w:ascii="宋体" w:hAnsi="宋体" w:eastAsia="宋体" w:cs="Times New Roman"/>
          <w:color w:val="auto"/>
          <w:sz w:val="24"/>
          <w:szCs w:val="24"/>
          <w:highlight w:val="none"/>
        </w:rPr>
        <w:t xml:space="preserve"> </w:t>
      </w:r>
    </w:p>
    <w:p>
      <w:pPr>
        <w:numPr>
          <w:ilvl w:val="2"/>
          <w:numId w:val="3"/>
        </w:numPr>
        <w:spacing w:after="0" w:line="360" w:lineRule="auto"/>
        <w:ind w:left="1134" w:right="-180" w:rightChars="-75" w:hanging="708"/>
        <w:rPr>
          <w:color w:val="auto"/>
          <w:szCs w:val="24"/>
          <w:highlight w:val="none"/>
        </w:rPr>
      </w:pPr>
      <w:r>
        <w:rPr>
          <w:color w:val="auto"/>
          <w:szCs w:val="24"/>
          <w:highlight w:val="none"/>
        </w:rPr>
        <w:t>各智能化子系统除个别特殊系统需采用厂家自身服务器外，其他各子系统平台需</w:t>
      </w:r>
      <w:r>
        <w:rPr>
          <w:rFonts w:hint="eastAsia"/>
          <w:color w:val="auto"/>
          <w:szCs w:val="24"/>
          <w:highlight w:val="none"/>
        </w:rPr>
        <w:t>使用</w:t>
      </w:r>
      <w:r>
        <w:rPr>
          <w:color w:val="auto"/>
          <w:szCs w:val="24"/>
          <w:highlight w:val="none"/>
        </w:rPr>
        <w:t>超融合一体机</w:t>
      </w:r>
      <w:r>
        <w:rPr>
          <w:rFonts w:hint="eastAsia"/>
          <w:color w:val="auto"/>
          <w:szCs w:val="24"/>
          <w:highlight w:val="none"/>
        </w:rPr>
        <w:t>（超融合一体机由其他标段提供）</w:t>
      </w:r>
      <w:r>
        <w:rPr>
          <w:color w:val="auto"/>
          <w:szCs w:val="24"/>
          <w:highlight w:val="none"/>
        </w:rPr>
        <w:t>，</w:t>
      </w:r>
      <w:r>
        <w:rPr>
          <w:rFonts w:hint="eastAsia"/>
          <w:color w:val="auto"/>
          <w:szCs w:val="24"/>
          <w:highlight w:val="none"/>
        </w:rPr>
        <w:t>采用</w:t>
      </w:r>
      <w:r>
        <w:rPr>
          <w:color w:val="auto"/>
          <w:szCs w:val="24"/>
          <w:highlight w:val="none"/>
        </w:rPr>
        <w:t>虚拟服务器的方式。</w:t>
      </w:r>
    </w:p>
    <w:p>
      <w:pPr>
        <w:pStyle w:val="3"/>
        <w:numPr>
          <w:ilvl w:val="1"/>
          <w:numId w:val="3"/>
        </w:numPr>
        <w:spacing w:before="0" w:after="0" w:line="360" w:lineRule="auto"/>
        <w:ind w:left="10" w:right="1593"/>
        <w:rPr>
          <w:rFonts w:ascii="宋体" w:hAnsi="宋体" w:eastAsia="宋体" w:cs="宋体"/>
          <w:color w:val="auto"/>
          <w:sz w:val="24"/>
          <w:szCs w:val="24"/>
          <w:highlight w:val="none"/>
        </w:rPr>
      </w:pPr>
      <w:bookmarkStart w:id="201" w:name="_Toc15203"/>
      <w:bookmarkStart w:id="202" w:name="_Toc22599"/>
      <w:bookmarkStart w:id="203" w:name="_Toc79151145"/>
      <w:bookmarkStart w:id="204" w:name="_Toc6787"/>
      <w:bookmarkStart w:id="205" w:name="_Toc10675"/>
      <w:bookmarkStart w:id="206" w:name="_Toc2874"/>
      <w:bookmarkStart w:id="207" w:name="_Toc20107"/>
      <w:bookmarkStart w:id="208" w:name="_Toc32512"/>
      <w:bookmarkStart w:id="209" w:name="_Toc32288"/>
      <w:r>
        <w:rPr>
          <w:rFonts w:hint="eastAsia" w:ascii="宋体" w:hAnsi="宋体" w:eastAsia="宋体" w:cs="宋体"/>
          <w:color w:val="auto"/>
          <w:sz w:val="24"/>
          <w:szCs w:val="24"/>
          <w:highlight w:val="none"/>
        </w:rPr>
        <w:t xml:space="preserve">     </w:t>
      </w:r>
      <w:bookmarkStart w:id="210" w:name="_Toc31352"/>
      <w:r>
        <w:rPr>
          <w:rFonts w:hint="eastAsia" w:ascii="宋体" w:hAnsi="宋体" w:eastAsia="宋体" w:cs="宋体"/>
          <w:color w:val="auto"/>
          <w:sz w:val="24"/>
          <w:szCs w:val="24"/>
          <w:highlight w:val="none"/>
        </w:rPr>
        <w:t>工作站（如各子系统需求书无要求则按以下参数）</w:t>
      </w:r>
      <w:bookmarkEnd w:id="210"/>
      <w:r>
        <w:rPr>
          <w:rFonts w:hint="eastAsia" w:ascii="宋体" w:hAnsi="宋体" w:eastAsia="宋体" w:cs="宋体"/>
          <w:color w:val="auto"/>
          <w:sz w:val="24"/>
          <w:szCs w:val="24"/>
          <w:highlight w:val="none"/>
        </w:rPr>
        <w:t xml:space="preserve"> </w:t>
      </w:r>
    </w:p>
    <w:p>
      <w:pPr>
        <w:pStyle w:val="30"/>
        <w:widowControl w:val="0"/>
        <w:spacing w:after="0" w:line="360" w:lineRule="auto"/>
        <w:ind w:left="480" w:leftChars="200" w:right="0" w:firstLine="0" w:firstLineChars="0"/>
        <w:jc w:val="both"/>
        <w:rPr>
          <w:b/>
          <w:bCs/>
          <w:szCs w:val="24"/>
          <w:highlight w:val="none"/>
        </w:rPr>
      </w:pPr>
      <w:r>
        <w:rPr>
          <w:rFonts w:hint="eastAsia"/>
          <w:b/>
          <w:bCs/>
          <w:szCs w:val="24"/>
          <w:highlight w:val="none"/>
        </w:rPr>
        <w:t>普通工作性能要求</w:t>
      </w:r>
    </w:p>
    <w:p>
      <w:pPr>
        <w:pStyle w:val="49"/>
        <w:numPr>
          <w:ilvl w:val="0"/>
          <w:numId w:val="102"/>
        </w:numPr>
        <w:spacing w:line="360" w:lineRule="auto"/>
        <w:ind w:left="480" w:leftChars="200" w:firstLine="480"/>
        <w:rPr>
          <w:rFonts w:ascii="宋体" w:hAnsi="宋体" w:cs="宋体"/>
          <w:sz w:val="24"/>
          <w:highlight w:val="none"/>
        </w:rPr>
      </w:pPr>
      <w:r>
        <w:rPr>
          <w:rFonts w:hint="eastAsia" w:ascii="宋体" w:hAnsi="宋体" w:cs="宋体"/>
          <w:sz w:val="24"/>
          <w:highlight w:val="none"/>
        </w:rPr>
        <w:t>基本配置：</w:t>
      </w:r>
    </w:p>
    <w:p>
      <w:pPr>
        <w:pStyle w:val="49"/>
        <w:numPr>
          <w:ilvl w:val="0"/>
          <w:numId w:val="103"/>
        </w:numPr>
        <w:spacing w:line="360" w:lineRule="auto"/>
        <w:ind w:left="480" w:leftChars="200" w:firstLine="480"/>
        <w:rPr>
          <w:rFonts w:ascii="宋体" w:hAnsi="宋体" w:cs="宋体"/>
          <w:sz w:val="24"/>
          <w:highlight w:val="none"/>
        </w:rPr>
      </w:pPr>
      <w:r>
        <w:rPr>
          <w:rFonts w:hint="eastAsia" w:ascii="宋体" w:hAnsi="宋体" w:cs="宋体"/>
          <w:sz w:val="24"/>
          <w:highlight w:val="none"/>
        </w:rPr>
        <w:t>CPU：≥1颗，不低于6核12线程、3.1GHz主频、12MB三级缓存、制作工艺14nm，热设计功耗(TDP)≤65W，插槽类型为LGA 1200的处理器</w:t>
      </w:r>
    </w:p>
    <w:p>
      <w:pPr>
        <w:pStyle w:val="49"/>
        <w:numPr>
          <w:ilvl w:val="0"/>
          <w:numId w:val="103"/>
        </w:numPr>
        <w:spacing w:line="360" w:lineRule="auto"/>
        <w:ind w:left="480" w:leftChars="200" w:firstLine="480"/>
        <w:rPr>
          <w:rFonts w:ascii="宋体" w:hAnsi="宋体" w:cs="宋体"/>
          <w:sz w:val="24"/>
          <w:highlight w:val="none"/>
        </w:rPr>
      </w:pPr>
      <w:r>
        <w:rPr>
          <w:rFonts w:hint="eastAsia" w:ascii="宋体" w:hAnsi="宋体" w:cs="宋体"/>
          <w:sz w:val="24"/>
          <w:highlight w:val="none"/>
        </w:rPr>
        <w:t>内存：≥16G DDR4 2400MHz 内存，提供4个内存槽位</w:t>
      </w:r>
    </w:p>
    <w:p>
      <w:pPr>
        <w:pStyle w:val="49"/>
        <w:numPr>
          <w:ilvl w:val="0"/>
          <w:numId w:val="103"/>
        </w:numPr>
        <w:spacing w:line="360" w:lineRule="auto"/>
        <w:ind w:left="480" w:leftChars="200" w:firstLine="480"/>
        <w:rPr>
          <w:rFonts w:ascii="宋体" w:hAnsi="宋体" w:cs="宋体"/>
          <w:sz w:val="24"/>
          <w:highlight w:val="none"/>
        </w:rPr>
      </w:pPr>
      <w:r>
        <w:rPr>
          <w:rFonts w:hint="eastAsia" w:ascii="宋体" w:hAnsi="宋体" w:cs="宋体"/>
          <w:sz w:val="24"/>
          <w:highlight w:val="none"/>
        </w:rPr>
        <w:t>独立显卡：≥1张，不低于2GB GDDR5显存、64bit显存位宽、48GB/s显存带宽、1030MHz 核心频率，≥VGA（或DP）*1+HDMI*1的独立显卡，注：集成显卡和独立显卡需同时使用，实现双显卡多屏显示使用</w:t>
      </w:r>
    </w:p>
    <w:p>
      <w:pPr>
        <w:pStyle w:val="49"/>
        <w:numPr>
          <w:ilvl w:val="0"/>
          <w:numId w:val="103"/>
        </w:numPr>
        <w:spacing w:line="360" w:lineRule="auto"/>
        <w:ind w:left="480" w:leftChars="200" w:firstLine="480"/>
        <w:rPr>
          <w:rFonts w:ascii="宋体" w:hAnsi="宋体" w:cs="宋体"/>
          <w:sz w:val="24"/>
          <w:highlight w:val="none"/>
        </w:rPr>
      </w:pPr>
      <w:r>
        <w:rPr>
          <w:rFonts w:hint="eastAsia" w:ascii="宋体" w:hAnsi="宋体" w:cs="宋体"/>
          <w:sz w:val="24"/>
          <w:highlight w:val="none"/>
        </w:rPr>
        <w:t>硬盘：≥256G 固态硬盘+1TB SATA3 7200rpm 硬盘</w:t>
      </w:r>
    </w:p>
    <w:p>
      <w:pPr>
        <w:pStyle w:val="49"/>
        <w:numPr>
          <w:ilvl w:val="0"/>
          <w:numId w:val="102"/>
        </w:numPr>
        <w:spacing w:line="360" w:lineRule="auto"/>
        <w:ind w:left="480" w:leftChars="200" w:firstLine="480"/>
        <w:rPr>
          <w:rFonts w:ascii="宋体" w:hAnsi="宋体" w:cs="宋体"/>
          <w:sz w:val="24"/>
          <w:highlight w:val="none"/>
        </w:rPr>
      </w:pPr>
      <w:r>
        <w:rPr>
          <w:rFonts w:hint="eastAsia" w:ascii="宋体" w:hAnsi="宋体" w:cs="宋体"/>
          <w:sz w:val="24"/>
          <w:highlight w:val="none"/>
        </w:rPr>
        <w:t>其他配置：</w:t>
      </w:r>
    </w:p>
    <w:p>
      <w:pPr>
        <w:pStyle w:val="49"/>
        <w:numPr>
          <w:ilvl w:val="0"/>
          <w:numId w:val="104"/>
        </w:numPr>
        <w:spacing w:line="360" w:lineRule="auto"/>
        <w:ind w:left="480" w:leftChars="200" w:firstLine="480"/>
        <w:rPr>
          <w:rFonts w:ascii="宋体" w:hAnsi="宋体" w:cs="宋体"/>
          <w:sz w:val="24"/>
          <w:highlight w:val="none"/>
        </w:rPr>
      </w:pPr>
      <w:r>
        <w:rPr>
          <w:rFonts w:hint="eastAsia" w:ascii="宋体" w:hAnsi="宋体" w:cs="宋体"/>
          <w:sz w:val="24"/>
          <w:highlight w:val="none"/>
        </w:rPr>
        <w:t>主板：相当于B460芯片组或以上；网卡：集成10/100/1000M以太网卡；扩展槽：≥1个PCI-E×16、2个PCI-E×1；电源：≥110/220V 300W 节能电源；外设：一套鼠标键盘；操作系统：Windows 10 专业版</w:t>
      </w:r>
    </w:p>
    <w:p>
      <w:pPr>
        <w:pStyle w:val="49"/>
        <w:numPr>
          <w:ilvl w:val="0"/>
          <w:numId w:val="104"/>
        </w:numPr>
        <w:spacing w:line="360" w:lineRule="auto"/>
        <w:ind w:left="480" w:leftChars="200" w:firstLine="480"/>
        <w:rPr>
          <w:rFonts w:ascii="宋体" w:hAnsi="宋体" w:cs="宋体"/>
          <w:sz w:val="24"/>
          <w:highlight w:val="none"/>
        </w:rPr>
      </w:pPr>
      <w:r>
        <w:rPr>
          <w:rFonts w:hint="eastAsia" w:ascii="宋体" w:hAnsi="宋体" w:cs="宋体"/>
          <w:sz w:val="24"/>
          <w:highlight w:val="none"/>
        </w:rPr>
        <w:t>声卡：集成声卡，支持5.1声道（提供前2后3共5个音频接口）</w:t>
      </w:r>
    </w:p>
    <w:p>
      <w:pPr>
        <w:pStyle w:val="49"/>
        <w:numPr>
          <w:ilvl w:val="0"/>
          <w:numId w:val="102"/>
        </w:numPr>
        <w:spacing w:line="360" w:lineRule="auto"/>
        <w:ind w:left="480" w:leftChars="200" w:firstLine="480"/>
        <w:rPr>
          <w:rFonts w:ascii="宋体" w:hAnsi="宋体" w:cs="宋体"/>
          <w:sz w:val="24"/>
          <w:highlight w:val="none"/>
        </w:rPr>
      </w:pPr>
      <w:r>
        <w:rPr>
          <w:rFonts w:hint="eastAsia" w:ascii="宋体" w:hAnsi="宋体" w:cs="宋体"/>
          <w:sz w:val="24"/>
          <w:highlight w:val="none"/>
        </w:rPr>
        <w:t>接口：≥10个USB接口(前置6个USB 3.2 G1，后置4个USB 2.0)、1组PS/2接口、1个串口、VGA+HDMI+DP接口（VGA非转接），</w:t>
      </w:r>
    </w:p>
    <w:p>
      <w:pPr>
        <w:pStyle w:val="49"/>
        <w:numPr>
          <w:ilvl w:val="0"/>
          <w:numId w:val="102"/>
        </w:numPr>
        <w:spacing w:line="360" w:lineRule="auto"/>
        <w:ind w:left="480" w:leftChars="200" w:firstLine="480"/>
        <w:rPr>
          <w:rFonts w:ascii="宋体" w:hAnsi="宋体" w:cs="宋体"/>
          <w:sz w:val="24"/>
          <w:highlight w:val="none"/>
        </w:rPr>
      </w:pPr>
      <w:r>
        <w:rPr>
          <w:rFonts w:hint="eastAsia" w:ascii="宋体" w:hAnsi="宋体" w:cs="宋体"/>
          <w:sz w:val="24"/>
          <w:highlight w:val="none"/>
        </w:rPr>
        <w:t>显示器：屏幕类型 In Plane Switching（IPS），2K以上，屏幕尺寸：≥23.8英寸（HDMI接口）</w:t>
      </w:r>
    </w:p>
    <w:p>
      <w:pPr>
        <w:pStyle w:val="49"/>
        <w:numPr>
          <w:ilvl w:val="0"/>
          <w:numId w:val="102"/>
        </w:numPr>
        <w:spacing w:line="360" w:lineRule="auto"/>
        <w:ind w:left="480" w:leftChars="200" w:firstLine="480"/>
        <w:rPr>
          <w:rFonts w:ascii="宋体" w:hAnsi="宋体" w:cs="宋体"/>
          <w:sz w:val="24"/>
          <w:highlight w:val="none"/>
        </w:rPr>
      </w:pPr>
      <w:r>
        <w:rPr>
          <w:rFonts w:hint="eastAsia" w:ascii="宋体" w:hAnsi="宋体" w:cs="宋体"/>
          <w:sz w:val="24"/>
          <w:highlight w:val="none"/>
        </w:rPr>
        <w:t>屏幕特点：防眩光，窄边框；色域：≥72% NTSC；分辨率：≥1920×1080；</w:t>
      </w:r>
    </w:p>
    <w:p>
      <w:pPr>
        <w:pStyle w:val="49"/>
        <w:numPr>
          <w:ilvl w:val="0"/>
          <w:numId w:val="102"/>
        </w:numPr>
        <w:spacing w:line="360" w:lineRule="auto"/>
        <w:ind w:left="480" w:leftChars="200" w:firstLine="480"/>
        <w:rPr>
          <w:rFonts w:ascii="宋体" w:hAnsi="宋体" w:cs="宋体"/>
          <w:sz w:val="24"/>
          <w:highlight w:val="none"/>
        </w:rPr>
      </w:pPr>
      <w:r>
        <w:rPr>
          <w:rFonts w:hint="eastAsia" w:ascii="宋体" w:hAnsi="宋体" w:cs="宋体"/>
          <w:sz w:val="24"/>
          <w:highlight w:val="none"/>
        </w:rPr>
        <w:t>输入信号：≥VGA*1 + HDMI1.4*1 + DP1.2*1（含≥HDMI线*1）</w:t>
      </w:r>
    </w:p>
    <w:p>
      <w:pPr>
        <w:spacing w:line="360" w:lineRule="auto"/>
        <w:ind w:left="490" w:right="-9" w:hanging="490"/>
        <w:rPr>
          <w:highlight w:val="none"/>
        </w:rPr>
      </w:pPr>
      <w:r>
        <w:rPr>
          <w:rFonts w:hint="eastAsia"/>
          <w:highlight w:val="none"/>
        </w:rPr>
        <w:t xml:space="preserve">    7. 售后服务：整机提供不低于原厂5年免费上门保修服务（含键鼠、鼠标等所有部件）；</w:t>
      </w:r>
    </w:p>
    <w:p>
      <w:pPr>
        <w:spacing w:line="276" w:lineRule="auto"/>
        <w:ind w:left="490" w:leftChars="200"/>
        <w:rPr>
          <w:szCs w:val="24"/>
          <w:highlight w:val="none"/>
        </w:rPr>
      </w:pPr>
    </w:p>
    <w:p>
      <w:pPr>
        <w:pStyle w:val="30"/>
        <w:widowControl w:val="0"/>
        <w:spacing w:after="0" w:line="276" w:lineRule="auto"/>
        <w:ind w:left="480" w:leftChars="200" w:right="0" w:firstLine="0" w:firstLineChars="0"/>
        <w:jc w:val="both"/>
        <w:rPr>
          <w:b/>
          <w:bCs/>
          <w:szCs w:val="24"/>
          <w:highlight w:val="none"/>
        </w:rPr>
      </w:pPr>
      <w:r>
        <w:rPr>
          <w:rFonts w:hint="eastAsia"/>
          <w:b/>
          <w:bCs/>
          <w:szCs w:val="24"/>
          <w:highlight w:val="none"/>
        </w:rPr>
        <w:t>图型工作站性能要求（主要用于视频安防系统，视频安防使用双显示屏）</w:t>
      </w:r>
    </w:p>
    <w:p>
      <w:pPr>
        <w:widowControl w:val="0"/>
        <w:numPr>
          <w:ilvl w:val="0"/>
          <w:numId w:val="105"/>
        </w:numPr>
        <w:spacing w:after="0" w:line="360" w:lineRule="auto"/>
        <w:ind w:left="490" w:leftChars="200" w:right="0"/>
        <w:jc w:val="both"/>
        <w:rPr>
          <w:szCs w:val="24"/>
          <w:highlight w:val="none"/>
        </w:rPr>
      </w:pPr>
      <w:r>
        <w:rPr>
          <w:rFonts w:hint="eastAsia"/>
          <w:szCs w:val="24"/>
          <w:highlight w:val="none"/>
        </w:rPr>
        <w:t>基本配置：</w:t>
      </w:r>
    </w:p>
    <w:p>
      <w:pPr>
        <w:pStyle w:val="49"/>
        <w:numPr>
          <w:ilvl w:val="0"/>
          <w:numId w:val="106"/>
        </w:numPr>
        <w:spacing w:line="360" w:lineRule="auto"/>
        <w:ind w:left="480" w:leftChars="200" w:firstLine="480"/>
        <w:rPr>
          <w:rFonts w:ascii="宋体" w:hAnsi="宋体" w:cs="宋体"/>
          <w:sz w:val="24"/>
          <w:highlight w:val="none"/>
        </w:rPr>
      </w:pPr>
      <w:r>
        <w:rPr>
          <w:rFonts w:hint="eastAsia" w:ascii="宋体" w:hAnsi="宋体" w:cs="宋体"/>
          <w:sz w:val="24"/>
          <w:highlight w:val="none"/>
        </w:rPr>
        <w:t>处理器：≥1颗，不低于6核12线程、3.1GHz主频、12MB三级缓存、制作工艺14nm，热设计功耗(TDP)≤65W，插槽类型为LGA 1200的处理器</w:t>
      </w:r>
    </w:p>
    <w:p>
      <w:pPr>
        <w:pStyle w:val="49"/>
        <w:numPr>
          <w:ilvl w:val="0"/>
          <w:numId w:val="106"/>
        </w:numPr>
        <w:spacing w:line="360" w:lineRule="auto"/>
        <w:ind w:left="480" w:leftChars="200" w:firstLine="480"/>
        <w:rPr>
          <w:rFonts w:ascii="宋体" w:hAnsi="宋体" w:cs="宋体"/>
          <w:sz w:val="24"/>
          <w:highlight w:val="none"/>
        </w:rPr>
      </w:pPr>
      <w:r>
        <w:rPr>
          <w:rFonts w:hint="eastAsia" w:ascii="宋体" w:hAnsi="宋体" w:cs="宋体"/>
          <w:sz w:val="24"/>
          <w:highlight w:val="none"/>
        </w:rPr>
        <w:t>内存：≥16GB DDR4-2666，≥4个内存插槽，系统最大支持128GB或以上</w:t>
      </w:r>
    </w:p>
    <w:p>
      <w:pPr>
        <w:pStyle w:val="49"/>
        <w:numPr>
          <w:ilvl w:val="0"/>
          <w:numId w:val="106"/>
        </w:numPr>
        <w:spacing w:line="360" w:lineRule="auto"/>
        <w:ind w:left="480" w:leftChars="200" w:firstLine="480"/>
        <w:rPr>
          <w:rFonts w:ascii="宋体" w:hAnsi="宋体" w:cs="宋体"/>
          <w:sz w:val="24"/>
          <w:highlight w:val="none"/>
        </w:rPr>
      </w:pPr>
      <w:r>
        <w:rPr>
          <w:rFonts w:hint="eastAsia" w:ascii="宋体" w:hAnsi="宋体" w:cs="宋体"/>
          <w:sz w:val="24"/>
          <w:highlight w:val="none"/>
        </w:rPr>
        <w:t>硬盘：≥256G固态硬盘 + 1TB 7200 RPM 机械硬盘</w:t>
      </w:r>
    </w:p>
    <w:p>
      <w:pPr>
        <w:pStyle w:val="49"/>
        <w:numPr>
          <w:ilvl w:val="0"/>
          <w:numId w:val="106"/>
        </w:numPr>
        <w:spacing w:line="360" w:lineRule="auto"/>
        <w:ind w:left="480" w:leftChars="200" w:firstLine="480"/>
        <w:rPr>
          <w:rFonts w:ascii="宋体" w:hAnsi="宋体" w:cs="宋体"/>
          <w:sz w:val="24"/>
          <w:highlight w:val="none"/>
        </w:rPr>
      </w:pPr>
      <w:r>
        <w:rPr>
          <w:rFonts w:hint="eastAsia" w:ascii="宋体" w:hAnsi="宋体" w:cs="宋体"/>
          <w:sz w:val="24"/>
          <w:highlight w:val="none"/>
        </w:rPr>
        <w:t>显卡：≥1张，不低于4GB GDDR5显存、128bit显存位宽、112GB/s显存带宽、1183MHz核心频率、7000MHz显存频率，≥HDMI*1+DP*1输出接口的独立显卡</w:t>
      </w:r>
    </w:p>
    <w:p>
      <w:pPr>
        <w:widowControl w:val="0"/>
        <w:numPr>
          <w:ilvl w:val="0"/>
          <w:numId w:val="105"/>
        </w:numPr>
        <w:spacing w:after="0" w:line="360" w:lineRule="auto"/>
        <w:ind w:left="490" w:leftChars="200" w:right="0"/>
        <w:jc w:val="both"/>
        <w:rPr>
          <w:szCs w:val="24"/>
          <w:highlight w:val="none"/>
        </w:rPr>
      </w:pPr>
      <w:r>
        <w:rPr>
          <w:rFonts w:hint="eastAsia"/>
          <w:szCs w:val="24"/>
          <w:highlight w:val="none"/>
        </w:rPr>
        <w:t>其他主要配置：</w:t>
      </w:r>
    </w:p>
    <w:p>
      <w:pPr>
        <w:widowControl w:val="0"/>
        <w:numPr>
          <w:ilvl w:val="0"/>
          <w:numId w:val="107"/>
        </w:numPr>
        <w:spacing w:after="0" w:line="360" w:lineRule="auto"/>
        <w:ind w:left="490" w:leftChars="200" w:right="0"/>
        <w:jc w:val="both"/>
        <w:rPr>
          <w:szCs w:val="24"/>
          <w:highlight w:val="none"/>
        </w:rPr>
      </w:pPr>
      <w:r>
        <w:rPr>
          <w:rFonts w:hint="eastAsia"/>
          <w:szCs w:val="24"/>
          <w:highlight w:val="none"/>
        </w:rPr>
        <w:t>芯片组：相当于Q470芯片组或以上；</w:t>
      </w:r>
      <w:r>
        <w:rPr>
          <w:rFonts w:hint="eastAsia"/>
          <w:highlight w:val="none"/>
        </w:rPr>
        <w:t>网卡：集成10/100/1000M以太网卡</w:t>
      </w:r>
      <w:r>
        <w:rPr>
          <w:rFonts w:hint="eastAsia"/>
          <w:szCs w:val="24"/>
          <w:highlight w:val="none"/>
        </w:rPr>
        <w:t>；操作系统：</w:t>
      </w:r>
      <w:r>
        <w:rPr>
          <w:rFonts w:hint="eastAsia"/>
          <w:highlight w:val="none"/>
        </w:rPr>
        <w:t>Windows 10 专业版</w:t>
      </w:r>
    </w:p>
    <w:p>
      <w:pPr>
        <w:widowControl w:val="0"/>
        <w:numPr>
          <w:ilvl w:val="0"/>
          <w:numId w:val="107"/>
        </w:numPr>
        <w:spacing w:after="0" w:line="360" w:lineRule="auto"/>
        <w:ind w:left="490" w:leftChars="200" w:right="0"/>
        <w:jc w:val="both"/>
        <w:rPr>
          <w:szCs w:val="24"/>
          <w:highlight w:val="none"/>
        </w:rPr>
      </w:pPr>
      <w:r>
        <w:rPr>
          <w:rFonts w:hint="eastAsia"/>
          <w:szCs w:val="24"/>
          <w:highlight w:val="none"/>
        </w:rPr>
        <w:t xml:space="preserve">扩展插槽：≥1个PCIe 3.0 X16，1个PCIe 3.0 X16（须能向下兼容X4接口设备），2个PCIe 3.0 X1，1个M.2 2230插槽，2个M.2 2230/2242插槽； </w:t>
      </w:r>
    </w:p>
    <w:p>
      <w:pPr>
        <w:widowControl w:val="0"/>
        <w:numPr>
          <w:ilvl w:val="0"/>
          <w:numId w:val="107"/>
        </w:numPr>
        <w:spacing w:after="0" w:line="360" w:lineRule="auto"/>
        <w:ind w:left="490" w:leftChars="200" w:right="0"/>
        <w:jc w:val="both"/>
        <w:rPr>
          <w:szCs w:val="24"/>
          <w:highlight w:val="none"/>
        </w:rPr>
      </w:pPr>
      <w:r>
        <w:rPr>
          <w:rFonts w:hint="eastAsia"/>
          <w:szCs w:val="24"/>
          <w:highlight w:val="none"/>
        </w:rPr>
        <w:t>接口：≥前置，4个USB，1个USB Type-C，后置 1个音频输入输出，1个RJ45，2个DP ，6个USB，1个VGA；</w:t>
      </w:r>
    </w:p>
    <w:p>
      <w:pPr>
        <w:widowControl w:val="0"/>
        <w:numPr>
          <w:ilvl w:val="0"/>
          <w:numId w:val="107"/>
        </w:numPr>
        <w:spacing w:after="0" w:line="360" w:lineRule="auto"/>
        <w:ind w:left="490" w:leftChars="200" w:right="0"/>
        <w:jc w:val="both"/>
        <w:rPr>
          <w:szCs w:val="24"/>
          <w:highlight w:val="none"/>
        </w:rPr>
      </w:pPr>
      <w:r>
        <w:rPr>
          <w:rFonts w:hint="eastAsia"/>
          <w:szCs w:val="24"/>
          <w:highlight w:val="none"/>
        </w:rPr>
        <w:t>显示器输入信号：≥VGA（或DP）*1、≥HDMI 1.4接口*1（含≥VGA线*1、≥HDMI线*1）；</w:t>
      </w:r>
    </w:p>
    <w:p>
      <w:pPr>
        <w:widowControl w:val="0"/>
        <w:numPr>
          <w:ilvl w:val="0"/>
          <w:numId w:val="105"/>
        </w:numPr>
        <w:spacing w:after="0" w:line="360" w:lineRule="auto"/>
        <w:ind w:left="490" w:leftChars="200" w:right="0"/>
        <w:jc w:val="both"/>
        <w:rPr>
          <w:szCs w:val="24"/>
          <w:highlight w:val="none"/>
        </w:rPr>
      </w:pPr>
      <w:r>
        <w:rPr>
          <w:rFonts w:hint="eastAsia"/>
          <w:szCs w:val="24"/>
          <w:highlight w:val="none"/>
        </w:rPr>
        <w:t>输入设备：原厂USB抗菌键盘、USB抗菌光电鼠标，</w:t>
      </w:r>
    </w:p>
    <w:p>
      <w:pPr>
        <w:widowControl w:val="0"/>
        <w:numPr>
          <w:ilvl w:val="0"/>
          <w:numId w:val="105"/>
        </w:numPr>
        <w:spacing w:after="0" w:line="360" w:lineRule="auto"/>
        <w:ind w:left="490" w:leftChars="200" w:right="0"/>
        <w:jc w:val="both"/>
        <w:rPr>
          <w:szCs w:val="24"/>
          <w:highlight w:val="none"/>
        </w:rPr>
      </w:pPr>
      <w:r>
        <w:rPr>
          <w:rFonts w:hint="eastAsia"/>
          <w:highlight w:val="none"/>
        </w:rPr>
        <w:t>声卡：集成声卡，支持5.1声道</w:t>
      </w:r>
    </w:p>
    <w:p>
      <w:pPr>
        <w:widowControl w:val="0"/>
        <w:numPr>
          <w:ilvl w:val="0"/>
          <w:numId w:val="105"/>
        </w:numPr>
        <w:spacing w:after="0" w:line="360" w:lineRule="auto"/>
        <w:ind w:left="490" w:leftChars="200" w:right="0"/>
        <w:jc w:val="both"/>
        <w:rPr>
          <w:szCs w:val="24"/>
          <w:highlight w:val="none"/>
        </w:rPr>
      </w:pPr>
      <w:r>
        <w:rPr>
          <w:rFonts w:hint="eastAsia"/>
          <w:highlight w:val="none"/>
        </w:rPr>
        <w:t>显示器：屏幕类型 In Plane Switching（IPS），2K以上，屏幕尺寸：≥23.8英寸（HDMI接口）</w:t>
      </w:r>
    </w:p>
    <w:p>
      <w:pPr>
        <w:widowControl w:val="0"/>
        <w:numPr>
          <w:ilvl w:val="0"/>
          <w:numId w:val="105"/>
        </w:numPr>
        <w:spacing w:after="0" w:line="360" w:lineRule="auto"/>
        <w:ind w:left="490" w:leftChars="200" w:right="0"/>
        <w:jc w:val="both"/>
        <w:rPr>
          <w:szCs w:val="24"/>
          <w:highlight w:val="none"/>
        </w:rPr>
      </w:pPr>
      <w:r>
        <w:rPr>
          <w:rFonts w:hint="eastAsia"/>
          <w:szCs w:val="24"/>
          <w:highlight w:val="none"/>
        </w:rPr>
        <w:t>售后保修服务：整机提供不低于原厂5年免费上门保修服务（含键鼠、鼠标等所有部件）</w:t>
      </w:r>
    </w:p>
    <w:p>
      <w:pPr>
        <w:widowControl w:val="0"/>
        <w:spacing w:after="0" w:line="360" w:lineRule="auto"/>
        <w:ind w:left="480" w:leftChars="200" w:right="0" w:firstLine="0"/>
        <w:jc w:val="both"/>
        <w:rPr>
          <w:szCs w:val="24"/>
          <w:highlight w:val="none"/>
        </w:rPr>
      </w:pPr>
    </w:p>
    <w:p>
      <w:pPr>
        <w:pStyle w:val="3"/>
        <w:numPr>
          <w:ilvl w:val="1"/>
          <w:numId w:val="3"/>
        </w:numPr>
        <w:spacing w:before="0" w:after="0" w:line="360" w:lineRule="auto"/>
        <w:ind w:left="10" w:right="1593"/>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     </w:t>
      </w:r>
      <w:bookmarkStart w:id="211" w:name="_Toc19635"/>
      <w:r>
        <w:rPr>
          <w:rFonts w:hint="eastAsia" w:ascii="宋体" w:hAnsi="宋体" w:eastAsia="宋体" w:cs="宋体"/>
          <w:color w:val="auto"/>
          <w:sz w:val="24"/>
          <w:highlight w:val="none"/>
        </w:rPr>
        <w:t>激光打印机（除</w:t>
      </w:r>
      <w:r>
        <w:rPr>
          <w:rFonts w:hint="eastAsia" w:ascii="宋体" w:hAnsi="宋体" w:eastAsia="宋体" w:cs="宋体"/>
          <w:color w:val="auto"/>
          <w:spacing w:val="-56"/>
          <w:sz w:val="24"/>
          <w:highlight w:val="none"/>
        </w:rPr>
        <w:t xml:space="preserve"> </w:t>
      </w:r>
      <w:r>
        <w:rPr>
          <w:rFonts w:hint="eastAsia" w:ascii="宋体" w:hAnsi="宋体" w:eastAsia="宋体" w:cs="宋体"/>
          <w:color w:val="auto"/>
          <w:sz w:val="24"/>
          <w:highlight w:val="none"/>
        </w:rPr>
        <w:t>BA 系统外）</w:t>
      </w:r>
      <w:bookmarkEnd w:id="211"/>
      <w:r>
        <w:rPr>
          <w:rFonts w:hint="eastAsia" w:ascii="宋体" w:hAnsi="宋体" w:eastAsia="宋体" w:cs="宋体"/>
          <w:color w:val="auto"/>
          <w:sz w:val="24"/>
          <w:szCs w:val="24"/>
          <w:highlight w:val="none"/>
        </w:rPr>
        <w:t xml:space="preserve"> </w:t>
      </w:r>
    </w:p>
    <w:p>
      <w:pPr>
        <w:numPr>
          <w:ilvl w:val="0"/>
          <w:numId w:val="108"/>
        </w:numPr>
        <w:spacing w:after="0" w:line="360" w:lineRule="auto"/>
        <w:ind w:left="1843" w:right="12" w:hanging="420"/>
        <w:rPr>
          <w:color w:val="auto"/>
          <w:highlight w:val="none"/>
        </w:rPr>
      </w:pPr>
      <w:r>
        <w:rPr>
          <w:rFonts w:hint="eastAsia"/>
          <w:color w:val="auto"/>
          <w:highlight w:val="none"/>
        </w:rPr>
        <w:t></w:t>
      </w:r>
      <w:r>
        <w:rPr>
          <w:rFonts w:hint="eastAsia"/>
          <w:color w:val="auto"/>
          <w:highlight w:val="none"/>
        </w:rPr>
        <w:tab/>
      </w:r>
      <w:r>
        <w:rPr>
          <w:rFonts w:hint="eastAsia"/>
          <w:color w:val="auto"/>
          <w:highlight w:val="none"/>
        </w:rPr>
        <w:t>打印类型：彩色激光打印机</w:t>
      </w:r>
    </w:p>
    <w:p>
      <w:pPr>
        <w:numPr>
          <w:ilvl w:val="0"/>
          <w:numId w:val="108"/>
        </w:numPr>
        <w:spacing w:after="0" w:line="360" w:lineRule="auto"/>
        <w:ind w:left="1843" w:right="12" w:hanging="420"/>
        <w:rPr>
          <w:color w:val="auto"/>
          <w:highlight w:val="none"/>
        </w:rPr>
      </w:pPr>
      <w:r>
        <w:rPr>
          <w:rFonts w:hint="eastAsia"/>
          <w:color w:val="auto"/>
          <w:highlight w:val="none"/>
        </w:rPr>
        <w:t></w:t>
      </w:r>
      <w:r>
        <w:rPr>
          <w:rFonts w:hint="eastAsia"/>
          <w:color w:val="auto"/>
          <w:highlight w:val="none"/>
        </w:rPr>
        <w:tab/>
      </w:r>
      <w:r>
        <w:rPr>
          <w:rFonts w:hint="eastAsia"/>
          <w:color w:val="auto"/>
          <w:highlight w:val="none"/>
        </w:rPr>
        <w:t>显示界面：液晶显示面板</w:t>
      </w:r>
    </w:p>
    <w:p>
      <w:pPr>
        <w:numPr>
          <w:ilvl w:val="0"/>
          <w:numId w:val="108"/>
        </w:numPr>
        <w:spacing w:after="0" w:line="360" w:lineRule="auto"/>
        <w:ind w:left="1843" w:right="12" w:hanging="420"/>
        <w:rPr>
          <w:color w:val="auto"/>
          <w:highlight w:val="none"/>
        </w:rPr>
      </w:pPr>
      <w:r>
        <w:rPr>
          <w:rFonts w:hint="eastAsia"/>
          <w:color w:val="auto"/>
          <w:highlight w:val="none"/>
        </w:rPr>
        <w:t></w:t>
      </w:r>
      <w:r>
        <w:rPr>
          <w:rFonts w:hint="eastAsia"/>
          <w:color w:val="auto"/>
          <w:highlight w:val="none"/>
        </w:rPr>
        <w:tab/>
      </w:r>
      <w:r>
        <w:rPr>
          <w:rFonts w:hint="eastAsia"/>
          <w:color w:val="auto"/>
          <w:highlight w:val="none"/>
        </w:rPr>
        <w:t>分辨率：≥600x600dpi</w:t>
      </w:r>
    </w:p>
    <w:p>
      <w:pPr>
        <w:numPr>
          <w:ilvl w:val="0"/>
          <w:numId w:val="108"/>
        </w:numPr>
        <w:spacing w:after="0" w:line="360" w:lineRule="auto"/>
        <w:ind w:left="1843" w:right="12" w:hanging="420"/>
        <w:rPr>
          <w:color w:val="auto"/>
          <w:highlight w:val="none"/>
        </w:rPr>
      </w:pPr>
      <w:r>
        <w:rPr>
          <w:rFonts w:hint="eastAsia"/>
          <w:color w:val="auto"/>
          <w:highlight w:val="none"/>
        </w:rPr>
        <w:t></w:t>
      </w:r>
      <w:r>
        <w:rPr>
          <w:rFonts w:hint="eastAsia"/>
          <w:color w:val="auto"/>
          <w:highlight w:val="none"/>
        </w:rPr>
        <w:tab/>
      </w:r>
      <w:r>
        <w:rPr>
          <w:rFonts w:hint="eastAsia"/>
          <w:color w:val="auto"/>
          <w:highlight w:val="none"/>
        </w:rPr>
        <w:t>打印内存：≥128MB</w:t>
      </w:r>
    </w:p>
    <w:p>
      <w:pPr>
        <w:numPr>
          <w:ilvl w:val="0"/>
          <w:numId w:val="108"/>
        </w:numPr>
        <w:spacing w:after="0" w:line="360" w:lineRule="auto"/>
        <w:ind w:left="1843" w:right="12" w:hanging="420"/>
        <w:rPr>
          <w:color w:val="auto"/>
          <w:highlight w:val="none"/>
        </w:rPr>
      </w:pPr>
      <w:r>
        <w:rPr>
          <w:rFonts w:hint="eastAsia"/>
          <w:color w:val="auto"/>
          <w:highlight w:val="none"/>
        </w:rPr>
        <w:t></w:t>
      </w:r>
      <w:r>
        <w:rPr>
          <w:rFonts w:hint="eastAsia"/>
          <w:color w:val="auto"/>
          <w:highlight w:val="none"/>
        </w:rPr>
        <w:tab/>
      </w:r>
      <w:r>
        <w:rPr>
          <w:rFonts w:hint="eastAsia"/>
          <w:color w:val="auto"/>
          <w:highlight w:val="none"/>
        </w:rPr>
        <w:t>处理器：≥750 MHz</w:t>
      </w:r>
    </w:p>
    <w:p>
      <w:pPr>
        <w:numPr>
          <w:ilvl w:val="0"/>
          <w:numId w:val="108"/>
        </w:numPr>
        <w:spacing w:after="0" w:line="360" w:lineRule="auto"/>
        <w:ind w:left="1843" w:right="12" w:hanging="420"/>
        <w:rPr>
          <w:color w:val="auto"/>
          <w:highlight w:val="none"/>
        </w:rPr>
      </w:pPr>
      <w:r>
        <w:rPr>
          <w:rFonts w:hint="eastAsia"/>
          <w:color w:val="auto"/>
          <w:highlight w:val="none"/>
        </w:rPr>
        <w:t></w:t>
      </w:r>
      <w:r>
        <w:rPr>
          <w:rFonts w:hint="eastAsia"/>
          <w:color w:val="auto"/>
          <w:highlight w:val="none"/>
        </w:rPr>
        <w:tab/>
      </w:r>
      <w:r>
        <w:rPr>
          <w:rFonts w:hint="eastAsia"/>
          <w:color w:val="auto"/>
          <w:highlight w:val="none"/>
        </w:rPr>
        <w:t>打印速度≥14 页/分钟</w:t>
      </w:r>
    </w:p>
    <w:p>
      <w:pPr>
        <w:numPr>
          <w:ilvl w:val="0"/>
          <w:numId w:val="108"/>
        </w:numPr>
        <w:spacing w:after="0" w:line="360" w:lineRule="auto"/>
        <w:ind w:left="1843" w:right="12" w:hanging="420"/>
        <w:rPr>
          <w:color w:val="auto"/>
          <w:highlight w:val="none"/>
        </w:rPr>
      </w:pPr>
      <w:r>
        <w:rPr>
          <w:rFonts w:hint="eastAsia"/>
          <w:color w:val="auto"/>
          <w:highlight w:val="none"/>
        </w:rPr>
        <w:t></w:t>
      </w:r>
      <w:r>
        <w:rPr>
          <w:rFonts w:hint="eastAsia"/>
          <w:color w:val="auto"/>
          <w:highlight w:val="none"/>
        </w:rPr>
        <w:tab/>
      </w:r>
      <w:r>
        <w:rPr>
          <w:rFonts w:hint="eastAsia"/>
          <w:color w:val="auto"/>
          <w:highlight w:val="none"/>
        </w:rPr>
        <w:t>月打印量：≥30000 页/月</w:t>
      </w:r>
    </w:p>
    <w:p>
      <w:pPr>
        <w:numPr>
          <w:ilvl w:val="0"/>
          <w:numId w:val="108"/>
        </w:numPr>
        <w:spacing w:after="0" w:line="360" w:lineRule="auto"/>
        <w:ind w:left="1843" w:right="12" w:hanging="420"/>
        <w:rPr>
          <w:color w:val="auto"/>
          <w:highlight w:val="none"/>
        </w:rPr>
      </w:pPr>
      <w:r>
        <w:rPr>
          <w:rFonts w:hint="eastAsia"/>
          <w:color w:val="auto"/>
          <w:highlight w:val="none"/>
        </w:rPr>
        <w:t></w:t>
      </w:r>
      <w:r>
        <w:rPr>
          <w:rFonts w:hint="eastAsia"/>
          <w:color w:val="auto"/>
          <w:highlight w:val="none"/>
        </w:rPr>
        <w:tab/>
      </w:r>
      <w:r>
        <w:rPr>
          <w:rFonts w:hint="eastAsia"/>
          <w:color w:val="auto"/>
          <w:highlight w:val="none"/>
        </w:rPr>
        <w:t>接口类型：USB2.0  或 RJ45</w:t>
      </w:r>
    </w:p>
    <w:p>
      <w:pPr>
        <w:numPr>
          <w:ilvl w:val="0"/>
          <w:numId w:val="108"/>
        </w:numPr>
        <w:spacing w:after="0" w:line="360" w:lineRule="auto"/>
        <w:ind w:left="1843" w:right="12" w:hanging="420"/>
        <w:rPr>
          <w:color w:val="auto"/>
          <w:highlight w:val="none"/>
        </w:rPr>
      </w:pPr>
      <w:r>
        <w:rPr>
          <w:rFonts w:hint="eastAsia"/>
          <w:color w:val="auto"/>
          <w:highlight w:val="none"/>
        </w:rPr>
        <w:t></w:t>
      </w:r>
      <w:r>
        <w:rPr>
          <w:rFonts w:hint="eastAsia"/>
          <w:color w:val="auto"/>
          <w:highlight w:val="none"/>
        </w:rPr>
        <w:tab/>
      </w:r>
      <w:r>
        <w:rPr>
          <w:rFonts w:hint="eastAsia"/>
          <w:color w:val="auto"/>
          <w:highlight w:val="none"/>
        </w:rPr>
        <w:t>打印尺寸：A4</w:t>
      </w:r>
    </w:p>
    <w:p>
      <w:pPr>
        <w:pStyle w:val="3"/>
        <w:numPr>
          <w:ilvl w:val="1"/>
          <w:numId w:val="3"/>
        </w:numPr>
        <w:spacing w:before="0" w:after="0" w:line="360" w:lineRule="auto"/>
        <w:ind w:left="10" w:right="1593"/>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    </w:t>
      </w:r>
      <w:bookmarkStart w:id="212" w:name="_Toc10322"/>
      <w:r>
        <w:rPr>
          <w:rFonts w:hint="eastAsia" w:ascii="宋体" w:hAnsi="宋体" w:eastAsia="宋体" w:cs="宋体"/>
          <w:color w:val="auto"/>
          <w:sz w:val="24"/>
          <w:highlight w:val="none"/>
        </w:rPr>
        <w:t>点阵打印机（BA</w:t>
      </w:r>
      <w:r>
        <w:rPr>
          <w:rFonts w:hint="eastAsia" w:ascii="宋体" w:hAnsi="宋体" w:eastAsia="宋体" w:cs="宋体"/>
          <w:color w:val="auto"/>
          <w:spacing w:val="1"/>
          <w:sz w:val="24"/>
          <w:highlight w:val="none"/>
        </w:rPr>
        <w:t xml:space="preserve"> </w:t>
      </w:r>
      <w:r>
        <w:rPr>
          <w:rFonts w:hint="eastAsia" w:ascii="宋体" w:hAnsi="宋体" w:eastAsia="宋体" w:cs="宋体"/>
          <w:color w:val="auto"/>
          <w:sz w:val="24"/>
          <w:highlight w:val="none"/>
        </w:rPr>
        <w:t>系统）</w:t>
      </w:r>
      <w:bookmarkEnd w:id="212"/>
    </w:p>
    <w:p>
      <w:pPr>
        <w:numPr>
          <w:ilvl w:val="0"/>
          <w:numId w:val="109"/>
        </w:numPr>
        <w:spacing w:after="0" w:line="360" w:lineRule="auto"/>
        <w:ind w:left="1843" w:right="12" w:hanging="420"/>
        <w:rPr>
          <w:color w:val="auto"/>
          <w:highlight w:val="none"/>
        </w:rPr>
      </w:pPr>
      <w:r>
        <w:rPr>
          <w:rFonts w:hint="eastAsia"/>
          <w:color w:val="auto"/>
          <w:highlight w:val="none"/>
        </w:rPr>
        <w:t></w:t>
      </w:r>
      <w:r>
        <w:rPr>
          <w:rFonts w:hint="eastAsia"/>
          <w:color w:val="auto"/>
          <w:highlight w:val="none"/>
        </w:rPr>
        <w:tab/>
      </w:r>
      <w:r>
        <w:rPr>
          <w:rFonts w:hint="eastAsia"/>
          <w:color w:val="auto"/>
          <w:highlight w:val="none"/>
        </w:rPr>
        <w:t>类型：48 针(双打印头)宽行点阵打印</w:t>
      </w:r>
    </w:p>
    <w:p>
      <w:pPr>
        <w:numPr>
          <w:ilvl w:val="0"/>
          <w:numId w:val="109"/>
        </w:numPr>
        <w:spacing w:after="0" w:line="360" w:lineRule="auto"/>
        <w:ind w:left="1843" w:right="12" w:hanging="420"/>
        <w:rPr>
          <w:color w:val="auto"/>
          <w:highlight w:val="none"/>
        </w:rPr>
      </w:pPr>
      <w:r>
        <w:rPr>
          <w:rFonts w:hint="eastAsia"/>
          <w:color w:val="auto"/>
          <w:highlight w:val="none"/>
        </w:rPr>
        <w:t></w:t>
      </w:r>
      <w:r>
        <w:rPr>
          <w:rFonts w:hint="eastAsia"/>
          <w:color w:val="auto"/>
          <w:highlight w:val="none"/>
        </w:rPr>
        <w:tab/>
      </w:r>
      <w:r>
        <w:rPr>
          <w:rFonts w:hint="eastAsia"/>
          <w:color w:val="auto"/>
          <w:highlight w:val="none"/>
        </w:rPr>
        <w:t>打印速度：汉字 330 汉字/秒，英文 550 字符/秒（字/秒）</w:t>
      </w:r>
    </w:p>
    <w:p>
      <w:pPr>
        <w:numPr>
          <w:ilvl w:val="0"/>
          <w:numId w:val="109"/>
        </w:numPr>
        <w:spacing w:after="0" w:line="360" w:lineRule="auto"/>
        <w:ind w:left="1843" w:right="12" w:hanging="420"/>
        <w:rPr>
          <w:color w:val="auto"/>
          <w:highlight w:val="none"/>
        </w:rPr>
      </w:pPr>
      <w:r>
        <w:rPr>
          <w:rFonts w:hint="eastAsia"/>
          <w:color w:val="auto"/>
          <w:highlight w:val="none"/>
        </w:rPr>
        <w:t></w:t>
      </w:r>
      <w:r>
        <w:rPr>
          <w:rFonts w:hint="eastAsia"/>
          <w:color w:val="auto"/>
          <w:highlight w:val="none"/>
        </w:rPr>
        <w:tab/>
      </w:r>
      <w:r>
        <w:rPr>
          <w:rFonts w:hint="eastAsia"/>
          <w:color w:val="auto"/>
          <w:highlight w:val="none"/>
        </w:rPr>
        <w:t>接口类型：Type B 接口（选件）,IEEE-1284 并口</w:t>
      </w:r>
    </w:p>
    <w:p>
      <w:pPr>
        <w:numPr>
          <w:ilvl w:val="0"/>
          <w:numId w:val="109"/>
        </w:numPr>
        <w:spacing w:after="0" w:line="360" w:lineRule="auto"/>
        <w:ind w:left="1843" w:right="12" w:hanging="420"/>
        <w:rPr>
          <w:color w:val="auto"/>
          <w:highlight w:val="none"/>
        </w:rPr>
      </w:pPr>
      <w:r>
        <w:rPr>
          <w:rFonts w:hint="eastAsia"/>
          <w:color w:val="auto"/>
          <w:highlight w:val="none"/>
        </w:rPr>
        <w:t></w:t>
      </w:r>
      <w:r>
        <w:rPr>
          <w:rFonts w:hint="eastAsia"/>
          <w:color w:val="auto"/>
          <w:highlight w:val="none"/>
        </w:rPr>
        <w:tab/>
      </w:r>
      <w:r>
        <w:rPr>
          <w:rFonts w:hint="eastAsia"/>
          <w:color w:val="auto"/>
          <w:highlight w:val="none"/>
        </w:rPr>
        <w:t>单页纸规格：90-420mm</w:t>
      </w:r>
    </w:p>
    <w:p>
      <w:pPr>
        <w:pStyle w:val="3"/>
        <w:numPr>
          <w:ilvl w:val="1"/>
          <w:numId w:val="3"/>
        </w:numPr>
        <w:spacing w:before="0" w:after="0" w:line="360" w:lineRule="auto"/>
        <w:ind w:left="10" w:right="1593"/>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    </w:t>
      </w:r>
      <w:bookmarkStart w:id="213" w:name="_Toc14834"/>
      <w:r>
        <w:rPr>
          <w:rFonts w:hint="eastAsia" w:ascii="宋体" w:hAnsi="宋体" w:eastAsia="宋体" w:cs="宋体"/>
          <w:color w:val="auto"/>
          <w:sz w:val="24"/>
          <w:highlight w:val="none"/>
        </w:rPr>
        <w:t>线槽</w:t>
      </w:r>
      <w:bookmarkEnd w:id="213"/>
    </w:p>
    <w:p>
      <w:pPr>
        <w:numPr>
          <w:ilvl w:val="0"/>
          <w:numId w:val="110"/>
        </w:numPr>
        <w:spacing w:after="0" w:line="360" w:lineRule="auto"/>
        <w:ind w:left="1843" w:right="12" w:hanging="420"/>
        <w:rPr>
          <w:color w:val="auto"/>
          <w:highlight w:val="none"/>
        </w:rPr>
      </w:pPr>
      <w:r>
        <w:rPr>
          <w:rFonts w:hint="eastAsia"/>
          <w:color w:val="auto"/>
          <w:highlight w:val="none"/>
        </w:rPr>
        <w:t>镀锌金属线槽</w:t>
      </w:r>
    </w:p>
    <w:p>
      <w:pPr>
        <w:numPr>
          <w:ilvl w:val="0"/>
          <w:numId w:val="111"/>
        </w:numPr>
        <w:spacing w:after="0" w:line="360" w:lineRule="auto"/>
        <w:ind w:right="12" w:hanging="720"/>
        <w:rPr>
          <w:color w:val="auto"/>
          <w:highlight w:val="none"/>
        </w:rPr>
      </w:pPr>
      <w:r>
        <w:rPr>
          <w:rFonts w:hint="eastAsia"/>
          <w:color w:val="auto"/>
          <w:highlight w:val="none"/>
        </w:rPr>
        <w:t>规格：300*100*1.2、200*100*1.2、150*100*1.2</w:t>
      </w:r>
    </w:p>
    <w:p>
      <w:pPr>
        <w:numPr>
          <w:ilvl w:val="0"/>
          <w:numId w:val="111"/>
        </w:numPr>
        <w:spacing w:after="0" w:line="360" w:lineRule="auto"/>
        <w:ind w:right="12" w:hanging="720"/>
        <w:rPr>
          <w:color w:val="auto"/>
          <w:highlight w:val="none"/>
        </w:rPr>
      </w:pPr>
      <w:r>
        <w:rPr>
          <w:rFonts w:hint="eastAsia"/>
          <w:color w:val="auto"/>
          <w:highlight w:val="none"/>
        </w:rPr>
        <w:t>室外部分的线槽壁厚不小于 2.0mm，喷防锈漆（其余详见图纸）</w:t>
      </w:r>
    </w:p>
    <w:p>
      <w:pPr>
        <w:numPr>
          <w:ilvl w:val="0"/>
          <w:numId w:val="111"/>
        </w:numPr>
        <w:spacing w:after="0" w:line="360" w:lineRule="auto"/>
        <w:ind w:right="12" w:hanging="720"/>
        <w:rPr>
          <w:color w:val="auto"/>
          <w:highlight w:val="none"/>
        </w:rPr>
      </w:pPr>
      <w:r>
        <w:rPr>
          <w:rFonts w:hint="eastAsia"/>
          <w:color w:val="auto"/>
          <w:highlight w:val="none"/>
        </w:rPr>
        <w:t>材质：热镀锌板</w:t>
      </w:r>
    </w:p>
    <w:p>
      <w:pPr>
        <w:numPr>
          <w:ilvl w:val="0"/>
          <w:numId w:val="110"/>
        </w:numPr>
        <w:spacing w:after="0" w:line="360" w:lineRule="auto"/>
        <w:ind w:left="1843" w:right="12" w:hanging="420"/>
        <w:rPr>
          <w:color w:val="auto"/>
          <w:highlight w:val="none"/>
        </w:rPr>
      </w:pPr>
      <w:r>
        <w:rPr>
          <w:rFonts w:hint="eastAsia"/>
          <w:color w:val="auto"/>
          <w:highlight w:val="none"/>
        </w:rPr>
        <w:t>镀锌金属线槽</w:t>
      </w:r>
    </w:p>
    <w:p>
      <w:pPr>
        <w:numPr>
          <w:ilvl w:val="0"/>
          <w:numId w:val="112"/>
        </w:numPr>
        <w:spacing w:after="0" w:line="360" w:lineRule="auto"/>
        <w:ind w:right="12" w:hanging="720"/>
        <w:rPr>
          <w:color w:val="auto"/>
          <w:highlight w:val="none"/>
        </w:rPr>
      </w:pPr>
      <w:r>
        <w:rPr>
          <w:rFonts w:hint="eastAsia"/>
          <w:color w:val="auto"/>
          <w:highlight w:val="none"/>
        </w:rPr>
        <w:t>规格：100*100*1.2、100*50*1.0、50*50*1.0</w:t>
      </w:r>
    </w:p>
    <w:p>
      <w:pPr>
        <w:numPr>
          <w:ilvl w:val="0"/>
          <w:numId w:val="111"/>
        </w:numPr>
        <w:spacing w:after="0" w:line="360" w:lineRule="auto"/>
        <w:ind w:right="12" w:hanging="720"/>
        <w:rPr>
          <w:color w:val="auto"/>
          <w:highlight w:val="none"/>
        </w:rPr>
      </w:pPr>
      <w:r>
        <w:rPr>
          <w:rFonts w:hint="eastAsia"/>
          <w:color w:val="auto"/>
          <w:highlight w:val="none"/>
        </w:rPr>
        <w:t>室外部分的线槽壁厚不小于1.5mm，喷防锈漆（其余详见图纸）</w:t>
      </w:r>
    </w:p>
    <w:p>
      <w:pPr>
        <w:numPr>
          <w:ilvl w:val="0"/>
          <w:numId w:val="112"/>
        </w:numPr>
        <w:spacing w:after="0" w:line="360" w:lineRule="auto"/>
        <w:ind w:right="12" w:hanging="720"/>
        <w:rPr>
          <w:color w:val="auto"/>
          <w:highlight w:val="none"/>
        </w:rPr>
      </w:pPr>
      <w:r>
        <w:rPr>
          <w:rFonts w:hint="eastAsia"/>
          <w:color w:val="auto"/>
          <w:highlight w:val="none"/>
        </w:rPr>
        <w:t>材质：热镀锌板</w:t>
      </w:r>
    </w:p>
    <w:p>
      <w:pPr>
        <w:pStyle w:val="3"/>
        <w:numPr>
          <w:ilvl w:val="1"/>
          <w:numId w:val="3"/>
        </w:numPr>
        <w:spacing w:before="0" w:after="0" w:line="360" w:lineRule="auto"/>
        <w:ind w:left="10" w:right="1593"/>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    </w:t>
      </w:r>
      <w:bookmarkStart w:id="214" w:name="_Toc1347"/>
      <w:r>
        <w:rPr>
          <w:rFonts w:hint="eastAsia" w:ascii="宋体" w:hAnsi="宋体" w:eastAsia="宋体" w:cs="宋体"/>
          <w:color w:val="auto"/>
          <w:sz w:val="24"/>
          <w:szCs w:val="24"/>
          <w:highlight w:val="none"/>
        </w:rPr>
        <w:t>线管</w:t>
      </w:r>
      <w:bookmarkEnd w:id="214"/>
    </w:p>
    <w:p>
      <w:pPr>
        <w:numPr>
          <w:ilvl w:val="0"/>
          <w:numId w:val="113"/>
        </w:numPr>
        <w:spacing w:after="0" w:line="360" w:lineRule="auto"/>
        <w:ind w:left="1843" w:right="12" w:hanging="420"/>
        <w:rPr>
          <w:color w:val="auto"/>
          <w:highlight w:val="none"/>
        </w:rPr>
      </w:pPr>
      <w:r>
        <w:rPr>
          <w:rFonts w:hint="eastAsia"/>
          <w:color w:val="auto"/>
          <w:highlight w:val="none"/>
        </w:rPr>
        <w:tab/>
      </w:r>
      <w:r>
        <w:rPr>
          <w:rFonts w:hint="eastAsia"/>
          <w:color w:val="auto"/>
          <w:highlight w:val="none"/>
        </w:rPr>
        <w:t>镀锌金属线管</w:t>
      </w:r>
    </w:p>
    <w:p>
      <w:pPr>
        <w:numPr>
          <w:ilvl w:val="0"/>
          <w:numId w:val="114"/>
        </w:numPr>
        <w:spacing w:after="0" w:line="360" w:lineRule="auto"/>
        <w:ind w:right="12" w:hanging="720"/>
        <w:rPr>
          <w:color w:val="auto"/>
          <w:highlight w:val="none"/>
        </w:rPr>
      </w:pPr>
      <w:r>
        <w:rPr>
          <w:rFonts w:hint="eastAsia"/>
          <w:color w:val="auto"/>
          <w:highlight w:val="none"/>
        </w:rPr>
        <w:t>规格:φ32×1.6×4000</w:t>
      </w:r>
    </w:p>
    <w:p>
      <w:pPr>
        <w:numPr>
          <w:ilvl w:val="0"/>
          <w:numId w:val="114"/>
        </w:numPr>
        <w:spacing w:after="0" w:line="360" w:lineRule="auto"/>
        <w:ind w:right="12" w:hanging="720"/>
        <w:rPr>
          <w:color w:val="auto"/>
          <w:highlight w:val="none"/>
        </w:rPr>
      </w:pPr>
      <w:r>
        <w:rPr>
          <w:rFonts w:hint="eastAsia"/>
          <w:color w:val="auto"/>
          <w:highlight w:val="none"/>
        </w:rPr>
        <w:t>工艺：热镀锌</w:t>
      </w:r>
    </w:p>
    <w:p>
      <w:pPr>
        <w:numPr>
          <w:ilvl w:val="0"/>
          <w:numId w:val="113"/>
        </w:numPr>
        <w:spacing w:after="0" w:line="360" w:lineRule="auto"/>
        <w:ind w:left="1843" w:right="12" w:hanging="420"/>
        <w:rPr>
          <w:color w:val="auto"/>
          <w:highlight w:val="none"/>
        </w:rPr>
      </w:pPr>
      <w:r>
        <w:rPr>
          <w:rFonts w:hint="eastAsia"/>
          <w:color w:val="auto"/>
          <w:highlight w:val="none"/>
        </w:rPr>
        <w:t>镀锌金属线管</w:t>
      </w:r>
    </w:p>
    <w:p>
      <w:pPr>
        <w:numPr>
          <w:ilvl w:val="0"/>
          <w:numId w:val="115"/>
        </w:numPr>
        <w:spacing w:after="0" w:line="360" w:lineRule="auto"/>
        <w:ind w:right="12" w:hanging="720"/>
        <w:rPr>
          <w:color w:val="auto"/>
          <w:highlight w:val="none"/>
        </w:rPr>
      </w:pPr>
      <w:r>
        <w:rPr>
          <w:rFonts w:hint="eastAsia"/>
          <w:color w:val="auto"/>
          <w:highlight w:val="none"/>
        </w:rPr>
        <w:t>规格:φ25×1.6×4000</w:t>
      </w:r>
    </w:p>
    <w:p>
      <w:pPr>
        <w:numPr>
          <w:ilvl w:val="0"/>
          <w:numId w:val="115"/>
        </w:numPr>
        <w:spacing w:after="0" w:line="360" w:lineRule="auto"/>
        <w:ind w:right="12" w:hanging="720"/>
        <w:rPr>
          <w:color w:val="auto"/>
          <w:highlight w:val="none"/>
        </w:rPr>
      </w:pPr>
      <w:r>
        <w:rPr>
          <w:rFonts w:hint="eastAsia"/>
          <w:color w:val="auto"/>
          <w:highlight w:val="none"/>
        </w:rPr>
        <w:t>工艺：热镀锌</w:t>
      </w:r>
    </w:p>
    <w:p>
      <w:pPr>
        <w:numPr>
          <w:ilvl w:val="0"/>
          <w:numId w:val="113"/>
        </w:numPr>
        <w:spacing w:after="0" w:line="360" w:lineRule="auto"/>
        <w:ind w:left="1843" w:right="12" w:hanging="420"/>
        <w:rPr>
          <w:color w:val="auto"/>
          <w:highlight w:val="none"/>
        </w:rPr>
      </w:pPr>
      <w:r>
        <w:rPr>
          <w:rFonts w:hint="eastAsia"/>
          <w:color w:val="auto"/>
          <w:highlight w:val="none"/>
        </w:rPr>
        <w:t>镀锌金属线管</w:t>
      </w:r>
    </w:p>
    <w:p>
      <w:pPr>
        <w:numPr>
          <w:ilvl w:val="0"/>
          <w:numId w:val="116"/>
        </w:numPr>
        <w:spacing w:after="0" w:line="360" w:lineRule="auto"/>
        <w:ind w:right="12" w:hanging="720"/>
        <w:rPr>
          <w:color w:val="auto"/>
          <w:highlight w:val="none"/>
        </w:rPr>
      </w:pPr>
      <w:r>
        <w:rPr>
          <w:rFonts w:hint="eastAsia"/>
          <w:color w:val="auto"/>
          <w:highlight w:val="none"/>
        </w:rPr>
        <w:t>规格:φ20×1.6×4000</w:t>
      </w:r>
    </w:p>
    <w:p>
      <w:pPr>
        <w:numPr>
          <w:ilvl w:val="0"/>
          <w:numId w:val="116"/>
        </w:numPr>
        <w:spacing w:after="0" w:line="360" w:lineRule="auto"/>
        <w:ind w:right="12" w:hanging="720"/>
        <w:rPr>
          <w:color w:val="auto"/>
          <w:highlight w:val="none"/>
        </w:rPr>
      </w:pPr>
      <w:r>
        <w:rPr>
          <w:rFonts w:hint="eastAsia"/>
          <w:color w:val="auto"/>
          <w:highlight w:val="none"/>
        </w:rPr>
        <w:t>工艺：热镀锌</w:t>
      </w:r>
    </w:p>
    <w:p>
      <w:pPr>
        <w:pStyle w:val="3"/>
        <w:numPr>
          <w:ilvl w:val="1"/>
          <w:numId w:val="3"/>
        </w:numPr>
        <w:spacing w:before="0" w:after="0" w:line="360" w:lineRule="auto"/>
        <w:ind w:left="10" w:right="1593"/>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    </w:t>
      </w:r>
      <w:bookmarkStart w:id="215" w:name="_Toc6573"/>
      <w:r>
        <w:rPr>
          <w:rFonts w:hint="eastAsia" w:ascii="宋体" w:hAnsi="宋体" w:eastAsia="宋体" w:cs="宋体"/>
          <w:color w:val="auto"/>
          <w:sz w:val="24"/>
          <w:szCs w:val="24"/>
          <w:highlight w:val="none"/>
        </w:rPr>
        <w:t>弱电线缆</w:t>
      </w:r>
      <w:bookmarkEnd w:id="215"/>
    </w:p>
    <w:p>
      <w:pPr>
        <w:numPr>
          <w:ilvl w:val="0"/>
          <w:numId w:val="117"/>
        </w:numPr>
        <w:spacing w:after="0" w:line="360" w:lineRule="auto"/>
        <w:ind w:left="1843" w:right="12" w:hanging="420"/>
        <w:rPr>
          <w:color w:val="auto"/>
          <w:highlight w:val="none"/>
        </w:rPr>
      </w:pPr>
      <w:r>
        <w:rPr>
          <w:rFonts w:hint="eastAsia"/>
          <w:color w:val="auto"/>
          <w:highlight w:val="none"/>
        </w:rPr>
        <w:t>普通弱电线缆</w:t>
      </w:r>
    </w:p>
    <w:p>
      <w:pPr>
        <w:numPr>
          <w:ilvl w:val="0"/>
          <w:numId w:val="118"/>
        </w:numPr>
        <w:spacing w:after="0" w:line="360" w:lineRule="auto"/>
        <w:ind w:right="12" w:hanging="720"/>
        <w:rPr>
          <w:color w:val="auto"/>
          <w:highlight w:val="none"/>
        </w:rPr>
      </w:pPr>
      <w:r>
        <w:rPr>
          <w:rFonts w:hint="eastAsia"/>
          <w:color w:val="auto"/>
          <w:highlight w:val="none"/>
        </w:rPr>
        <w:t>规格：RVV（X*XX），以图纸为准。</w:t>
      </w:r>
    </w:p>
    <w:p>
      <w:pPr>
        <w:numPr>
          <w:ilvl w:val="0"/>
          <w:numId w:val="118"/>
        </w:numPr>
        <w:spacing w:after="0" w:line="360" w:lineRule="auto"/>
        <w:ind w:right="12" w:hanging="720"/>
        <w:rPr>
          <w:color w:val="auto"/>
          <w:highlight w:val="none"/>
        </w:rPr>
      </w:pPr>
      <w:r>
        <w:rPr>
          <w:rFonts w:hint="eastAsia"/>
          <w:color w:val="auto"/>
          <w:highlight w:val="none"/>
        </w:rPr>
        <w:t>额定电压：300V/500V</w:t>
      </w:r>
    </w:p>
    <w:p>
      <w:pPr>
        <w:numPr>
          <w:ilvl w:val="0"/>
          <w:numId w:val="118"/>
        </w:numPr>
        <w:spacing w:after="0" w:line="360" w:lineRule="auto"/>
        <w:ind w:right="12" w:hanging="720"/>
        <w:rPr>
          <w:color w:val="auto"/>
          <w:highlight w:val="none"/>
        </w:rPr>
      </w:pPr>
      <w:r>
        <w:rPr>
          <w:rFonts w:hint="eastAsia"/>
          <w:color w:val="auto"/>
          <w:highlight w:val="none"/>
        </w:rPr>
        <w:t>导体：多股铜导体</w:t>
      </w:r>
    </w:p>
    <w:p>
      <w:pPr>
        <w:numPr>
          <w:ilvl w:val="0"/>
          <w:numId w:val="118"/>
        </w:numPr>
        <w:spacing w:after="0" w:line="360" w:lineRule="auto"/>
        <w:ind w:right="12" w:hanging="720"/>
        <w:rPr>
          <w:color w:val="auto"/>
          <w:highlight w:val="none"/>
        </w:rPr>
      </w:pPr>
      <w:r>
        <w:rPr>
          <w:rFonts w:hint="eastAsia"/>
          <w:color w:val="auto"/>
          <w:highlight w:val="none"/>
        </w:rPr>
        <w:t>绝缘电阻：&gt;200M 欧姆×KM</w:t>
      </w:r>
    </w:p>
    <w:p>
      <w:pPr>
        <w:numPr>
          <w:ilvl w:val="0"/>
          <w:numId w:val="118"/>
        </w:numPr>
        <w:spacing w:after="0" w:line="360" w:lineRule="auto"/>
        <w:ind w:right="12" w:hanging="720"/>
        <w:rPr>
          <w:color w:val="auto"/>
          <w:highlight w:val="none"/>
        </w:rPr>
      </w:pPr>
      <w:r>
        <w:rPr>
          <w:rFonts w:hint="eastAsia"/>
          <w:color w:val="auto"/>
          <w:highlight w:val="none"/>
        </w:rPr>
        <w:t>阻燃级别：</w:t>
      </w:r>
      <w:r>
        <w:rPr>
          <w:rFonts w:hint="eastAsia"/>
          <w:color w:val="auto"/>
          <w:kern w:val="0"/>
          <w:szCs w:val="20"/>
          <w:highlight w:val="none"/>
        </w:rPr>
        <w:t>符合</w:t>
      </w:r>
      <w:r>
        <w:rPr>
          <w:rFonts w:hint="eastAsia"/>
          <w:color w:val="auto"/>
          <w:highlight w:val="none"/>
        </w:rPr>
        <w:t>燃烧性能为B1级</w:t>
      </w:r>
    </w:p>
    <w:p>
      <w:pPr>
        <w:numPr>
          <w:ilvl w:val="0"/>
          <w:numId w:val="117"/>
        </w:numPr>
        <w:spacing w:after="0" w:line="360" w:lineRule="auto"/>
        <w:ind w:left="1843" w:right="12" w:hanging="420"/>
        <w:rPr>
          <w:color w:val="auto"/>
          <w:highlight w:val="none"/>
        </w:rPr>
      </w:pPr>
      <w:r>
        <w:rPr>
          <w:rFonts w:hint="eastAsia"/>
          <w:color w:val="auto"/>
          <w:highlight w:val="none"/>
        </w:rPr>
        <w:tab/>
      </w:r>
      <w:r>
        <w:rPr>
          <w:rFonts w:hint="eastAsia"/>
          <w:color w:val="auto"/>
          <w:highlight w:val="none"/>
        </w:rPr>
        <w:t>带屏蔽弱电线缆</w:t>
      </w:r>
    </w:p>
    <w:p>
      <w:pPr>
        <w:numPr>
          <w:ilvl w:val="0"/>
          <w:numId w:val="119"/>
        </w:numPr>
        <w:spacing w:after="0" w:line="360" w:lineRule="auto"/>
        <w:ind w:right="12" w:hanging="720"/>
        <w:rPr>
          <w:color w:val="auto"/>
          <w:highlight w:val="none"/>
        </w:rPr>
      </w:pPr>
      <w:r>
        <w:rPr>
          <w:rFonts w:hint="eastAsia"/>
          <w:color w:val="auto"/>
          <w:highlight w:val="none"/>
        </w:rPr>
        <w:t>规格：RVVP（X*XX），以图纸为准。</w:t>
      </w:r>
    </w:p>
    <w:p>
      <w:pPr>
        <w:numPr>
          <w:ilvl w:val="0"/>
          <w:numId w:val="119"/>
        </w:numPr>
        <w:spacing w:after="0" w:line="360" w:lineRule="auto"/>
        <w:ind w:right="12" w:hanging="720"/>
        <w:rPr>
          <w:color w:val="auto"/>
          <w:highlight w:val="none"/>
        </w:rPr>
      </w:pPr>
      <w:r>
        <w:rPr>
          <w:rFonts w:hint="eastAsia"/>
          <w:color w:val="auto"/>
          <w:highlight w:val="none"/>
        </w:rPr>
        <w:t>额定电压：300V/500V</w:t>
      </w:r>
    </w:p>
    <w:p>
      <w:pPr>
        <w:numPr>
          <w:ilvl w:val="0"/>
          <w:numId w:val="119"/>
        </w:numPr>
        <w:spacing w:after="0" w:line="360" w:lineRule="auto"/>
        <w:ind w:right="12" w:hanging="720"/>
        <w:rPr>
          <w:color w:val="auto"/>
          <w:highlight w:val="none"/>
        </w:rPr>
      </w:pPr>
      <w:r>
        <w:rPr>
          <w:rFonts w:hint="eastAsia"/>
          <w:color w:val="auto"/>
          <w:highlight w:val="none"/>
        </w:rPr>
        <w:t>导体：多股铜导体</w:t>
      </w:r>
    </w:p>
    <w:p>
      <w:pPr>
        <w:numPr>
          <w:ilvl w:val="0"/>
          <w:numId w:val="119"/>
        </w:numPr>
        <w:spacing w:after="0" w:line="360" w:lineRule="auto"/>
        <w:ind w:right="12" w:hanging="720"/>
        <w:rPr>
          <w:color w:val="auto"/>
          <w:highlight w:val="none"/>
        </w:rPr>
      </w:pPr>
      <w:r>
        <w:rPr>
          <w:rFonts w:hint="eastAsia"/>
          <w:color w:val="auto"/>
          <w:highlight w:val="none"/>
        </w:rPr>
        <w:t>屏蔽：镀锡铜丝编织屏蔽，编织密度大于 85%</w:t>
      </w:r>
    </w:p>
    <w:p>
      <w:pPr>
        <w:numPr>
          <w:ilvl w:val="0"/>
          <w:numId w:val="119"/>
        </w:numPr>
        <w:spacing w:after="0" w:line="360" w:lineRule="auto"/>
        <w:ind w:right="12" w:hanging="720"/>
        <w:rPr>
          <w:color w:val="auto"/>
          <w:highlight w:val="none"/>
        </w:rPr>
      </w:pPr>
      <w:r>
        <w:rPr>
          <w:rFonts w:hint="eastAsia"/>
          <w:color w:val="auto"/>
          <w:highlight w:val="none"/>
        </w:rPr>
        <w:t>绝缘电阻：&gt;20M 欧姆×KM</w:t>
      </w:r>
    </w:p>
    <w:p>
      <w:pPr>
        <w:numPr>
          <w:ilvl w:val="0"/>
          <w:numId w:val="119"/>
        </w:numPr>
        <w:spacing w:after="0" w:line="360" w:lineRule="auto"/>
        <w:ind w:right="12" w:hanging="720"/>
        <w:rPr>
          <w:color w:val="auto"/>
          <w:highlight w:val="none"/>
        </w:rPr>
      </w:pPr>
      <w:r>
        <w:rPr>
          <w:rFonts w:hint="eastAsia"/>
          <w:color w:val="auto"/>
          <w:highlight w:val="none"/>
        </w:rPr>
        <w:t>阻燃级别：</w:t>
      </w:r>
      <w:r>
        <w:rPr>
          <w:rFonts w:hint="eastAsia"/>
          <w:color w:val="auto"/>
          <w:kern w:val="0"/>
          <w:szCs w:val="20"/>
          <w:highlight w:val="none"/>
        </w:rPr>
        <w:t>符合</w:t>
      </w:r>
      <w:r>
        <w:rPr>
          <w:rFonts w:hint="eastAsia"/>
          <w:color w:val="auto"/>
          <w:highlight w:val="none"/>
        </w:rPr>
        <w:t>燃烧性能为B1级</w:t>
      </w:r>
    </w:p>
    <w:p>
      <w:pPr>
        <w:rPr>
          <w:b/>
          <w:color w:val="auto"/>
          <w:sz w:val="30"/>
          <w:szCs w:val="30"/>
          <w:highlight w:val="none"/>
        </w:rPr>
      </w:pPr>
      <w:r>
        <w:rPr>
          <w:rFonts w:hint="eastAsia"/>
          <w:b/>
          <w:color w:val="auto"/>
          <w:sz w:val="30"/>
          <w:szCs w:val="30"/>
          <w:highlight w:val="none"/>
        </w:rPr>
        <w:br w:type="page"/>
      </w:r>
    </w:p>
    <w:p>
      <w:pPr>
        <w:pStyle w:val="2"/>
        <w:tabs>
          <w:tab w:val="center" w:pos="2141"/>
        </w:tabs>
        <w:spacing w:after="0" w:line="360" w:lineRule="auto"/>
        <w:ind w:left="0" w:right="0" w:firstLine="0"/>
        <w:rPr>
          <w:b/>
          <w:color w:val="auto"/>
          <w:sz w:val="30"/>
          <w:szCs w:val="30"/>
          <w:highlight w:val="none"/>
        </w:rPr>
      </w:pPr>
      <w:bookmarkStart w:id="216" w:name="_Toc19082"/>
      <w:bookmarkStart w:id="217" w:name="_Toc11873"/>
      <w:bookmarkStart w:id="218" w:name="_Toc13593"/>
      <w:bookmarkStart w:id="219" w:name="_Toc21057"/>
      <w:bookmarkStart w:id="220" w:name="_Toc21802"/>
      <w:bookmarkStart w:id="221" w:name="_Toc5144"/>
      <w:bookmarkStart w:id="222" w:name="_Toc16942"/>
      <w:bookmarkStart w:id="223" w:name="_Toc15385"/>
      <w:bookmarkStart w:id="224" w:name="_Toc24552"/>
      <w:bookmarkStart w:id="225" w:name="_Toc22773"/>
      <w:bookmarkStart w:id="226" w:name="_Toc29451"/>
      <w:bookmarkStart w:id="227" w:name="_Toc30881"/>
      <w:bookmarkStart w:id="228" w:name="_Toc3251"/>
      <w:r>
        <w:rPr>
          <w:rFonts w:hint="eastAsia"/>
          <w:b/>
          <w:color w:val="auto"/>
          <w:sz w:val="30"/>
          <w:szCs w:val="30"/>
          <w:highlight w:val="none"/>
        </w:rPr>
        <w:t>附件1：智慧后勤对新建大楼建设需求</w:t>
      </w:r>
      <w:bookmarkEnd w:id="201"/>
      <w:bookmarkEnd w:id="202"/>
      <w:bookmarkEnd w:id="203"/>
      <w:bookmarkEnd w:id="204"/>
      <w:bookmarkEnd w:id="205"/>
      <w:bookmarkEnd w:id="206"/>
      <w:bookmarkEnd w:id="207"/>
      <w:bookmarkEnd w:id="208"/>
      <w:bookmarkEnd w:id="209"/>
      <w:bookmarkEnd w:id="216"/>
      <w:bookmarkEnd w:id="217"/>
      <w:bookmarkEnd w:id="218"/>
      <w:bookmarkEnd w:id="219"/>
      <w:bookmarkEnd w:id="220"/>
      <w:bookmarkEnd w:id="221"/>
      <w:bookmarkEnd w:id="222"/>
      <w:bookmarkEnd w:id="223"/>
      <w:bookmarkEnd w:id="224"/>
      <w:bookmarkEnd w:id="225"/>
      <w:bookmarkEnd w:id="226"/>
      <w:bookmarkEnd w:id="227"/>
      <w:bookmarkEnd w:id="228"/>
    </w:p>
    <w:p>
      <w:pPr>
        <w:pStyle w:val="3"/>
        <w:spacing w:before="0" w:after="0" w:line="360" w:lineRule="auto"/>
        <w:ind w:left="0" w:firstLine="0"/>
        <w:rPr>
          <w:rFonts w:ascii="宋体" w:hAnsi="宋体" w:eastAsia="宋体" w:cs="宋体"/>
          <w:color w:val="auto"/>
          <w:sz w:val="24"/>
          <w:szCs w:val="24"/>
          <w:highlight w:val="none"/>
        </w:rPr>
      </w:pPr>
      <w:bookmarkStart w:id="229" w:name="_Toc20408806"/>
      <w:r>
        <w:rPr>
          <w:rFonts w:hint="eastAsia" w:ascii="宋体" w:hAnsi="宋体" w:eastAsia="宋体" w:cs="宋体"/>
          <w:color w:val="auto"/>
          <w:sz w:val="24"/>
          <w:szCs w:val="24"/>
          <w:highlight w:val="none"/>
        </w:rPr>
        <w:t>1.1智能化系统对接</w:t>
      </w:r>
      <w:bookmarkEnd w:id="229"/>
      <w:r>
        <w:rPr>
          <w:rFonts w:hint="eastAsia" w:ascii="宋体" w:hAnsi="宋体" w:eastAsia="宋体" w:cs="宋体"/>
          <w:color w:val="auto"/>
          <w:sz w:val="24"/>
          <w:szCs w:val="24"/>
          <w:highlight w:val="none"/>
        </w:rPr>
        <w:t>需求</w:t>
      </w:r>
    </w:p>
    <w:p>
      <w:pPr>
        <w:spacing w:after="0" w:line="360" w:lineRule="auto"/>
        <w:ind w:left="-142" w:leftChars="-59" w:right="39" w:firstLine="480" w:firstLineChars="200"/>
        <w:rPr>
          <w:rFonts w:cs="Arial Unicode MS"/>
          <w:color w:val="auto"/>
          <w:kern w:val="0"/>
          <w:highlight w:val="none"/>
          <w:lang w:val="zh-CN"/>
        </w:rPr>
      </w:pPr>
      <w:r>
        <w:rPr>
          <w:rFonts w:hint="eastAsia" w:cs="Arial Unicode MS"/>
          <w:color w:val="auto"/>
          <w:kern w:val="0"/>
          <w:highlight w:val="none"/>
          <w:lang w:val="zh-CN"/>
        </w:rPr>
        <w:t>为避免信息孤岛，保证院内各系统数据的互联互通，要求底层弱电智能化系统</w:t>
      </w:r>
      <w:r>
        <w:rPr>
          <w:rFonts w:hint="eastAsia" w:cs="Arial Unicode MS"/>
          <w:color w:val="auto"/>
          <w:kern w:val="0"/>
          <w:highlight w:val="none"/>
        </w:rPr>
        <w:t>对智慧后勤平台</w:t>
      </w:r>
      <w:r>
        <w:rPr>
          <w:rFonts w:hint="eastAsia" w:cs="Arial Unicode MS"/>
          <w:color w:val="auto"/>
          <w:kern w:val="0"/>
          <w:highlight w:val="none"/>
          <w:lang w:val="zh-CN"/>
        </w:rPr>
        <w:t>进行接口</w:t>
      </w:r>
      <w:r>
        <w:rPr>
          <w:rFonts w:hint="eastAsia" w:cs="Arial Unicode MS"/>
          <w:color w:val="auto"/>
          <w:kern w:val="0"/>
          <w:highlight w:val="none"/>
        </w:rPr>
        <w:t>开放</w:t>
      </w:r>
      <w:r>
        <w:rPr>
          <w:rFonts w:hint="eastAsia" w:cs="Arial Unicode MS"/>
          <w:color w:val="auto"/>
          <w:kern w:val="0"/>
          <w:highlight w:val="none"/>
          <w:lang w:val="zh-CN"/>
        </w:rPr>
        <w:t>，</w:t>
      </w:r>
      <w:r>
        <w:rPr>
          <w:rFonts w:hint="eastAsia"/>
          <w:color w:val="auto"/>
          <w:szCs w:val="24"/>
          <w:highlight w:val="none"/>
        </w:rPr>
        <w:t>并免费对接支持，</w:t>
      </w:r>
      <w:r>
        <w:rPr>
          <w:rFonts w:hint="eastAsia" w:cs="Arial Unicode MS"/>
          <w:color w:val="auto"/>
          <w:kern w:val="0"/>
          <w:highlight w:val="none"/>
          <w:lang w:val="zh-CN"/>
        </w:rPr>
        <w:t>实现系统或数据的对接。</w:t>
      </w:r>
    </w:p>
    <w:p>
      <w:pPr>
        <w:spacing w:after="0" w:line="360" w:lineRule="auto"/>
        <w:ind w:left="-142" w:leftChars="-59" w:right="39" w:firstLine="480" w:firstLineChars="200"/>
        <w:rPr>
          <w:rFonts w:cs="Arial Unicode MS"/>
          <w:color w:val="auto"/>
          <w:kern w:val="0"/>
          <w:highlight w:val="none"/>
          <w:lang w:val="zh-CN"/>
        </w:rPr>
      </w:pPr>
      <w:r>
        <w:rPr>
          <w:rFonts w:hint="eastAsia" w:cs="Arial Unicode MS"/>
          <w:color w:val="auto"/>
          <w:kern w:val="0"/>
          <w:highlight w:val="none"/>
          <w:lang w:val="zh-CN"/>
        </w:rPr>
        <w:t>系统对接要求：</w:t>
      </w:r>
    </w:p>
    <w:tbl>
      <w:tblPr>
        <w:tblStyle w:val="18"/>
        <w:tblW w:w="4984" w:type="pct"/>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13"/>
        <w:gridCol w:w="3028"/>
        <w:gridCol w:w="58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trPr>
        <w:tc>
          <w:tcPr>
            <w:tcW w:w="467" w:type="pct"/>
            <w:shd w:val="clear" w:color="000000" w:fill="D9E2F3"/>
            <w:vAlign w:val="center"/>
          </w:tcPr>
          <w:p>
            <w:pPr>
              <w:spacing w:after="0" w:line="360" w:lineRule="auto"/>
              <w:ind w:right="-110"/>
              <w:jc w:val="center"/>
              <w:rPr>
                <w:b/>
                <w:bCs/>
                <w:color w:val="auto"/>
                <w:kern w:val="0"/>
                <w:szCs w:val="21"/>
                <w:highlight w:val="none"/>
              </w:rPr>
            </w:pPr>
            <w:r>
              <w:rPr>
                <w:rFonts w:hint="eastAsia"/>
                <w:b/>
                <w:bCs/>
                <w:color w:val="auto"/>
                <w:kern w:val="0"/>
                <w:szCs w:val="21"/>
                <w:highlight w:val="none"/>
              </w:rPr>
              <w:t>序号</w:t>
            </w:r>
          </w:p>
        </w:tc>
        <w:tc>
          <w:tcPr>
            <w:tcW w:w="1547" w:type="pct"/>
            <w:shd w:val="clear" w:color="000000" w:fill="D9E2F3"/>
            <w:vAlign w:val="center"/>
          </w:tcPr>
          <w:p>
            <w:pPr>
              <w:spacing w:after="0" w:line="360" w:lineRule="auto"/>
              <w:ind w:right="-108" w:rightChars="-45"/>
              <w:jc w:val="center"/>
              <w:rPr>
                <w:b/>
                <w:bCs/>
                <w:color w:val="auto"/>
                <w:kern w:val="0"/>
                <w:szCs w:val="21"/>
                <w:highlight w:val="none"/>
              </w:rPr>
            </w:pPr>
            <w:r>
              <w:rPr>
                <w:rFonts w:hint="eastAsia"/>
                <w:b/>
                <w:bCs/>
                <w:color w:val="auto"/>
                <w:kern w:val="0"/>
                <w:szCs w:val="21"/>
                <w:highlight w:val="none"/>
              </w:rPr>
              <w:t>对接系统</w:t>
            </w:r>
          </w:p>
        </w:tc>
        <w:tc>
          <w:tcPr>
            <w:tcW w:w="2987" w:type="pct"/>
            <w:shd w:val="clear" w:color="000000" w:fill="D9E2F3"/>
            <w:vAlign w:val="center"/>
          </w:tcPr>
          <w:p>
            <w:pPr>
              <w:spacing w:after="0" w:line="360" w:lineRule="auto"/>
              <w:ind w:right="-75"/>
              <w:jc w:val="center"/>
              <w:rPr>
                <w:b/>
                <w:bCs/>
                <w:color w:val="auto"/>
                <w:kern w:val="0"/>
                <w:szCs w:val="21"/>
                <w:highlight w:val="none"/>
              </w:rPr>
            </w:pPr>
            <w:r>
              <w:rPr>
                <w:rFonts w:hint="eastAsia"/>
                <w:b/>
                <w:bCs/>
                <w:color w:val="auto"/>
                <w:kern w:val="0"/>
                <w:szCs w:val="21"/>
                <w:highlight w:val="none"/>
              </w:rPr>
              <w:t>对接内容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trPr>
        <w:tc>
          <w:tcPr>
            <w:tcW w:w="467" w:type="pct"/>
            <w:shd w:val="clear" w:color="auto" w:fill="auto"/>
            <w:vAlign w:val="center"/>
          </w:tcPr>
          <w:p>
            <w:pPr>
              <w:spacing w:after="0" w:line="360" w:lineRule="auto"/>
              <w:ind w:right="0"/>
              <w:jc w:val="center"/>
              <w:rPr>
                <w:color w:val="auto"/>
                <w:kern w:val="0"/>
                <w:szCs w:val="21"/>
                <w:highlight w:val="none"/>
              </w:rPr>
            </w:pPr>
            <w:r>
              <w:rPr>
                <w:rFonts w:hint="eastAsia"/>
                <w:color w:val="auto"/>
                <w:kern w:val="0"/>
                <w:szCs w:val="21"/>
                <w:highlight w:val="none"/>
              </w:rPr>
              <w:t>1</w:t>
            </w:r>
          </w:p>
        </w:tc>
        <w:tc>
          <w:tcPr>
            <w:tcW w:w="1547" w:type="pct"/>
            <w:shd w:val="clear" w:color="auto" w:fill="auto"/>
            <w:vAlign w:val="center"/>
          </w:tcPr>
          <w:p>
            <w:pPr>
              <w:spacing w:after="0" w:line="360" w:lineRule="auto"/>
              <w:ind w:right="-108" w:rightChars="-45"/>
              <w:jc w:val="center"/>
              <w:rPr>
                <w:color w:val="auto"/>
                <w:kern w:val="0"/>
                <w:szCs w:val="21"/>
                <w:highlight w:val="none"/>
              </w:rPr>
            </w:pPr>
            <w:r>
              <w:rPr>
                <w:rFonts w:hint="eastAsia"/>
                <w:color w:val="auto"/>
                <w:kern w:val="0"/>
                <w:szCs w:val="21"/>
                <w:highlight w:val="none"/>
              </w:rPr>
              <w:t>楼宇自控系统（BAS）</w:t>
            </w:r>
          </w:p>
        </w:tc>
        <w:tc>
          <w:tcPr>
            <w:tcW w:w="2987" w:type="pct"/>
            <w:shd w:val="clear" w:color="auto" w:fill="auto"/>
            <w:vAlign w:val="center"/>
          </w:tcPr>
          <w:p>
            <w:pPr>
              <w:spacing w:after="0" w:line="360" w:lineRule="auto"/>
              <w:ind w:right="-75"/>
              <w:rPr>
                <w:color w:val="auto"/>
                <w:kern w:val="0"/>
                <w:szCs w:val="21"/>
                <w:highlight w:val="none"/>
              </w:rPr>
            </w:pPr>
            <w:r>
              <w:rPr>
                <w:rFonts w:hint="eastAsia"/>
                <w:color w:val="auto"/>
                <w:kern w:val="0"/>
                <w:szCs w:val="21"/>
                <w:highlight w:val="none"/>
              </w:rPr>
              <w:t>实现空调、新风、送排风、环境等系统的数据对接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0" w:hRule="atLeast"/>
        </w:trPr>
        <w:tc>
          <w:tcPr>
            <w:tcW w:w="467" w:type="pct"/>
            <w:shd w:val="clear" w:color="auto" w:fill="auto"/>
            <w:vAlign w:val="center"/>
          </w:tcPr>
          <w:p>
            <w:pPr>
              <w:spacing w:after="0" w:line="360" w:lineRule="auto"/>
              <w:ind w:right="0"/>
              <w:jc w:val="center"/>
              <w:rPr>
                <w:color w:val="auto"/>
                <w:kern w:val="0"/>
                <w:szCs w:val="21"/>
                <w:highlight w:val="none"/>
              </w:rPr>
            </w:pPr>
            <w:r>
              <w:rPr>
                <w:rFonts w:hint="eastAsia"/>
                <w:color w:val="auto"/>
                <w:kern w:val="0"/>
                <w:szCs w:val="21"/>
                <w:highlight w:val="none"/>
              </w:rPr>
              <w:t>2</w:t>
            </w:r>
          </w:p>
        </w:tc>
        <w:tc>
          <w:tcPr>
            <w:tcW w:w="1547" w:type="pct"/>
            <w:shd w:val="clear" w:color="auto" w:fill="auto"/>
            <w:vAlign w:val="center"/>
          </w:tcPr>
          <w:p>
            <w:pPr>
              <w:spacing w:after="0" w:line="360" w:lineRule="auto"/>
              <w:ind w:right="0"/>
              <w:jc w:val="center"/>
              <w:rPr>
                <w:color w:val="auto"/>
                <w:kern w:val="0"/>
                <w:szCs w:val="21"/>
                <w:highlight w:val="none"/>
              </w:rPr>
            </w:pPr>
            <w:r>
              <w:rPr>
                <w:rFonts w:hint="eastAsia"/>
                <w:color w:val="auto"/>
                <w:kern w:val="0"/>
                <w:szCs w:val="21"/>
                <w:highlight w:val="none"/>
              </w:rPr>
              <w:t>热水系统</w:t>
            </w:r>
          </w:p>
        </w:tc>
        <w:tc>
          <w:tcPr>
            <w:tcW w:w="2987" w:type="pct"/>
            <w:shd w:val="clear" w:color="auto" w:fill="auto"/>
            <w:vAlign w:val="center"/>
          </w:tcPr>
          <w:p>
            <w:pPr>
              <w:spacing w:after="0" w:line="360" w:lineRule="auto"/>
              <w:ind w:right="0"/>
              <w:jc w:val="center"/>
              <w:rPr>
                <w:color w:val="auto"/>
                <w:kern w:val="0"/>
                <w:szCs w:val="21"/>
                <w:highlight w:val="none"/>
              </w:rPr>
            </w:pPr>
            <w:r>
              <w:rPr>
                <w:rFonts w:hint="eastAsia"/>
                <w:color w:val="auto"/>
                <w:kern w:val="0"/>
                <w:szCs w:val="21"/>
                <w:highlight w:val="none"/>
              </w:rPr>
              <w:t>实现热泵、锅炉、热水管道等设备运行状态、故障、运行参数及相应传感器数据的对接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0" w:hRule="atLeast"/>
        </w:trPr>
        <w:tc>
          <w:tcPr>
            <w:tcW w:w="467" w:type="pct"/>
            <w:shd w:val="clear" w:color="auto" w:fill="auto"/>
            <w:vAlign w:val="center"/>
          </w:tcPr>
          <w:p>
            <w:pPr>
              <w:spacing w:after="0" w:line="360" w:lineRule="auto"/>
              <w:ind w:right="0"/>
              <w:jc w:val="center"/>
              <w:rPr>
                <w:color w:val="auto"/>
                <w:kern w:val="0"/>
                <w:szCs w:val="21"/>
                <w:highlight w:val="none"/>
              </w:rPr>
            </w:pPr>
            <w:r>
              <w:rPr>
                <w:rFonts w:hint="eastAsia"/>
                <w:color w:val="auto"/>
                <w:kern w:val="0"/>
                <w:szCs w:val="21"/>
                <w:highlight w:val="none"/>
              </w:rPr>
              <w:t>3</w:t>
            </w:r>
          </w:p>
        </w:tc>
        <w:tc>
          <w:tcPr>
            <w:tcW w:w="1547" w:type="pct"/>
            <w:shd w:val="clear" w:color="auto" w:fill="auto"/>
            <w:vAlign w:val="center"/>
          </w:tcPr>
          <w:p>
            <w:pPr>
              <w:spacing w:after="0" w:line="360" w:lineRule="auto"/>
              <w:ind w:right="0"/>
              <w:jc w:val="center"/>
              <w:rPr>
                <w:color w:val="auto"/>
                <w:kern w:val="0"/>
                <w:szCs w:val="21"/>
                <w:highlight w:val="none"/>
              </w:rPr>
            </w:pPr>
            <w:r>
              <w:rPr>
                <w:rFonts w:hint="eastAsia"/>
                <w:color w:val="auto"/>
                <w:kern w:val="0"/>
                <w:szCs w:val="21"/>
                <w:highlight w:val="none"/>
              </w:rPr>
              <w:t>冷源系统</w:t>
            </w:r>
          </w:p>
        </w:tc>
        <w:tc>
          <w:tcPr>
            <w:tcW w:w="2987" w:type="pct"/>
            <w:shd w:val="clear" w:color="auto" w:fill="auto"/>
            <w:vAlign w:val="center"/>
          </w:tcPr>
          <w:p>
            <w:pPr>
              <w:spacing w:after="0" w:line="360" w:lineRule="auto"/>
              <w:ind w:right="0"/>
              <w:jc w:val="center"/>
              <w:rPr>
                <w:color w:val="auto"/>
                <w:kern w:val="0"/>
                <w:szCs w:val="21"/>
                <w:highlight w:val="none"/>
              </w:rPr>
            </w:pPr>
            <w:r>
              <w:rPr>
                <w:rFonts w:hint="eastAsia"/>
                <w:color w:val="auto"/>
                <w:kern w:val="0"/>
                <w:szCs w:val="21"/>
                <w:highlight w:val="none"/>
              </w:rPr>
              <w:t>冷源设备运行状态、故障、运行参数及相应传感器数据的对接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0" w:hRule="atLeast"/>
        </w:trPr>
        <w:tc>
          <w:tcPr>
            <w:tcW w:w="467" w:type="pct"/>
            <w:shd w:val="clear" w:color="auto" w:fill="auto"/>
            <w:vAlign w:val="center"/>
          </w:tcPr>
          <w:p>
            <w:pPr>
              <w:spacing w:after="0" w:line="360" w:lineRule="auto"/>
              <w:ind w:right="0"/>
              <w:jc w:val="center"/>
              <w:rPr>
                <w:color w:val="auto"/>
                <w:kern w:val="0"/>
                <w:szCs w:val="21"/>
                <w:highlight w:val="none"/>
              </w:rPr>
            </w:pPr>
            <w:r>
              <w:rPr>
                <w:rFonts w:hint="eastAsia"/>
                <w:color w:val="auto"/>
                <w:kern w:val="0"/>
                <w:szCs w:val="21"/>
                <w:highlight w:val="none"/>
              </w:rPr>
              <w:t>4</w:t>
            </w:r>
          </w:p>
        </w:tc>
        <w:tc>
          <w:tcPr>
            <w:tcW w:w="1547" w:type="pct"/>
            <w:shd w:val="clear" w:color="auto" w:fill="auto"/>
            <w:vAlign w:val="center"/>
          </w:tcPr>
          <w:p>
            <w:pPr>
              <w:spacing w:after="0" w:line="360" w:lineRule="auto"/>
              <w:ind w:right="0"/>
              <w:jc w:val="center"/>
              <w:rPr>
                <w:color w:val="auto"/>
                <w:kern w:val="0"/>
                <w:szCs w:val="21"/>
                <w:highlight w:val="none"/>
              </w:rPr>
            </w:pPr>
            <w:r>
              <w:rPr>
                <w:rFonts w:hint="eastAsia"/>
                <w:color w:val="auto"/>
                <w:kern w:val="0"/>
                <w:szCs w:val="21"/>
                <w:highlight w:val="none"/>
              </w:rPr>
              <w:t>给排水系统</w:t>
            </w:r>
          </w:p>
        </w:tc>
        <w:tc>
          <w:tcPr>
            <w:tcW w:w="2987" w:type="pct"/>
            <w:shd w:val="clear" w:color="auto" w:fill="auto"/>
            <w:vAlign w:val="center"/>
          </w:tcPr>
          <w:p>
            <w:pPr>
              <w:spacing w:after="0" w:line="360" w:lineRule="auto"/>
              <w:ind w:right="0"/>
              <w:jc w:val="center"/>
              <w:rPr>
                <w:color w:val="auto"/>
                <w:kern w:val="0"/>
                <w:szCs w:val="21"/>
                <w:highlight w:val="none"/>
              </w:rPr>
            </w:pPr>
            <w:r>
              <w:rPr>
                <w:rFonts w:hint="eastAsia"/>
                <w:color w:val="auto"/>
                <w:kern w:val="0"/>
                <w:szCs w:val="21"/>
                <w:highlight w:val="none"/>
              </w:rPr>
              <w:t>实现水泵各设备状态参数，水箱、水井等水位等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trPr>
        <w:tc>
          <w:tcPr>
            <w:tcW w:w="467" w:type="pct"/>
            <w:shd w:val="clear" w:color="auto" w:fill="auto"/>
            <w:vAlign w:val="center"/>
          </w:tcPr>
          <w:p>
            <w:pPr>
              <w:spacing w:after="0" w:line="360" w:lineRule="auto"/>
              <w:ind w:right="0"/>
              <w:jc w:val="center"/>
              <w:rPr>
                <w:color w:val="auto"/>
                <w:kern w:val="0"/>
                <w:szCs w:val="21"/>
                <w:highlight w:val="none"/>
              </w:rPr>
            </w:pPr>
            <w:r>
              <w:rPr>
                <w:rFonts w:hint="eastAsia"/>
                <w:color w:val="auto"/>
                <w:kern w:val="0"/>
                <w:szCs w:val="21"/>
                <w:highlight w:val="none"/>
              </w:rPr>
              <w:t>5</w:t>
            </w:r>
          </w:p>
        </w:tc>
        <w:tc>
          <w:tcPr>
            <w:tcW w:w="1547" w:type="pct"/>
            <w:shd w:val="clear" w:color="auto" w:fill="auto"/>
            <w:vAlign w:val="center"/>
          </w:tcPr>
          <w:p>
            <w:pPr>
              <w:spacing w:after="0" w:line="360" w:lineRule="auto"/>
              <w:ind w:right="0"/>
              <w:jc w:val="center"/>
              <w:rPr>
                <w:color w:val="auto"/>
                <w:kern w:val="0"/>
                <w:szCs w:val="21"/>
                <w:highlight w:val="none"/>
              </w:rPr>
            </w:pPr>
            <w:r>
              <w:rPr>
                <w:rFonts w:hint="eastAsia"/>
                <w:color w:val="auto"/>
                <w:kern w:val="0"/>
                <w:szCs w:val="21"/>
                <w:highlight w:val="none"/>
              </w:rPr>
              <w:t>变配电系统</w:t>
            </w:r>
          </w:p>
        </w:tc>
        <w:tc>
          <w:tcPr>
            <w:tcW w:w="2987" w:type="pct"/>
            <w:shd w:val="clear" w:color="auto" w:fill="auto"/>
            <w:vAlign w:val="center"/>
          </w:tcPr>
          <w:p>
            <w:pPr>
              <w:spacing w:after="0" w:line="360" w:lineRule="auto"/>
              <w:ind w:right="0"/>
              <w:jc w:val="center"/>
              <w:rPr>
                <w:color w:val="auto"/>
                <w:kern w:val="0"/>
                <w:szCs w:val="21"/>
                <w:highlight w:val="none"/>
              </w:rPr>
            </w:pPr>
            <w:r>
              <w:rPr>
                <w:rFonts w:hint="eastAsia"/>
                <w:color w:val="auto"/>
                <w:kern w:val="0"/>
                <w:szCs w:val="21"/>
                <w:highlight w:val="none"/>
              </w:rPr>
              <w:t>高低压配电系统的监测、管控数据的对接，满足电力监控需求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trPr>
        <w:tc>
          <w:tcPr>
            <w:tcW w:w="467" w:type="pct"/>
            <w:shd w:val="clear" w:color="auto" w:fill="auto"/>
            <w:vAlign w:val="center"/>
          </w:tcPr>
          <w:p>
            <w:pPr>
              <w:spacing w:after="0" w:line="360" w:lineRule="auto"/>
              <w:ind w:right="0"/>
              <w:jc w:val="center"/>
              <w:rPr>
                <w:color w:val="auto"/>
                <w:kern w:val="0"/>
                <w:szCs w:val="21"/>
                <w:highlight w:val="none"/>
              </w:rPr>
            </w:pPr>
            <w:r>
              <w:rPr>
                <w:rFonts w:hint="eastAsia"/>
                <w:color w:val="auto"/>
                <w:kern w:val="0"/>
                <w:szCs w:val="21"/>
                <w:highlight w:val="none"/>
              </w:rPr>
              <w:t>6</w:t>
            </w:r>
          </w:p>
        </w:tc>
        <w:tc>
          <w:tcPr>
            <w:tcW w:w="1547" w:type="pct"/>
            <w:shd w:val="clear" w:color="auto" w:fill="auto"/>
            <w:vAlign w:val="center"/>
          </w:tcPr>
          <w:p>
            <w:pPr>
              <w:spacing w:after="0" w:line="360" w:lineRule="auto"/>
              <w:ind w:right="0"/>
              <w:jc w:val="center"/>
              <w:rPr>
                <w:color w:val="auto"/>
                <w:kern w:val="0"/>
                <w:szCs w:val="21"/>
                <w:highlight w:val="none"/>
              </w:rPr>
            </w:pPr>
            <w:r>
              <w:rPr>
                <w:rFonts w:hint="eastAsia"/>
                <w:color w:val="auto"/>
                <w:kern w:val="0"/>
                <w:szCs w:val="21"/>
                <w:highlight w:val="none"/>
              </w:rPr>
              <w:t>电梯控制系统</w:t>
            </w:r>
          </w:p>
        </w:tc>
        <w:tc>
          <w:tcPr>
            <w:tcW w:w="2987" w:type="pct"/>
            <w:shd w:val="clear" w:color="auto" w:fill="auto"/>
            <w:vAlign w:val="center"/>
          </w:tcPr>
          <w:p>
            <w:pPr>
              <w:spacing w:after="0" w:line="360" w:lineRule="auto"/>
              <w:ind w:right="0"/>
              <w:jc w:val="center"/>
              <w:rPr>
                <w:color w:val="auto"/>
                <w:kern w:val="0"/>
                <w:szCs w:val="21"/>
                <w:highlight w:val="none"/>
              </w:rPr>
            </w:pPr>
            <w:r>
              <w:rPr>
                <w:rFonts w:hint="eastAsia"/>
                <w:color w:val="auto"/>
                <w:kern w:val="0"/>
                <w:szCs w:val="21"/>
                <w:highlight w:val="none"/>
              </w:rPr>
              <w:t>实现电梯运行状态、故障状态等数据的对接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trPr>
        <w:tc>
          <w:tcPr>
            <w:tcW w:w="467" w:type="pct"/>
            <w:shd w:val="clear" w:color="auto" w:fill="auto"/>
            <w:vAlign w:val="center"/>
          </w:tcPr>
          <w:p>
            <w:pPr>
              <w:spacing w:after="0" w:line="360" w:lineRule="auto"/>
              <w:ind w:right="0"/>
              <w:jc w:val="center"/>
              <w:rPr>
                <w:color w:val="auto"/>
                <w:kern w:val="0"/>
                <w:szCs w:val="21"/>
                <w:highlight w:val="none"/>
              </w:rPr>
            </w:pPr>
            <w:r>
              <w:rPr>
                <w:rFonts w:hint="eastAsia"/>
                <w:color w:val="auto"/>
                <w:kern w:val="0"/>
                <w:szCs w:val="21"/>
                <w:highlight w:val="none"/>
              </w:rPr>
              <w:t>7</w:t>
            </w:r>
          </w:p>
        </w:tc>
        <w:tc>
          <w:tcPr>
            <w:tcW w:w="1547" w:type="pct"/>
            <w:shd w:val="clear" w:color="auto" w:fill="auto"/>
            <w:vAlign w:val="center"/>
          </w:tcPr>
          <w:p>
            <w:pPr>
              <w:spacing w:after="0" w:line="360" w:lineRule="auto"/>
              <w:ind w:right="0"/>
              <w:jc w:val="center"/>
              <w:rPr>
                <w:color w:val="auto"/>
                <w:kern w:val="0"/>
                <w:szCs w:val="21"/>
                <w:highlight w:val="none"/>
              </w:rPr>
            </w:pPr>
            <w:r>
              <w:rPr>
                <w:rFonts w:hint="eastAsia"/>
                <w:color w:val="auto"/>
                <w:kern w:val="0"/>
                <w:szCs w:val="21"/>
                <w:highlight w:val="none"/>
              </w:rPr>
              <w:t>智能照明控制系统</w:t>
            </w:r>
          </w:p>
        </w:tc>
        <w:tc>
          <w:tcPr>
            <w:tcW w:w="2987" w:type="pct"/>
            <w:shd w:val="clear" w:color="auto" w:fill="auto"/>
            <w:vAlign w:val="center"/>
          </w:tcPr>
          <w:p>
            <w:pPr>
              <w:spacing w:after="0" w:line="360" w:lineRule="auto"/>
              <w:ind w:right="0"/>
              <w:jc w:val="center"/>
              <w:rPr>
                <w:color w:val="auto"/>
                <w:kern w:val="0"/>
                <w:szCs w:val="21"/>
                <w:highlight w:val="none"/>
              </w:rPr>
            </w:pPr>
            <w:r>
              <w:rPr>
                <w:rFonts w:hint="eastAsia"/>
                <w:color w:val="auto"/>
                <w:kern w:val="0"/>
                <w:szCs w:val="21"/>
                <w:highlight w:val="none"/>
              </w:rPr>
              <w:t>实现公共区域和科室房间照明灯具的智能管控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trPr>
        <w:tc>
          <w:tcPr>
            <w:tcW w:w="467" w:type="pct"/>
            <w:shd w:val="clear" w:color="auto" w:fill="auto"/>
            <w:vAlign w:val="center"/>
          </w:tcPr>
          <w:p>
            <w:pPr>
              <w:spacing w:after="0" w:line="360" w:lineRule="auto"/>
              <w:ind w:right="0"/>
              <w:jc w:val="center"/>
              <w:rPr>
                <w:color w:val="auto"/>
                <w:kern w:val="0"/>
                <w:szCs w:val="21"/>
                <w:highlight w:val="none"/>
              </w:rPr>
            </w:pPr>
            <w:r>
              <w:rPr>
                <w:rFonts w:hint="eastAsia"/>
                <w:color w:val="auto"/>
                <w:kern w:val="0"/>
                <w:szCs w:val="21"/>
                <w:highlight w:val="none"/>
              </w:rPr>
              <w:t>8</w:t>
            </w:r>
          </w:p>
        </w:tc>
        <w:tc>
          <w:tcPr>
            <w:tcW w:w="1547" w:type="pct"/>
            <w:shd w:val="clear" w:color="auto" w:fill="auto"/>
            <w:vAlign w:val="center"/>
          </w:tcPr>
          <w:p>
            <w:pPr>
              <w:spacing w:after="0" w:line="360" w:lineRule="auto"/>
              <w:ind w:right="0"/>
              <w:jc w:val="center"/>
              <w:rPr>
                <w:color w:val="auto"/>
                <w:kern w:val="0"/>
                <w:szCs w:val="21"/>
                <w:highlight w:val="none"/>
              </w:rPr>
            </w:pPr>
            <w:r>
              <w:rPr>
                <w:rFonts w:hint="eastAsia"/>
                <w:color w:val="auto"/>
                <w:kern w:val="0"/>
                <w:szCs w:val="21"/>
                <w:highlight w:val="none"/>
              </w:rPr>
              <w:t>医用气体系统</w:t>
            </w:r>
          </w:p>
        </w:tc>
        <w:tc>
          <w:tcPr>
            <w:tcW w:w="2987" w:type="pct"/>
            <w:shd w:val="clear" w:color="auto" w:fill="auto"/>
            <w:vAlign w:val="center"/>
          </w:tcPr>
          <w:p>
            <w:pPr>
              <w:spacing w:after="0" w:line="360" w:lineRule="auto"/>
              <w:ind w:right="0"/>
              <w:jc w:val="center"/>
              <w:rPr>
                <w:color w:val="auto"/>
                <w:kern w:val="0"/>
                <w:szCs w:val="21"/>
                <w:highlight w:val="none"/>
              </w:rPr>
            </w:pPr>
            <w:r>
              <w:rPr>
                <w:rFonts w:hint="eastAsia"/>
                <w:color w:val="auto"/>
                <w:kern w:val="0"/>
                <w:szCs w:val="21"/>
                <w:highlight w:val="none"/>
              </w:rPr>
              <w:t>实现供氧系统、负压吸引系统、正压系统等系统数据对接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0" w:hRule="atLeast"/>
        </w:trPr>
        <w:tc>
          <w:tcPr>
            <w:tcW w:w="467" w:type="pct"/>
            <w:shd w:val="clear" w:color="auto" w:fill="auto"/>
            <w:vAlign w:val="center"/>
          </w:tcPr>
          <w:p>
            <w:pPr>
              <w:spacing w:after="0" w:line="360" w:lineRule="auto"/>
              <w:ind w:right="0"/>
              <w:jc w:val="center"/>
              <w:rPr>
                <w:color w:val="auto"/>
                <w:kern w:val="0"/>
                <w:szCs w:val="21"/>
                <w:highlight w:val="none"/>
              </w:rPr>
            </w:pPr>
            <w:r>
              <w:rPr>
                <w:rFonts w:hint="eastAsia"/>
                <w:color w:val="auto"/>
                <w:kern w:val="0"/>
                <w:szCs w:val="21"/>
                <w:highlight w:val="none"/>
              </w:rPr>
              <w:t>9</w:t>
            </w:r>
          </w:p>
        </w:tc>
        <w:tc>
          <w:tcPr>
            <w:tcW w:w="1547" w:type="pct"/>
            <w:shd w:val="clear" w:color="auto" w:fill="auto"/>
            <w:vAlign w:val="center"/>
          </w:tcPr>
          <w:p>
            <w:pPr>
              <w:spacing w:after="0" w:line="360" w:lineRule="auto"/>
              <w:ind w:right="0"/>
              <w:jc w:val="center"/>
              <w:rPr>
                <w:color w:val="auto"/>
                <w:kern w:val="0"/>
                <w:szCs w:val="21"/>
                <w:highlight w:val="none"/>
              </w:rPr>
            </w:pPr>
            <w:r>
              <w:rPr>
                <w:rFonts w:hint="eastAsia"/>
                <w:color w:val="auto"/>
                <w:kern w:val="0"/>
                <w:szCs w:val="21"/>
                <w:highlight w:val="none"/>
              </w:rPr>
              <w:t>电气火灾监控系统</w:t>
            </w:r>
          </w:p>
        </w:tc>
        <w:tc>
          <w:tcPr>
            <w:tcW w:w="2987" w:type="pct"/>
            <w:shd w:val="clear" w:color="auto" w:fill="auto"/>
            <w:vAlign w:val="center"/>
          </w:tcPr>
          <w:p>
            <w:pPr>
              <w:spacing w:after="0" w:line="360" w:lineRule="auto"/>
              <w:ind w:right="0"/>
              <w:jc w:val="center"/>
              <w:rPr>
                <w:color w:val="auto"/>
                <w:kern w:val="0"/>
                <w:szCs w:val="21"/>
                <w:highlight w:val="none"/>
              </w:rPr>
            </w:pPr>
            <w:r>
              <w:rPr>
                <w:rFonts w:hint="eastAsia"/>
                <w:color w:val="auto"/>
                <w:kern w:val="0"/>
                <w:szCs w:val="21"/>
                <w:highlight w:val="none"/>
              </w:rPr>
              <w:t>对引起火灾的电气参数如电流、电压、剩余电流、电缆温度等监测数据对接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trPr>
        <w:tc>
          <w:tcPr>
            <w:tcW w:w="467" w:type="pct"/>
            <w:shd w:val="clear" w:color="auto" w:fill="auto"/>
            <w:vAlign w:val="center"/>
          </w:tcPr>
          <w:p>
            <w:pPr>
              <w:spacing w:after="0" w:line="360" w:lineRule="auto"/>
              <w:ind w:right="0"/>
              <w:jc w:val="center"/>
              <w:rPr>
                <w:color w:val="auto"/>
                <w:kern w:val="0"/>
                <w:szCs w:val="21"/>
                <w:highlight w:val="none"/>
              </w:rPr>
            </w:pPr>
            <w:r>
              <w:rPr>
                <w:rFonts w:hint="eastAsia"/>
                <w:color w:val="auto"/>
                <w:kern w:val="0"/>
                <w:szCs w:val="21"/>
                <w:highlight w:val="none"/>
              </w:rPr>
              <w:t>10</w:t>
            </w:r>
          </w:p>
        </w:tc>
        <w:tc>
          <w:tcPr>
            <w:tcW w:w="1547" w:type="pct"/>
            <w:shd w:val="clear" w:color="auto" w:fill="auto"/>
            <w:vAlign w:val="center"/>
          </w:tcPr>
          <w:p>
            <w:pPr>
              <w:spacing w:after="0" w:line="360" w:lineRule="auto"/>
              <w:ind w:right="0"/>
              <w:jc w:val="center"/>
              <w:rPr>
                <w:color w:val="auto"/>
                <w:kern w:val="0"/>
                <w:szCs w:val="21"/>
                <w:highlight w:val="none"/>
              </w:rPr>
            </w:pPr>
            <w:r>
              <w:rPr>
                <w:rFonts w:hint="eastAsia"/>
                <w:color w:val="auto"/>
                <w:kern w:val="0"/>
                <w:szCs w:val="21"/>
                <w:highlight w:val="none"/>
              </w:rPr>
              <w:t>门禁一卡通系统</w:t>
            </w:r>
          </w:p>
        </w:tc>
        <w:tc>
          <w:tcPr>
            <w:tcW w:w="2987" w:type="pct"/>
            <w:shd w:val="clear" w:color="auto" w:fill="auto"/>
            <w:vAlign w:val="center"/>
          </w:tcPr>
          <w:p>
            <w:pPr>
              <w:spacing w:after="0" w:line="360" w:lineRule="auto"/>
              <w:ind w:right="0"/>
              <w:jc w:val="center"/>
              <w:rPr>
                <w:color w:val="auto"/>
                <w:kern w:val="0"/>
                <w:szCs w:val="21"/>
                <w:highlight w:val="none"/>
              </w:rPr>
            </w:pPr>
            <w:r>
              <w:rPr>
                <w:rFonts w:hint="eastAsia"/>
                <w:color w:val="auto"/>
                <w:kern w:val="0"/>
                <w:szCs w:val="21"/>
                <w:highlight w:val="none"/>
              </w:rPr>
              <w:t>对接门禁一卡通系统，实现数据互联互通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trPr>
        <w:tc>
          <w:tcPr>
            <w:tcW w:w="467" w:type="pct"/>
            <w:shd w:val="clear" w:color="auto" w:fill="auto"/>
            <w:vAlign w:val="center"/>
          </w:tcPr>
          <w:p>
            <w:pPr>
              <w:spacing w:after="0" w:line="360" w:lineRule="auto"/>
              <w:ind w:right="0"/>
              <w:jc w:val="center"/>
              <w:rPr>
                <w:color w:val="auto"/>
                <w:kern w:val="0"/>
                <w:szCs w:val="21"/>
                <w:highlight w:val="none"/>
              </w:rPr>
            </w:pPr>
            <w:r>
              <w:rPr>
                <w:rFonts w:hint="eastAsia"/>
                <w:color w:val="auto"/>
                <w:kern w:val="0"/>
                <w:szCs w:val="21"/>
                <w:highlight w:val="none"/>
              </w:rPr>
              <w:t>11</w:t>
            </w:r>
          </w:p>
        </w:tc>
        <w:tc>
          <w:tcPr>
            <w:tcW w:w="1547" w:type="pct"/>
            <w:shd w:val="clear" w:color="auto" w:fill="auto"/>
            <w:vAlign w:val="center"/>
          </w:tcPr>
          <w:p>
            <w:pPr>
              <w:spacing w:after="0" w:line="360" w:lineRule="auto"/>
              <w:ind w:right="0"/>
              <w:jc w:val="center"/>
              <w:rPr>
                <w:color w:val="auto"/>
                <w:kern w:val="0"/>
                <w:szCs w:val="21"/>
                <w:highlight w:val="none"/>
              </w:rPr>
            </w:pPr>
            <w:r>
              <w:rPr>
                <w:rFonts w:hint="eastAsia"/>
                <w:color w:val="auto"/>
                <w:kern w:val="0"/>
                <w:szCs w:val="21"/>
                <w:highlight w:val="none"/>
              </w:rPr>
              <w:t>视频监控系统</w:t>
            </w:r>
          </w:p>
        </w:tc>
        <w:tc>
          <w:tcPr>
            <w:tcW w:w="2987" w:type="pct"/>
            <w:shd w:val="clear" w:color="auto" w:fill="auto"/>
            <w:vAlign w:val="center"/>
          </w:tcPr>
          <w:p>
            <w:pPr>
              <w:spacing w:after="0" w:line="360" w:lineRule="auto"/>
              <w:ind w:right="0"/>
              <w:jc w:val="center"/>
              <w:rPr>
                <w:color w:val="auto"/>
                <w:kern w:val="0"/>
                <w:szCs w:val="21"/>
                <w:highlight w:val="none"/>
              </w:rPr>
            </w:pPr>
            <w:r>
              <w:rPr>
                <w:rFonts w:hint="eastAsia"/>
                <w:color w:val="auto"/>
                <w:kern w:val="0"/>
                <w:szCs w:val="21"/>
                <w:highlight w:val="none"/>
              </w:rPr>
              <w:t>对接安防视频监控系统，实现数据互联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trPr>
        <w:tc>
          <w:tcPr>
            <w:tcW w:w="467" w:type="pct"/>
            <w:shd w:val="clear" w:color="auto" w:fill="auto"/>
            <w:vAlign w:val="center"/>
          </w:tcPr>
          <w:p>
            <w:pPr>
              <w:spacing w:after="0" w:line="360" w:lineRule="auto"/>
              <w:ind w:right="0"/>
              <w:jc w:val="center"/>
              <w:rPr>
                <w:color w:val="auto"/>
                <w:kern w:val="0"/>
                <w:szCs w:val="21"/>
                <w:highlight w:val="none"/>
              </w:rPr>
            </w:pPr>
            <w:r>
              <w:rPr>
                <w:rFonts w:hint="eastAsia"/>
                <w:color w:val="auto"/>
                <w:kern w:val="0"/>
                <w:szCs w:val="21"/>
                <w:highlight w:val="none"/>
              </w:rPr>
              <w:t>12</w:t>
            </w:r>
          </w:p>
        </w:tc>
        <w:tc>
          <w:tcPr>
            <w:tcW w:w="1547" w:type="pct"/>
            <w:shd w:val="clear" w:color="auto" w:fill="auto"/>
            <w:vAlign w:val="center"/>
          </w:tcPr>
          <w:p>
            <w:pPr>
              <w:spacing w:after="0" w:line="360" w:lineRule="auto"/>
              <w:ind w:right="0"/>
              <w:jc w:val="center"/>
              <w:rPr>
                <w:color w:val="auto"/>
                <w:kern w:val="0"/>
                <w:szCs w:val="21"/>
                <w:highlight w:val="none"/>
              </w:rPr>
            </w:pPr>
            <w:r>
              <w:rPr>
                <w:rFonts w:hint="eastAsia"/>
                <w:color w:val="auto"/>
                <w:kern w:val="0"/>
                <w:szCs w:val="21"/>
                <w:highlight w:val="none"/>
              </w:rPr>
              <w:t>入侵报警系统</w:t>
            </w:r>
          </w:p>
        </w:tc>
        <w:tc>
          <w:tcPr>
            <w:tcW w:w="2987" w:type="pct"/>
            <w:shd w:val="clear" w:color="auto" w:fill="auto"/>
            <w:vAlign w:val="center"/>
          </w:tcPr>
          <w:p>
            <w:pPr>
              <w:spacing w:after="0" w:line="360" w:lineRule="auto"/>
              <w:ind w:right="0"/>
              <w:jc w:val="center"/>
              <w:rPr>
                <w:color w:val="auto"/>
                <w:kern w:val="0"/>
                <w:szCs w:val="21"/>
                <w:highlight w:val="none"/>
              </w:rPr>
            </w:pPr>
            <w:r>
              <w:rPr>
                <w:rFonts w:hint="eastAsia"/>
                <w:color w:val="auto"/>
                <w:kern w:val="0"/>
                <w:szCs w:val="21"/>
                <w:highlight w:val="none"/>
              </w:rPr>
              <w:t>对接入侵报警系统，提取报警数据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trPr>
        <w:tc>
          <w:tcPr>
            <w:tcW w:w="467" w:type="pct"/>
            <w:shd w:val="clear" w:color="auto" w:fill="auto"/>
            <w:vAlign w:val="center"/>
          </w:tcPr>
          <w:p>
            <w:pPr>
              <w:spacing w:after="0" w:line="360" w:lineRule="auto"/>
              <w:ind w:right="0"/>
              <w:jc w:val="center"/>
              <w:rPr>
                <w:color w:val="auto"/>
                <w:kern w:val="0"/>
                <w:szCs w:val="21"/>
                <w:highlight w:val="none"/>
              </w:rPr>
            </w:pPr>
            <w:r>
              <w:rPr>
                <w:rFonts w:hint="eastAsia"/>
                <w:color w:val="auto"/>
                <w:kern w:val="0"/>
                <w:szCs w:val="21"/>
                <w:highlight w:val="none"/>
              </w:rPr>
              <w:t>13</w:t>
            </w:r>
          </w:p>
        </w:tc>
        <w:tc>
          <w:tcPr>
            <w:tcW w:w="1547" w:type="pct"/>
            <w:shd w:val="clear" w:color="auto" w:fill="auto"/>
            <w:vAlign w:val="center"/>
          </w:tcPr>
          <w:p>
            <w:pPr>
              <w:spacing w:after="0" w:line="360" w:lineRule="auto"/>
              <w:ind w:right="0"/>
              <w:jc w:val="center"/>
              <w:rPr>
                <w:color w:val="auto"/>
                <w:kern w:val="0"/>
                <w:szCs w:val="21"/>
                <w:highlight w:val="none"/>
              </w:rPr>
            </w:pPr>
            <w:r>
              <w:rPr>
                <w:rFonts w:hint="eastAsia"/>
                <w:color w:val="auto"/>
                <w:kern w:val="0"/>
                <w:szCs w:val="21"/>
                <w:highlight w:val="none"/>
              </w:rPr>
              <w:t>停车场管理系统</w:t>
            </w:r>
          </w:p>
        </w:tc>
        <w:tc>
          <w:tcPr>
            <w:tcW w:w="2987" w:type="pct"/>
            <w:shd w:val="clear" w:color="auto" w:fill="auto"/>
            <w:vAlign w:val="center"/>
          </w:tcPr>
          <w:p>
            <w:pPr>
              <w:spacing w:after="0" w:line="360" w:lineRule="auto"/>
              <w:ind w:right="0"/>
              <w:jc w:val="center"/>
              <w:rPr>
                <w:color w:val="auto"/>
                <w:kern w:val="0"/>
                <w:szCs w:val="21"/>
                <w:highlight w:val="none"/>
              </w:rPr>
            </w:pPr>
            <w:r>
              <w:rPr>
                <w:rFonts w:hint="eastAsia"/>
                <w:color w:val="auto"/>
                <w:kern w:val="0"/>
                <w:szCs w:val="21"/>
                <w:highlight w:val="none"/>
              </w:rPr>
              <w:t>对接停车场管理系统，实现停车管理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trPr>
        <w:tc>
          <w:tcPr>
            <w:tcW w:w="467" w:type="pct"/>
            <w:shd w:val="clear" w:color="auto" w:fill="auto"/>
            <w:vAlign w:val="center"/>
          </w:tcPr>
          <w:p>
            <w:pPr>
              <w:spacing w:after="0" w:line="360" w:lineRule="auto"/>
              <w:ind w:right="0"/>
              <w:jc w:val="center"/>
              <w:rPr>
                <w:color w:val="auto"/>
                <w:kern w:val="0"/>
                <w:szCs w:val="21"/>
                <w:highlight w:val="none"/>
              </w:rPr>
            </w:pPr>
            <w:r>
              <w:rPr>
                <w:rFonts w:hint="eastAsia"/>
                <w:color w:val="auto"/>
                <w:kern w:val="0"/>
                <w:szCs w:val="21"/>
                <w:highlight w:val="none"/>
              </w:rPr>
              <w:t>14</w:t>
            </w:r>
          </w:p>
        </w:tc>
        <w:tc>
          <w:tcPr>
            <w:tcW w:w="1547" w:type="pct"/>
            <w:shd w:val="clear" w:color="auto" w:fill="auto"/>
            <w:vAlign w:val="center"/>
          </w:tcPr>
          <w:p>
            <w:pPr>
              <w:spacing w:after="0" w:line="360" w:lineRule="auto"/>
              <w:ind w:right="0"/>
              <w:jc w:val="center"/>
              <w:rPr>
                <w:color w:val="auto"/>
                <w:kern w:val="0"/>
                <w:szCs w:val="21"/>
                <w:highlight w:val="none"/>
              </w:rPr>
            </w:pPr>
            <w:r>
              <w:rPr>
                <w:rFonts w:hint="eastAsia"/>
                <w:color w:val="auto"/>
                <w:kern w:val="0"/>
                <w:szCs w:val="21"/>
                <w:highlight w:val="none"/>
              </w:rPr>
              <w:t>能源管理系统</w:t>
            </w:r>
          </w:p>
        </w:tc>
        <w:tc>
          <w:tcPr>
            <w:tcW w:w="2987" w:type="pct"/>
            <w:shd w:val="clear" w:color="auto" w:fill="auto"/>
            <w:vAlign w:val="center"/>
          </w:tcPr>
          <w:p>
            <w:pPr>
              <w:spacing w:after="0" w:line="360" w:lineRule="auto"/>
              <w:ind w:right="0"/>
              <w:jc w:val="center"/>
              <w:rPr>
                <w:color w:val="auto"/>
                <w:kern w:val="0"/>
                <w:szCs w:val="21"/>
                <w:highlight w:val="none"/>
              </w:rPr>
            </w:pPr>
            <w:r>
              <w:rPr>
                <w:rFonts w:hint="eastAsia"/>
                <w:color w:val="auto"/>
                <w:kern w:val="0"/>
                <w:szCs w:val="21"/>
                <w:highlight w:val="none"/>
              </w:rPr>
              <w:t>院区能耗数据的对接，满足能耗监测、分析、管理的需求</w:t>
            </w:r>
          </w:p>
        </w:tc>
      </w:tr>
    </w:tbl>
    <w:p>
      <w:pPr>
        <w:spacing w:after="0" w:line="360" w:lineRule="auto"/>
        <w:ind w:left="-142" w:leftChars="-59" w:right="39" w:firstLine="480" w:firstLineChars="200"/>
        <w:rPr>
          <w:rFonts w:cs="Arial Unicode MS"/>
          <w:color w:val="auto"/>
          <w:kern w:val="0"/>
          <w:highlight w:val="none"/>
          <w:lang w:val="zh-CN"/>
        </w:rPr>
      </w:pPr>
      <w:r>
        <w:rPr>
          <w:rFonts w:hint="eastAsia" w:cs="Arial Unicode MS"/>
          <w:color w:val="auto"/>
          <w:kern w:val="0"/>
          <w:highlight w:val="none"/>
          <w:lang w:val="zh-CN"/>
        </w:rPr>
        <w:t>各个弱电智能化系统需提供标准通信接口及协议接入后勤智慧运维平台，共同完成联调联试工作。各子系统与平台物理界面接口和通讯协议应满足下表要求：</w:t>
      </w:r>
    </w:p>
    <w:tbl>
      <w:tblPr>
        <w:tblStyle w:val="18"/>
        <w:tblW w:w="5000" w:type="pct"/>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51"/>
        <w:gridCol w:w="2473"/>
        <w:gridCol w:w="3864"/>
        <w:gridCol w:w="25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484" w:type="pct"/>
            <w:shd w:val="clear" w:color="000000" w:fill="DEEAF6"/>
            <w:vAlign w:val="center"/>
          </w:tcPr>
          <w:p>
            <w:pPr>
              <w:spacing w:after="0" w:line="360" w:lineRule="auto"/>
              <w:ind w:right="-110"/>
              <w:jc w:val="center"/>
              <w:rPr>
                <w:b/>
                <w:bCs/>
                <w:color w:val="auto"/>
                <w:kern w:val="0"/>
                <w:szCs w:val="21"/>
                <w:highlight w:val="none"/>
              </w:rPr>
            </w:pPr>
            <w:r>
              <w:rPr>
                <w:rFonts w:hint="eastAsia"/>
                <w:b/>
                <w:bCs/>
                <w:color w:val="auto"/>
                <w:kern w:val="0"/>
                <w:szCs w:val="21"/>
                <w:highlight w:val="none"/>
              </w:rPr>
              <w:t>序号</w:t>
            </w:r>
          </w:p>
        </w:tc>
        <w:tc>
          <w:tcPr>
            <w:tcW w:w="1259" w:type="pct"/>
            <w:shd w:val="clear" w:color="000000" w:fill="DEEAF6"/>
            <w:vAlign w:val="center"/>
          </w:tcPr>
          <w:p>
            <w:pPr>
              <w:spacing w:after="0" w:line="360" w:lineRule="auto"/>
              <w:ind w:right="-110"/>
              <w:jc w:val="center"/>
              <w:rPr>
                <w:b/>
                <w:bCs/>
                <w:color w:val="auto"/>
                <w:kern w:val="0"/>
                <w:szCs w:val="21"/>
                <w:highlight w:val="none"/>
              </w:rPr>
            </w:pPr>
            <w:r>
              <w:rPr>
                <w:rFonts w:hint="eastAsia"/>
                <w:b/>
                <w:bCs/>
                <w:color w:val="auto"/>
                <w:kern w:val="0"/>
                <w:szCs w:val="21"/>
                <w:highlight w:val="none"/>
              </w:rPr>
              <w:t>对接系统</w:t>
            </w:r>
          </w:p>
        </w:tc>
        <w:tc>
          <w:tcPr>
            <w:tcW w:w="1968" w:type="pct"/>
            <w:shd w:val="clear" w:color="000000" w:fill="DEEAF6"/>
            <w:vAlign w:val="center"/>
          </w:tcPr>
          <w:p>
            <w:pPr>
              <w:spacing w:after="0" w:line="360" w:lineRule="auto"/>
              <w:ind w:right="-110"/>
              <w:jc w:val="center"/>
              <w:rPr>
                <w:b/>
                <w:bCs/>
                <w:color w:val="auto"/>
                <w:kern w:val="0"/>
                <w:szCs w:val="21"/>
                <w:highlight w:val="none"/>
              </w:rPr>
            </w:pPr>
            <w:r>
              <w:rPr>
                <w:rFonts w:hint="eastAsia"/>
                <w:b/>
                <w:bCs/>
                <w:color w:val="auto"/>
                <w:kern w:val="0"/>
                <w:szCs w:val="21"/>
                <w:highlight w:val="none"/>
              </w:rPr>
              <w:t xml:space="preserve">接口标准 </w:t>
            </w:r>
          </w:p>
        </w:tc>
        <w:tc>
          <w:tcPr>
            <w:tcW w:w="1288" w:type="pct"/>
            <w:shd w:val="clear" w:color="000000" w:fill="DEEAF6"/>
            <w:vAlign w:val="center"/>
          </w:tcPr>
          <w:p>
            <w:pPr>
              <w:spacing w:after="0" w:line="360" w:lineRule="auto"/>
              <w:ind w:right="-110"/>
              <w:jc w:val="center"/>
              <w:rPr>
                <w:b/>
                <w:bCs/>
                <w:color w:val="auto"/>
                <w:kern w:val="0"/>
                <w:szCs w:val="21"/>
                <w:highlight w:val="none"/>
              </w:rPr>
            </w:pPr>
            <w:r>
              <w:rPr>
                <w:rFonts w:hint="eastAsia"/>
                <w:b/>
                <w:bCs/>
                <w:color w:val="auto"/>
                <w:kern w:val="0"/>
                <w:szCs w:val="21"/>
                <w:highlight w:val="none"/>
              </w:rPr>
              <w:t>通讯协议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0" w:hRule="atLeast"/>
        </w:trPr>
        <w:tc>
          <w:tcPr>
            <w:tcW w:w="484" w:type="pct"/>
            <w:shd w:val="clear" w:color="auto" w:fill="auto"/>
            <w:vAlign w:val="center"/>
          </w:tcPr>
          <w:p>
            <w:pPr>
              <w:spacing w:after="0" w:line="360" w:lineRule="auto"/>
              <w:ind w:right="0"/>
              <w:jc w:val="center"/>
              <w:rPr>
                <w:color w:val="auto"/>
                <w:kern w:val="0"/>
                <w:szCs w:val="21"/>
                <w:highlight w:val="none"/>
              </w:rPr>
            </w:pPr>
            <w:r>
              <w:rPr>
                <w:rFonts w:hint="eastAsia"/>
                <w:color w:val="auto"/>
                <w:kern w:val="0"/>
                <w:szCs w:val="21"/>
                <w:highlight w:val="none"/>
              </w:rPr>
              <w:t>1</w:t>
            </w:r>
          </w:p>
        </w:tc>
        <w:tc>
          <w:tcPr>
            <w:tcW w:w="1259" w:type="pct"/>
            <w:shd w:val="clear" w:color="auto" w:fill="auto"/>
            <w:vAlign w:val="center"/>
          </w:tcPr>
          <w:p>
            <w:pPr>
              <w:spacing w:after="0" w:line="360" w:lineRule="auto"/>
              <w:ind w:right="0"/>
              <w:jc w:val="center"/>
              <w:rPr>
                <w:color w:val="auto"/>
                <w:kern w:val="0"/>
                <w:szCs w:val="21"/>
                <w:highlight w:val="none"/>
              </w:rPr>
            </w:pPr>
            <w:r>
              <w:rPr>
                <w:rFonts w:hint="eastAsia"/>
                <w:color w:val="auto"/>
                <w:kern w:val="0"/>
                <w:szCs w:val="21"/>
                <w:highlight w:val="none"/>
              </w:rPr>
              <w:t>楼宇自控系统</w:t>
            </w:r>
          </w:p>
        </w:tc>
        <w:tc>
          <w:tcPr>
            <w:tcW w:w="1968" w:type="pct"/>
            <w:shd w:val="clear" w:color="auto" w:fill="auto"/>
            <w:vAlign w:val="center"/>
          </w:tcPr>
          <w:p>
            <w:pPr>
              <w:spacing w:after="0" w:line="360" w:lineRule="auto"/>
              <w:ind w:right="0"/>
              <w:jc w:val="center"/>
              <w:rPr>
                <w:color w:val="auto"/>
                <w:kern w:val="0"/>
                <w:szCs w:val="21"/>
                <w:highlight w:val="none"/>
              </w:rPr>
            </w:pPr>
            <w:r>
              <w:rPr>
                <w:rFonts w:hint="eastAsia"/>
                <w:color w:val="auto"/>
                <w:kern w:val="0"/>
                <w:szCs w:val="21"/>
                <w:highlight w:val="none"/>
              </w:rPr>
              <w:t>基于 RJ45 的 TCP/IP 网络接口</w:t>
            </w:r>
          </w:p>
        </w:tc>
        <w:tc>
          <w:tcPr>
            <w:tcW w:w="1288" w:type="pct"/>
            <w:shd w:val="clear" w:color="auto" w:fill="auto"/>
            <w:vAlign w:val="center"/>
          </w:tcPr>
          <w:p>
            <w:pPr>
              <w:spacing w:after="0" w:line="360" w:lineRule="auto"/>
              <w:ind w:right="0"/>
              <w:jc w:val="center"/>
              <w:rPr>
                <w:color w:val="auto"/>
                <w:kern w:val="0"/>
                <w:szCs w:val="21"/>
                <w:highlight w:val="none"/>
              </w:rPr>
            </w:pPr>
            <w:r>
              <w:rPr>
                <w:rFonts w:hint="eastAsia"/>
                <w:color w:val="auto"/>
                <w:kern w:val="0"/>
                <w:szCs w:val="21"/>
                <w:highlight w:val="none"/>
              </w:rPr>
              <w:t>OPC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0" w:hRule="atLeast"/>
        </w:trPr>
        <w:tc>
          <w:tcPr>
            <w:tcW w:w="484" w:type="pct"/>
            <w:shd w:val="clear" w:color="auto" w:fill="auto"/>
            <w:vAlign w:val="center"/>
          </w:tcPr>
          <w:p>
            <w:pPr>
              <w:spacing w:after="0" w:line="360" w:lineRule="auto"/>
              <w:ind w:right="0"/>
              <w:jc w:val="center"/>
              <w:rPr>
                <w:color w:val="auto"/>
                <w:kern w:val="0"/>
                <w:szCs w:val="21"/>
                <w:highlight w:val="none"/>
              </w:rPr>
            </w:pPr>
            <w:r>
              <w:rPr>
                <w:rFonts w:hint="eastAsia"/>
                <w:color w:val="auto"/>
                <w:kern w:val="0"/>
                <w:szCs w:val="21"/>
                <w:highlight w:val="none"/>
              </w:rPr>
              <w:t>2</w:t>
            </w:r>
          </w:p>
        </w:tc>
        <w:tc>
          <w:tcPr>
            <w:tcW w:w="1259" w:type="pct"/>
            <w:shd w:val="clear" w:color="auto" w:fill="auto"/>
            <w:vAlign w:val="center"/>
          </w:tcPr>
          <w:p>
            <w:pPr>
              <w:spacing w:after="0" w:line="360" w:lineRule="auto"/>
              <w:ind w:right="0"/>
              <w:jc w:val="center"/>
              <w:rPr>
                <w:color w:val="auto"/>
                <w:kern w:val="0"/>
                <w:szCs w:val="21"/>
                <w:highlight w:val="none"/>
              </w:rPr>
            </w:pPr>
            <w:r>
              <w:rPr>
                <w:rFonts w:hint="eastAsia"/>
                <w:color w:val="auto"/>
                <w:kern w:val="0"/>
                <w:szCs w:val="21"/>
                <w:highlight w:val="none"/>
              </w:rPr>
              <w:t>热水系统</w:t>
            </w:r>
          </w:p>
        </w:tc>
        <w:tc>
          <w:tcPr>
            <w:tcW w:w="1968" w:type="pct"/>
            <w:shd w:val="clear" w:color="auto" w:fill="auto"/>
            <w:vAlign w:val="center"/>
          </w:tcPr>
          <w:p>
            <w:pPr>
              <w:spacing w:after="0" w:line="360" w:lineRule="auto"/>
              <w:ind w:right="0"/>
              <w:jc w:val="center"/>
              <w:rPr>
                <w:color w:val="auto"/>
                <w:kern w:val="0"/>
                <w:szCs w:val="21"/>
                <w:highlight w:val="none"/>
              </w:rPr>
            </w:pPr>
            <w:r>
              <w:rPr>
                <w:rFonts w:hint="eastAsia"/>
                <w:color w:val="auto"/>
                <w:kern w:val="0"/>
                <w:szCs w:val="21"/>
                <w:highlight w:val="none"/>
              </w:rPr>
              <w:t>基于 RJ45 的 TCP/IP 网络接口</w:t>
            </w:r>
          </w:p>
        </w:tc>
        <w:tc>
          <w:tcPr>
            <w:tcW w:w="1288" w:type="pct"/>
            <w:shd w:val="clear" w:color="auto" w:fill="auto"/>
            <w:vAlign w:val="center"/>
          </w:tcPr>
          <w:p>
            <w:pPr>
              <w:spacing w:after="0" w:line="360" w:lineRule="auto"/>
              <w:ind w:right="0"/>
              <w:jc w:val="center"/>
              <w:rPr>
                <w:color w:val="auto"/>
                <w:kern w:val="0"/>
                <w:szCs w:val="21"/>
                <w:highlight w:val="none"/>
              </w:rPr>
            </w:pPr>
            <w:r>
              <w:rPr>
                <w:rFonts w:hint="eastAsia"/>
                <w:color w:val="auto"/>
                <w:kern w:val="0"/>
                <w:szCs w:val="21"/>
                <w:highlight w:val="none"/>
              </w:rPr>
              <w:t>OPC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0" w:hRule="atLeast"/>
        </w:trPr>
        <w:tc>
          <w:tcPr>
            <w:tcW w:w="484" w:type="pct"/>
            <w:shd w:val="clear" w:color="auto" w:fill="auto"/>
            <w:vAlign w:val="center"/>
          </w:tcPr>
          <w:p>
            <w:pPr>
              <w:spacing w:after="0" w:line="360" w:lineRule="auto"/>
              <w:ind w:right="0"/>
              <w:jc w:val="center"/>
              <w:rPr>
                <w:color w:val="auto"/>
                <w:kern w:val="0"/>
                <w:szCs w:val="21"/>
                <w:highlight w:val="none"/>
              </w:rPr>
            </w:pPr>
            <w:r>
              <w:rPr>
                <w:rFonts w:hint="eastAsia"/>
                <w:color w:val="auto"/>
                <w:kern w:val="0"/>
                <w:szCs w:val="21"/>
                <w:highlight w:val="none"/>
              </w:rPr>
              <w:t>3</w:t>
            </w:r>
          </w:p>
        </w:tc>
        <w:tc>
          <w:tcPr>
            <w:tcW w:w="1259" w:type="pct"/>
            <w:shd w:val="clear" w:color="auto" w:fill="auto"/>
            <w:vAlign w:val="center"/>
          </w:tcPr>
          <w:p>
            <w:pPr>
              <w:spacing w:after="0" w:line="360" w:lineRule="auto"/>
              <w:ind w:right="0"/>
              <w:jc w:val="center"/>
              <w:rPr>
                <w:color w:val="auto"/>
                <w:kern w:val="0"/>
                <w:szCs w:val="21"/>
                <w:highlight w:val="none"/>
              </w:rPr>
            </w:pPr>
            <w:r>
              <w:rPr>
                <w:rFonts w:hint="eastAsia"/>
                <w:color w:val="auto"/>
                <w:kern w:val="0"/>
                <w:szCs w:val="21"/>
                <w:highlight w:val="none"/>
              </w:rPr>
              <w:t>冷源系统</w:t>
            </w:r>
          </w:p>
        </w:tc>
        <w:tc>
          <w:tcPr>
            <w:tcW w:w="1968" w:type="pct"/>
            <w:shd w:val="clear" w:color="auto" w:fill="auto"/>
            <w:vAlign w:val="center"/>
          </w:tcPr>
          <w:p>
            <w:pPr>
              <w:spacing w:after="0" w:line="360" w:lineRule="auto"/>
              <w:ind w:right="0"/>
              <w:jc w:val="center"/>
              <w:rPr>
                <w:color w:val="auto"/>
                <w:kern w:val="0"/>
                <w:szCs w:val="21"/>
                <w:highlight w:val="none"/>
              </w:rPr>
            </w:pPr>
            <w:r>
              <w:rPr>
                <w:rFonts w:hint="eastAsia"/>
                <w:color w:val="auto"/>
                <w:kern w:val="0"/>
                <w:szCs w:val="21"/>
                <w:highlight w:val="none"/>
              </w:rPr>
              <w:t>基于 RJ45 的 TCP/IP 网络接口</w:t>
            </w:r>
          </w:p>
        </w:tc>
        <w:tc>
          <w:tcPr>
            <w:tcW w:w="1288" w:type="pct"/>
            <w:shd w:val="clear" w:color="auto" w:fill="auto"/>
            <w:vAlign w:val="center"/>
          </w:tcPr>
          <w:p>
            <w:pPr>
              <w:spacing w:after="0" w:line="360" w:lineRule="auto"/>
              <w:ind w:right="0"/>
              <w:jc w:val="center"/>
              <w:rPr>
                <w:color w:val="auto"/>
                <w:kern w:val="0"/>
                <w:szCs w:val="21"/>
                <w:highlight w:val="none"/>
              </w:rPr>
            </w:pPr>
            <w:r>
              <w:rPr>
                <w:rFonts w:hint="eastAsia"/>
                <w:color w:val="auto"/>
                <w:kern w:val="0"/>
                <w:szCs w:val="21"/>
                <w:highlight w:val="none"/>
              </w:rPr>
              <w:t>OPC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0" w:hRule="atLeast"/>
        </w:trPr>
        <w:tc>
          <w:tcPr>
            <w:tcW w:w="484" w:type="pct"/>
            <w:shd w:val="clear" w:color="auto" w:fill="auto"/>
            <w:vAlign w:val="center"/>
          </w:tcPr>
          <w:p>
            <w:pPr>
              <w:spacing w:after="0" w:line="360" w:lineRule="auto"/>
              <w:ind w:right="0"/>
              <w:jc w:val="center"/>
              <w:rPr>
                <w:color w:val="auto"/>
                <w:kern w:val="0"/>
                <w:szCs w:val="21"/>
                <w:highlight w:val="none"/>
              </w:rPr>
            </w:pPr>
            <w:r>
              <w:rPr>
                <w:rFonts w:hint="eastAsia"/>
                <w:color w:val="auto"/>
                <w:kern w:val="0"/>
                <w:szCs w:val="21"/>
                <w:highlight w:val="none"/>
              </w:rPr>
              <w:t>4</w:t>
            </w:r>
          </w:p>
        </w:tc>
        <w:tc>
          <w:tcPr>
            <w:tcW w:w="1259" w:type="pct"/>
            <w:shd w:val="clear" w:color="auto" w:fill="auto"/>
            <w:vAlign w:val="center"/>
          </w:tcPr>
          <w:p>
            <w:pPr>
              <w:spacing w:after="0" w:line="360" w:lineRule="auto"/>
              <w:ind w:right="0"/>
              <w:jc w:val="center"/>
              <w:rPr>
                <w:color w:val="auto"/>
                <w:kern w:val="0"/>
                <w:szCs w:val="21"/>
                <w:highlight w:val="none"/>
              </w:rPr>
            </w:pPr>
            <w:r>
              <w:rPr>
                <w:rFonts w:hint="eastAsia"/>
                <w:color w:val="auto"/>
                <w:kern w:val="0"/>
                <w:szCs w:val="21"/>
                <w:highlight w:val="none"/>
              </w:rPr>
              <w:t>给水排水系统</w:t>
            </w:r>
          </w:p>
        </w:tc>
        <w:tc>
          <w:tcPr>
            <w:tcW w:w="1968" w:type="pct"/>
            <w:shd w:val="clear" w:color="auto" w:fill="auto"/>
            <w:vAlign w:val="center"/>
          </w:tcPr>
          <w:p>
            <w:pPr>
              <w:spacing w:after="0" w:line="360" w:lineRule="auto"/>
              <w:ind w:right="0"/>
              <w:jc w:val="center"/>
              <w:rPr>
                <w:color w:val="auto"/>
                <w:kern w:val="0"/>
                <w:szCs w:val="21"/>
                <w:highlight w:val="none"/>
              </w:rPr>
            </w:pPr>
            <w:r>
              <w:rPr>
                <w:rFonts w:hint="eastAsia"/>
                <w:color w:val="auto"/>
                <w:kern w:val="0"/>
                <w:szCs w:val="21"/>
                <w:highlight w:val="none"/>
              </w:rPr>
              <w:t>基于 RJ45 的 TCP/IP 网络接口</w:t>
            </w:r>
          </w:p>
        </w:tc>
        <w:tc>
          <w:tcPr>
            <w:tcW w:w="1288" w:type="pct"/>
            <w:shd w:val="clear" w:color="auto" w:fill="auto"/>
            <w:vAlign w:val="center"/>
          </w:tcPr>
          <w:p>
            <w:pPr>
              <w:spacing w:after="0" w:line="360" w:lineRule="auto"/>
              <w:ind w:right="0"/>
              <w:jc w:val="center"/>
              <w:rPr>
                <w:color w:val="auto"/>
                <w:kern w:val="0"/>
                <w:szCs w:val="21"/>
                <w:highlight w:val="none"/>
              </w:rPr>
            </w:pPr>
            <w:r>
              <w:rPr>
                <w:rFonts w:hint="eastAsia"/>
                <w:color w:val="auto"/>
                <w:kern w:val="0"/>
                <w:szCs w:val="21"/>
                <w:highlight w:val="none"/>
              </w:rPr>
              <w:t>OPC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0" w:hRule="atLeast"/>
        </w:trPr>
        <w:tc>
          <w:tcPr>
            <w:tcW w:w="484" w:type="pct"/>
            <w:shd w:val="clear" w:color="auto" w:fill="auto"/>
            <w:vAlign w:val="center"/>
          </w:tcPr>
          <w:p>
            <w:pPr>
              <w:spacing w:after="0" w:line="360" w:lineRule="auto"/>
              <w:ind w:right="0"/>
              <w:jc w:val="center"/>
              <w:rPr>
                <w:color w:val="auto"/>
                <w:kern w:val="0"/>
                <w:szCs w:val="21"/>
                <w:highlight w:val="none"/>
              </w:rPr>
            </w:pPr>
            <w:r>
              <w:rPr>
                <w:rFonts w:hint="eastAsia"/>
                <w:color w:val="auto"/>
                <w:kern w:val="0"/>
                <w:szCs w:val="21"/>
                <w:highlight w:val="none"/>
              </w:rPr>
              <w:t>5</w:t>
            </w:r>
          </w:p>
        </w:tc>
        <w:tc>
          <w:tcPr>
            <w:tcW w:w="1259" w:type="pct"/>
            <w:shd w:val="clear" w:color="auto" w:fill="auto"/>
            <w:vAlign w:val="center"/>
          </w:tcPr>
          <w:p>
            <w:pPr>
              <w:spacing w:after="0" w:line="360" w:lineRule="auto"/>
              <w:ind w:right="0"/>
              <w:jc w:val="center"/>
              <w:rPr>
                <w:color w:val="auto"/>
                <w:kern w:val="0"/>
                <w:szCs w:val="21"/>
                <w:highlight w:val="none"/>
              </w:rPr>
            </w:pPr>
            <w:r>
              <w:rPr>
                <w:rFonts w:hint="eastAsia"/>
                <w:color w:val="auto"/>
                <w:kern w:val="0"/>
                <w:szCs w:val="21"/>
                <w:highlight w:val="none"/>
              </w:rPr>
              <w:t>变配电监控系统</w:t>
            </w:r>
          </w:p>
        </w:tc>
        <w:tc>
          <w:tcPr>
            <w:tcW w:w="1968" w:type="pct"/>
            <w:shd w:val="clear" w:color="auto" w:fill="auto"/>
            <w:vAlign w:val="center"/>
          </w:tcPr>
          <w:p>
            <w:pPr>
              <w:spacing w:after="0" w:line="360" w:lineRule="auto"/>
              <w:ind w:right="0"/>
              <w:jc w:val="center"/>
              <w:rPr>
                <w:color w:val="auto"/>
                <w:kern w:val="0"/>
                <w:szCs w:val="21"/>
                <w:highlight w:val="none"/>
              </w:rPr>
            </w:pPr>
            <w:r>
              <w:rPr>
                <w:rFonts w:hint="eastAsia"/>
                <w:color w:val="auto"/>
                <w:kern w:val="0"/>
                <w:szCs w:val="21"/>
                <w:highlight w:val="none"/>
              </w:rPr>
              <w:t>基于 RJ45 的 TCP/IP 网络接口</w:t>
            </w:r>
          </w:p>
        </w:tc>
        <w:tc>
          <w:tcPr>
            <w:tcW w:w="1288" w:type="pct"/>
            <w:shd w:val="clear" w:color="auto" w:fill="auto"/>
            <w:vAlign w:val="center"/>
          </w:tcPr>
          <w:p>
            <w:pPr>
              <w:spacing w:after="0" w:line="360" w:lineRule="auto"/>
              <w:ind w:right="0"/>
              <w:jc w:val="center"/>
              <w:rPr>
                <w:color w:val="auto"/>
                <w:kern w:val="0"/>
                <w:szCs w:val="21"/>
                <w:highlight w:val="none"/>
              </w:rPr>
            </w:pPr>
            <w:r>
              <w:rPr>
                <w:rFonts w:hint="eastAsia"/>
                <w:color w:val="auto"/>
                <w:kern w:val="0"/>
                <w:szCs w:val="21"/>
                <w:highlight w:val="none"/>
              </w:rPr>
              <w:t>OPC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0" w:hRule="atLeast"/>
        </w:trPr>
        <w:tc>
          <w:tcPr>
            <w:tcW w:w="484" w:type="pct"/>
            <w:shd w:val="clear" w:color="auto" w:fill="auto"/>
            <w:vAlign w:val="center"/>
          </w:tcPr>
          <w:p>
            <w:pPr>
              <w:spacing w:after="0" w:line="360" w:lineRule="auto"/>
              <w:ind w:right="0"/>
              <w:jc w:val="center"/>
              <w:rPr>
                <w:color w:val="auto"/>
                <w:kern w:val="0"/>
                <w:szCs w:val="21"/>
                <w:highlight w:val="none"/>
              </w:rPr>
            </w:pPr>
            <w:r>
              <w:rPr>
                <w:rFonts w:hint="eastAsia"/>
                <w:color w:val="auto"/>
                <w:kern w:val="0"/>
                <w:szCs w:val="21"/>
                <w:highlight w:val="none"/>
              </w:rPr>
              <w:t>6</w:t>
            </w:r>
          </w:p>
        </w:tc>
        <w:tc>
          <w:tcPr>
            <w:tcW w:w="1259" w:type="pct"/>
            <w:shd w:val="clear" w:color="auto" w:fill="auto"/>
            <w:vAlign w:val="center"/>
          </w:tcPr>
          <w:p>
            <w:pPr>
              <w:spacing w:after="0" w:line="360" w:lineRule="auto"/>
              <w:ind w:right="0"/>
              <w:jc w:val="center"/>
              <w:rPr>
                <w:color w:val="auto"/>
                <w:kern w:val="0"/>
                <w:szCs w:val="21"/>
                <w:highlight w:val="none"/>
              </w:rPr>
            </w:pPr>
            <w:r>
              <w:rPr>
                <w:rFonts w:hint="eastAsia"/>
                <w:color w:val="auto"/>
                <w:kern w:val="0"/>
                <w:szCs w:val="21"/>
                <w:highlight w:val="none"/>
              </w:rPr>
              <w:t>电梯监测系统</w:t>
            </w:r>
          </w:p>
        </w:tc>
        <w:tc>
          <w:tcPr>
            <w:tcW w:w="1968" w:type="pct"/>
            <w:shd w:val="clear" w:color="auto" w:fill="auto"/>
            <w:vAlign w:val="center"/>
          </w:tcPr>
          <w:p>
            <w:pPr>
              <w:spacing w:after="0" w:line="360" w:lineRule="auto"/>
              <w:ind w:right="0"/>
              <w:jc w:val="center"/>
              <w:rPr>
                <w:color w:val="auto"/>
                <w:kern w:val="0"/>
                <w:szCs w:val="21"/>
                <w:highlight w:val="none"/>
              </w:rPr>
            </w:pPr>
            <w:r>
              <w:rPr>
                <w:rFonts w:hint="eastAsia"/>
                <w:color w:val="auto"/>
                <w:kern w:val="0"/>
                <w:szCs w:val="21"/>
                <w:highlight w:val="none"/>
              </w:rPr>
              <w:t>基于 RJ45 的 TCP/IP 网络接口或者 RS232、 RS485 的串口</w:t>
            </w:r>
          </w:p>
        </w:tc>
        <w:tc>
          <w:tcPr>
            <w:tcW w:w="1288" w:type="pct"/>
            <w:shd w:val="clear" w:color="auto" w:fill="auto"/>
            <w:vAlign w:val="center"/>
          </w:tcPr>
          <w:p>
            <w:pPr>
              <w:spacing w:after="0" w:line="360" w:lineRule="auto"/>
              <w:ind w:right="0"/>
              <w:jc w:val="center"/>
              <w:rPr>
                <w:color w:val="auto"/>
                <w:kern w:val="0"/>
                <w:szCs w:val="21"/>
                <w:highlight w:val="none"/>
              </w:rPr>
            </w:pPr>
            <w:r>
              <w:rPr>
                <w:rFonts w:hint="eastAsia"/>
                <w:color w:val="auto"/>
                <w:kern w:val="0"/>
                <w:szCs w:val="21"/>
                <w:highlight w:val="none"/>
              </w:rPr>
              <w:t>OPC、ModBus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0" w:hRule="atLeast"/>
        </w:trPr>
        <w:tc>
          <w:tcPr>
            <w:tcW w:w="484" w:type="pct"/>
            <w:shd w:val="clear" w:color="auto" w:fill="auto"/>
            <w:vAlign w:val="center"/>
          </w:tcPr>
          <w:p>
            <w:pPr>
              <w:spacing w:after="0" w:line="360" w:lineRule="auto"/>
              <w:ind w:right="0"/>
              <w:jc w:val="center"/>
              <w:rPr>
                <w:color w:val="auto"/>
                <w:kern w:val="0"/>
                <w:szCs w:val="21"/>
                <w:highlight w:val="none"/>
              </w:rPr>
            </w:pPr>
            <w:r>
              <w:rPr>
                <w:rFonts w:hint="eastAsia"/>
                <w:color w:val="auto"/>
                <w:kern w:val="0"/>
                <w:szCs w:val="21"/>
                <w:highlight w:val="none"/>
              </w:rPr>
              <w:t>7</w:t>
            </w:r>
          </w:p>
        </w:tc>
        <w:tc>
          <w:tcPr>
            <w:tcW w:w="1259" w:type="pct"/>
            <w:shd w:val="clear" w:color="auto" w:fill="auto"/>
            <w:vAlign w:val="center"/>
          </w:tcPr>
          <w:p>
            <w:pPr>
              <w:spacing w:after="0" w:line="360" w:lineRule="auto"/>
              <w:ind w:right="0"/>
              <w:jc w:val="center"/>
              <w:rPr>
                <w:color w:val="auto"/>
                <w:kern w:val="0"/>
                <w:szCs w:val="21"/>
                <w:highlight w:val="none"/>
              </w:rPr>
            </w:pPr>
            <w:r>
              <w:rPr>
                <w:rFonts w:hint="eastAsia"/>
                <w:color w:val="auto"/>
                <w:kern w:val="0"/>
                <w:szCs w:val="21"/>
                <w:highlight w:val="none"/>
              </w:rPr>
              <w:t>智能照明控制系统</w:t>
            </w:r>
          </w:p>
        </w:tc>
        <w:tc>
          <w:tcPr>
            <w:tcW w:w="1968" w:type="pct"/>
            <w:shd w:val="clear" w:color="auto" w:fill="auto"/>
            <w:vAlign w:val="center"/>
          </w:tcPr>
          <w:p>
            <w:pPr>
              <w:spacing w:after="0" w:line="360" w:lineRule="auto"/>
              <w:ind w:right="0"/>
              <w:jc w:val="center"/>
              <w:rPr>
                <w:color w:val="auto"/>
                <w:kern w:val="0"/>
                <w:szCs w:val="21"/>
                <w:highlight w:val="none"/>
              </w:rPr>
            </w:pPr>
            <w:r>
              <w:rPr>
                <w:rFonts w:hint="eastAsia"/>
                <w:color w:val="auto"/>
                <w:kern w:val="0"/>
                <w:szCs w:val="21"/>
                <w:highlight w:val="none"/>
              </w:rPr>
              <w:t>基于 RJ45 的 TCP/IP 网络接口</w:t>
            </w:r>
          </w:p>
        </w:tc>
        <w:tc>
          <w:tcPr>
            <w:tcW w:w="1288" w:type="pct"/>
            <w:shd w:val="clear" w:color="auto" w:fill="auto"/>
            <w:vAlign w:val="center"/>
          </w:tcPr>
          <w:p>
            <w:pPr>
              <w:spacing w:after="0" w:line="360" w:lineRule="auto"/>
              <w:ind w:right="0"/>
              <w:jc w:val="center"/>
              <w:rPr>
                <w:color w:val="auto"/>
                <w:kern w:val="0"/>
                <w:szCs w:val="21"/>
                <w:highlight w:val="none"/>
              </w:rPr>
            </w:pPr>
            <w:r>
              <w:rPr>
                <w:rFonts w:hint="eastAsia"/>
                <w:color w:val="auto"/>
                <w:kern w:val="0"/>
                <w:szCs w:val="21"/>
                <w:highlight w:val="none"/>
              </w:rPr>
              <w:t>OPC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0" w:hRule="atLeast"/>
        </w:trPr>
        <w:tc>
          <w:tcPr>
            <w:tcW w:w="484" w:type="pct"/>
            <w:shd w:val="clear" w:color="auto" w:fill="auto"/>
            <w:vAlign w:val="center"/>
          </w:tcPr>
          <w:p>
            <w:pPr>
              <w:spacing w:after="0" w:line="360" w:lineRule="auto"/>
              <w:ind w:right="0"/>
              <w:jc w:val="center"/>
              <w:rPr>
                <w:color w:val="auto"/>
                <w:kern w:val="0"/>
                <w:szCs w:val="21"/>
                <w:highlight w:val="none"/>
              </w:rPr>
            </w:pPr>
            <w:r>
              <w:rPr>
                <w:rFonts w:hint="eastAsia"/>
                <w:color w:val="auto"/>
                <w:kern w:val="0"/>
                <w:szCs w:val="21"/>
                <w:highlight w:val="none"/>
              </w:rPr>
              <w:t>8</w:t>
            </w:r>
          </w:p>
        </w:tc>
        <w:tc>
          <w:tcPr>
            <w:tcW w:w="1259" w:type="pct"/>
            <w:shd w:val="clear" w:color="auto" w:fill="auto"/>
            <w:vAlign w:val="center"/>
          </w:tcPr>
          <w:p>
            <w:pPr>
              <w:spacing w:after="0" w:line="360" w:lineRule="auto"/>
              <w:ind w:right="0"/>
              <w:jc w:val="center"/>
              <w:rPr>
                <w:color w:val="auto"/>
                <w:kern w:val="0"/>
                <w:szCs w:val="21"/>
                <w:highlight w:val="none"/>
              </w:rPr>
            </w:pPr>
            <w:r>
              <w:rPr>
                <w:rFonts w:hint="eastAsia"/>
                <w:color w:val="auto"/>
                <w:kern w:val="0"/>
                <w:szCs w:val="21"/>
                <w:highlight w:val="none"/>
              </w:rPr>
              <w:t>医用气体系统</w:t>
            </w:r>
          </w:p>
        </w:tc>
        <w:tc>
          <w:tcPr>
            <w:tcW w:w="1968" w:type="pct"/>
            <w:shd w:val="clear" w:color="auto" w:fill="auto"/>
            <w:vAlign w:val="center"/>
          </w:tcPr>
          <w:p>
            <w:pPr>
              <w:spacing w:after="0" w:line="360" w:lineRule="auto"/>
              <w:ind w:right="0"/>
              <w:jc w:val="center"/>
              <w:rPr>
                <w:color w:val="auto"/>
                <w:kern w:val="0"/>
                <w:szCs w:val="21"/>
                <w:highlight w:val="none"/>
              </w:rPr>
            </w:pPr>
            <w:r>
              <w:rPr>
                <w:rFonts w:hint="eastAsia"/>
                <w:color w:val="auto"/>
                <w:kern w:val="0"/>
                <w:szCs w:val="21"/>
                <w:highlight w:val="none"/>
              </w:rPr>
              <w:t>基于 RJ45 的 TCP/IP 网络接口</w:t>
            </w:r>
          </w:p>
        </w:tc>
        <w:tc>
          <w:tcPr>
            <w:tcW w:w="1288" w:type="pct"/>
            <w:shd w:val="clear" w:color="auto" w:fill="auto"/>
            <w:vAlign w:val="center"/>
          </w:tcPr>
          <w:p>
            <w:pPr>
              <w:spacing w:after="0" w:line="360" w:lineRule="auto"/>
              <w:ind w:right="0"/>
              <w:jc w:val="center"/>
              <w:rPr>
                <w:color w:val="auto"/>
                <w:kern w:val="0"/>
                <w:szCs w:val="21"/>
                <w:highlight w:val="none"/>
              </w:rPr>
            </w:pPr>
            <w:r>
              <w:rPr>
                <w:rFonts w:hint="eastAsia"/>
                <w:color w:val="auto"/>
                <w:kern w:val="0"/>
                <w:szCs w:val="21"/>
                <w:highlight w:val="none"/>
              </w:rPr>
              <w:t>OPC、webservice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0" w:hRule="atLeast"/>
        </w:trPr>
        <w:tc>
          <w:tcPr>
            <w:tcW w:w="484" w:type="pct"/>
            <w:shd w:val="clear" w:color="auto" w:fill="auto"/>
            <w:vAlign w:val="center"/>
          </w:tcPr>
          <w:p>
            <w:pPr>
              <w:spacing w:after="0" w:line="360" w:lineRule="auto"/>
              <w:ind w:right="0"/>
              <w:jc w:val="center"/>
              <w:rPr>
                <w:color w:val="auto"/>
                <w:kern w:val="0"/>
                <w:szCs w:val="21"/>
                <w:highlight w:val="none"/>
              </w:rPr>
            </w:pPr>
            <w:r>
              <w:rPr>
                <w:rFonts w:hint="eastAsia"/>
                <w:color w:val="auto"/>
                <w:kern w:val="0"/>
                <w:szCs w:val="21"/>
                <w:highlight w:val="none"/>
              </w:rPr>
              <w:t>9</w:t>
            </w:r>
          </w:p>
        </w:tc>
        <w:tc>
          <w:tcPr>
            <w:tcW w:w="1259" w:type="pct"/>
            <w:shd w:val="clear" w:color="auto" w:fill="auto"/>
            <w:vAlign w:val="center"/>
          </w:tcPr>
          <w:p>
            <w:pPr>
              <w:spacing w:after="0" w:line="360" w:lineRule="auto"/>
              <w:ind w:right="0"/>
              <w:jc w:val="center"/>
              <w:rPr>
                <w:color w:val="auto"/>
                <w:kern w:val="0"/>
                <w:szCs w:val="21"/>
                <w:highlight w:val="none"/>
              </w:rPr>
            </w:pPr>
            <w:r>
              <w:rPr>
                <w:rFonts w:hint="eastAsia"/>
                <w:color w:val="auto"/>
                <w:kern w:val="0"/>
                <w:szCs w:val="21"/>
                <w:highlight w:val="none"/>
              </w:rPr>
              <w:t>电气火灾监控系统</w:t>
            </w:r>
          </w:p>
        </w:tc>
        <w:tc>
          <w:tcPr>
            <w:tcW w:w="1968" w:type="pct"/>
            <w:shd w:val="clear" w:color="auto" w:fill="auto"/>
            <w:vAlign w:val="center"/>
          </w:tcPr>
          <w:p>
            <w:pPr>
              <w:spacing w:after="0" w:line="360" w:lineRule="auto"/>
              <w:ind w:right="0"/>
              <w:jc w:val="center"/>
              <w:rPr>
                <w:color w:val="auto"/>
                <w:kern w:val="0"/>
                <w:szCs w:val="21"/>
                <w:highlight w:val="none"/>
              </w:rPr>
            </w:pPr>
            <w:r>
              <w:rPr>
                <w:rFonts w:hint="eastAsia"/>
                <w:color w:val="auto"/>
                <w:kern w:val="0"/>
                <w:szCs w:val="21"/>
                <w:highlight w:val="none"/>
              </w:rPr>
              <w:t>基于 RJ45 的 TCP/IP 网络接口</w:t>
            </w:r>
          </w:p>
        </w:tc>
        <w:tc>
          <w:tcPr>
            <w:tcW w:w="1288" w:type="pct"/>
            <w:shd w:val="clear" w:color="auto" w:fill="auto"/>
            <w:vAlign w:val="center"/>
          </w:tcPr>
          <w:p>
            <w:pPr>
              <w:spacing w:after="0" w:line="360" w:lineRule="auto"/>
              <w:ind w:right="0"/>
              <w:jc w:val="center"/>
              <w:rPr>
                <w:color w:val="auto"/>
                <w:kern w:val="0"/>
                <w:szCs w:val="21"/>
                <w:highlight w:val="none"/>
              </w:rPr>
            </w:pPr>
            <w:r>
              <w:rPr>
                <w:rFonts w:hint="eastAsia"/>
                <w:color w:val="auto"/>
                <w:kern w:val="0"/>
                <w:szCs w:val="21"/>
                <w:highlight w:val="none"/>
              </w:rPr>
              <w:t>OPC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0" w:hRule="atLeast"/>
        </w:trPr>
        <w:tc>
          <w:tcPr>
            <w:tcW w:w="484" w:type="pct"/>
            <w:shd w:val="clear" w:color="auto" w:fill="auto"/>
            <w:vAlign w:val="center"/>
          </w:tcPr>
          <w:p>
            <w:pPr>
              <w:spacing w:after="0" w:line="360" w:lineRule="auto"/>
              <w:ind w:right="0"/>
              <w:jc w:val="center"/>
              <w:rPr>
                <w:color w:val="auto"/>
                <w:kern w:val="0"/>
                <w:szCs w:val="21"/>
                <w:highlight w:val="none"/>
              </w:rPr>
            </w:pPr>
            <w:r>
              <w:rPr>
                <w:rFonts w:hint="eastAsia"/>
                <w:color w:val="auto"/>
                <w:kern w:val="0"/>
                <w:szCs w:val="21"/>
                <w:highlight w:val="none"/>
              </w:rPr>
              <w:t>10</w:t>
            </w:r>
          </w:p>
        </w:tc>
        <w:tc>
          <w:tcPr>
            <w:tcW w:w="1259" w:type="pct"/>
            <w:shd w:val="clear" w:color="auto" w:fill="auto"/>
            <w:vAlign w:val="center"/>
          </w:tcPr>
          <w:p>
            <w:pPr>
              <w:spacing w:after="0" w:line="360" w:lineRule="auto"/>
              <w:ind w:right="0"/>
              <w:jc w:val="center"/>
              <w:rPr>
                <w:color w:val="auto"/>
                <w:kern w:val="0"/>
                <w:szCs w:val="21"/>
                <w:highlight w:val="none"/>
              </w:rPr>
            </w:pPr>
            <w:r>
              <w:rPr>
                <w:rFonts w:hint="eastAsia"/>
                <w:color w:val="auto"/>
                <w:kern w:val="0"/>
                <w:szCs w:val="21"/>
                <w:highlight w:val="none"/>
              </w:rPr>
              <w:t>门禁一卡通系统</w:t>
            </w:r>
          </w:p>
        </w:tc>
        <w:tc>
          <w:tcPr>
            <w:tcW w:w="1968" w:type="pct"/>
            <w:shd w:val="clear" w:color="auto" w:fill="auto"/>
            <w:vAlign w:val="center"/>
          </w:tcPr>
          <w:p>
            <w:pPr>
              <w:spacing w:after="0" w:line="360" w:lineRule="auto"/>
              <w:ind w:right="0"/>
              <w:jc w:val="center"/>
              <w:rPr>
                <w:color w:val="auto"/>
                <w:kern w:val="0"/>
                <w:szCs w:val="21"/>
                <w:highlight w:val="none"/>
              </w:rPr>
            </w:pPr>
            <w:r>
              <w:rPr>
                <w:rFonts w:hint="eastAsia"/>
                <w:color w:val="auto"/>
                <w:kern w:val="0"/>
                <w:szCs w:val="21"/>
                <w:highlight w:val="none"/>
              </w:rPr>
              <w:t>基于 RJ45 的 TCP/IP 或者 UDP/IP 网络接口</w:t>
            </w:r>
          </w:p>
        </w:tc>
        <w:tc>
          <w:tcPr>
            <w:tcW w:w="1288" w:type="pct"/>
            <w:shd w:val="clear" w:color="auto" w:fill="auto"/>
            <w:vAlign w:val="center"/>
          </w:tcPr>
          <w:p>
            <w:pPr>
              <w:spacing w:after="0" w:line="360" w:lineRule="auto"/>
              <w:ind w:right="0"/>
              <w:jc w:val="center"/>
              <w:rPr>
                <w:color w:val="auto"/>
                <w:kern w:val="0"/>
                <w:szCs w:val="21"/>
                <w:highlight w:val="none"/>
              </w:rPr>
            </w:pPr>
            <w:r>
              <w:rPr>
                <w:rFonts w:hint="eastAsia"/>
                <w:color w:val="auto"/>
                <w:kern w:val="0"/>
                <w:szCs w:val="21"/>
                <w:highlight w:val="none"/>
              </w:rPr>
              <w:t>OPC、 SDK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0" w:hRule="atLeast"/>
        </w:trPr>
        <w:tc>
          <w:tcPr>
            <w:tcW w:w="484" w:type="pct"/>
            <w:shd w:val="clear" w:color="auto" w:fill="auto"/>
            <w:vAlign w:val="center"/>
          </w:tcPr>
          <w:p>
            <w:pPr>
              <w:spacing w:after="0" w:line="360" w:lineRule="auto"/>
              <w:ind w:right="0"/>
              <w:jc w:val="center"/>
              <w:rPr>
                <w:color w:val="auto"/>
                <w:kern w:val="0"/>
                <w:szCs w:val="21"/>
                <w:highlight w:val="none"/>
              </w:rPr>
            </w:pPr>
            <w:r>
              <w:rPr>
                <w:rFonts w:hint="eastAsia"/>
                <w:color w:val="auto"/>
                <w:kern w:val="0"/>
                <w:szCs w:val="21"/>
                <w:highlight w:val="none"/>
              </w:rPr>
              <w:t>11</w:t>
            </w:r>
          </w:p>
        </w:tc>
        <w:tc>
          <w:tcPr>
            <w:tcW w:w="1259" w:type="pct"/>
            <w:shd w:val="clear" w:color="auto" w:fill="auto"/>
            <w:vAlign w:val="center"/>
          </w:tcPr>
          <w:p>
            <w:pPr>
              <w:spacing w:after="0" w:line="360" w:lineRule="auto"/>
              <w:ind w:right="0"/>
              <w:jc w:val="center"/>
              <w:rPr>
                <w:color w:val="auto"/>
                <w:kern w:val="0"/>
                <w:szCs w:val="21"/>
                <w:highlight w:val="none"/>
              </w:rPr>
            </w:pPr>
            <w:r>
              <w:rPr>
                <w:rFonts w:hint="eastAsia"/>
                <w:color w:val="auto"/>
                <w:kern w:val="0"/>
                <w:szCs w:val="21"/>
                <w:highlight w:val="none"/>
              </w:rPr>
              <w:t>视频监控系统</w:t>
            </w:r>
          </w:p>
        </w:tc>
        <w:tc>
          <w:tcPr>
            <w:tcW w:w="1968" w:type="pct"/>
            <w:shd w:val="clear" w:color="auto" w:fill="auto"/>
            <w:vAlign w:val="center"/>
          </w:tcPr>
          <w:p>
            <w:pPr>
              <w:spacing w:after="0" w:line="360" w:lineRule="auto"/>
              <w:ind w:right="0"/>
              <w:jc w:val="center"/>
              <w:rPr>
                <w:color w:val="auto"/>
                <w:kern w:val="0"/>
                <w:szCs w:val="21"/>
                <w:highlight w:val="none"/>
              </w:rPr>
            </w:pPr>
            <w:r>
              <w:rPr>
                <w:rFonts w:hint="eastAsia"/>
                <w:color w:val="auto"/>
                <w:kern w:val="0"/>
                <w:szCs w:val="21"/>
                <w:highlight w:val="none"/>
              </w:rPr>
              <w:t>基于 RJ45 的 TCP/IP 网络接口、 RS485 串口</w:t>
            </w:r>
          </w:p>
        </w:tc>
        <w:tc>
          <w:tcPr>
            <w:tcW w:w="1288" w:type="pct"/>
            <w:shd w:val="clear" w:color="auto" w:fill="auto"/>
            <w:vAlign w:val="center"/>
          </w:tcPr>
          <w:p>
            <w:pPr>
              <w:spacing w:after="0" w:line="360" w:lineRule="auto"/>
              <w:ind w:right="0"/>
              <w:jc w:val="center"/>
              <w:rPr>
                <w:color w:val="auto"/>
                <w:kern w:val="0"/>
                <w:szCs w:val="21"/>
                <w:highlight w:val="none"/>
              </w:rPr>
            </w:pPr>
            <w:r>
              <w:rPr>
                <w:rFonts w:hint="eastAsia"/>
                <w:color w:val="auto"/>
                <w:kern w:val="0"/>
                <w:szCs w:val="21"/>
                <w:highlight w:val="none"/>
              </w:rPr>
              <w:t>SDK、 RS485 协议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0" w:hRule="atLeast"/>
        </w:trPr>
        <w:tc>
          <w:tcPr>
            <w:tcW w:w="484" w:type="pct"/>
            <w:shd w:val="clear" w:color="auto" w:fill="auto"/>
            <w:vAlign w:val="center"/>
          </w:tcPr>
          <w:p>
            <w:pPr>
              <w:spacing w:after="0" w:line="360" w:lineRule="auto"/>
              <w:ind w:right="0"/>
              <w:jc w:val="center"/>
              <w:rPr>
                <w:color w:val="auto"/>
                <w:kern w:val="0"/>
                <w:szCs w:val="21"/>
                <w:highlight w:val="none"/>
              </w:rPr>
            </w:pPr>
            <w:r>
              <w:rPr>
                <w:rFonts w:hint="eastAsia"/>
                <w:color w:val="auto"/>
                <w:kern w:val="0"/>
                <w:szCs w:val="21"/>
                <w:highlight w:val="none"/>
              </w:rPr>
              <w:t>12</w:t>
            </w:r>
          </w:p>
        </w:tc>
        <w:tc>
          <w:tcPr>
            <w:tcW w:w="1259" w:type="pct"/>
            <w:shd w:val="clear" w:color="auto" w:fill="auto"/>
            <w:vAlign w:val="center"/>
          </w:tcPr>
          <w:p>
            <w:pPr>
              <w:spacing w:after="0" w:line="360" w:lineRule="auto"/>
              <w:ind w:right="0"/>
              <w:jc w:val="center"/>
              <w:rPr>
                <w:color w:val="auto"/>
                <w:kern w:val="0"/>
                <w:szCs w:val="21"/>
                <w:highlight w:val="none"/>
              </w:rPr>
            </w:pPr>
            <w:r>
              <w:rPr>
                <w:rFonts w:hint="eastAsia"/>
                <w:color w:val="auto"/>
                <w:kern w:val="0"/>
                <w:szCs w:val="21"/>
                <w:highlight w:val="none"/>
              </w:rPr>
              <w:t>入侵报警系统</w:t>
            </w:r>
          </w:p>
        </w:tc>
        <w:tc>
          <w:tcPr>
            <w:tcW w:w="1968" w:type="pct"/>
            <w:shd w:val="clear" w:color="auto" w:fill="auto"/>
            <w:vAlign w:val="center"/>
          </w:tcPr>
          <w:p>
            <w:pPr>
              <w:spacing w:after="0" w:line="360" w:lineRule="auto"/>
              <w:ind w:right="0"/>
              <w:jc w:val="center"/>
              <w:rPr>
                <w:color w:val="auto"/>
                <w:kern w:val="0"/>
                <w:szCs w:val="21"/>
                <w:highlight w:val="none"/>
              </w:rPr>
            </w:pPr>
            <w:r>
              <w:rPr>
                <w:rFonts w:hint="eastAsia"/>
                <w:color w:val="auto"/>
                <w:kern w:val="0"/>
                <w:szCs w:val="21"/>
                <w:highlight w:val="none"/>
              </w:rPr>
              <w:t>基于 RJ45 的 TCP/IP 或者 UDP/IP 网络接口</w:t>
            </w:r>
          </w:p>
        </w:tc>
        <w:tc>
          <w:tcPr>
            <w:tcW w:w="1288" w:type="pct"/>
            <w:shd w:val="clear" w:color="auto" w:fill="auto"/>
            <w:vAlign w:val="center"/>
          </w:tcPr>
          <w:p>
            <w:pPr>
              <w:spacing w:after="0" w:line="360" w:lineRule="auto"/>
              <w:ind w:right="0"/>
              <w:jc w:val="center"/>
              <w:rPr>
                <w:color w:val="auto"/>
                <w:kern w:val="0"/>
                <w:szCs w:val="21"/>
                <w:highlight w:val="none"/>
              </w:rPr>
            </w:pPr>
            <w:r>
              <w:rPr>
                <w:rFonts w:hint="eastAsia"/>
                <w:color w:val="auto"/>
                <w:kern w:val="0"/>
                <w:szCs w:val="21"/>
                <w:highlight w:val="none"/>
              </w:rPr>
              <w:t>OPC、 SDK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0" w:hRule="atLeast"/>
        </w:trPr>
        <w:tc>
          <w:tcPr>
            <w:tcW w:w="484" w:type="pct"/>
            <w:shd w:val="clear" w:color="auto" w:fill="auto"/>
            <w:vAlign w:val="center"/>
          </w:tcPr>
          <w:p>
            <w:pPr>
              <w:spacing w:after="0" w:line="360" w:lineRule="auto"/>
              <w:ind w:right="0"/>
              <w:jc w:val="center"/>
              <w:rPr>
                <w:color w:val="auto"/>
                <w:kern w:val="0"/>
                <w:szCs w:val="21"/>
                <w:highlight w:val="none"/>
              </w:rPr>
            </w:pPr>
            <w:r>
              <w:rPr>
                <w:rFonts w:hint="eastAsia"/>
                <w:color w:val="auto"/>
                <w:kern w:val="0"/>
                <w:szCs w:val="21"/>
                <w:highlight w:val="none"/>
              </w:rPr>
              <w:t>13</w:t>
            </w:r>
          </w:p>
        </w:tc>
        <w:tc>
          <w:tcPr>
            <w:tcW w:w="1259" w:type="pct"/>
            <w:shd w:val="clear" w:color="auto" w:fill="auto"/>
            <w:vAlign w:val="center"/>
          </w:tcPr>
          <w:p>
            <w:pPr>
              <w:spacing w:after="0" w:line="360" w:lineRule="auto"/>
              <w:ind w:right="0"/>
              <w:jc w:val="center"/>
              <w:rPr>
                <w:color w:val="auto"/>
                <w:kern w:val="0"/>
                <w:szCs w:val="21"/>
                <w:highlight w:val="none"/>
              </w:rPr>
            </w:pPr>
            <w:r>
              <w:rPr>
                <w:rFonts w:hint="eastAsia"/>
                <w:color w:val="auto"/>
                <w:kern w:val="0"/>
                <w:szCs w:val="21"/>
                <w:highlight w:val="none"/>
              </w:rPr>
              <w:t>停车场管理系统</w:t>
            </w:r>
          </w:p>
        </w:tc>
        <w:tc>
          <w:tcPr>
            <w:tcW w:w="1968" w:type="pct"/>
            <w:shd w:val="clear" w:color="auto" w:fill="auto"/>
            <w:vAlign w:val="center"/>
          </w:tcPr>
          <w:p>
            <w:pPr>
              <w:spacing w:after="0" w:line="360" w:lineRule="auto"/>
              <w:ind w:right="0"/>
              <w:jc w:val="center"/>
              <w:rPr>
                <w:color w:val="auto"/>
                <w:kern w:val="0"/>
                <w:szCs w:val="21"/>
                <w:highlight w:val="none"/>
              </w:rPr>
            </w:pPr>
            <w:r>
              <w:rPr>
                <w:rFonts w:hint="eastAsia"/>
                <w:color w:val="auto"/>
                <w:kern w:val="0"/>
                <w:szCs w:val="21"/>
                <w:highlight w:val="none"/>
              </w:rPr>
              <w:t>基于 RJ45 的 TCP/IP 网络接口</w:t>
            </w:r>
          </w:p>
        </w:tc>
        <w:tc>
          <w:tcPr>
            <w:tcW w:w="1288" w:type="pct"/>
            <w:shd w:val="clear" w:color="auto" w:fill="auto"/>
            <w:vAlign w:val="center"/>
          </w:tcPr>
          <w:p>
            <w:pPr>
              <w:spacing w:after="0" w:line="360" w:lineRule="auto"/>
              <w:ind w:right="0"/>
              <w:jc w:val="center"/>
              <w:rPr>
                <w:color w:val="auto"/>
                <w:kern w:val="0"/>
                <w:szCs w:val="21"/>
                <w:highlight w:val="none"/>
              </w:rPr>
            </w:pPr>
            <w:r>
              <w:rPr>
                <w:rFonts w:hint="eastAsia"/>
                <w:color w:val="auto"/>
                <w:kern w:val="0"/>
                <w:szCs w:val="21"/>
                <w:highlight w:val="none"/>
              </w:rPr>
              <w:t>OPC、 SDK、ODBC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0" w:hRule="atLeast"/>
        </w:trPr>
        <w:tc>
          <w:tcPr>
            <w:tcW w:w="484" w:type="pct"/>
            <w:shd w:val="clear" w:color="auto" w:fill="auto"/>
            <w:vAlign w:val="center"/>
          </w:tcPr>
          <w:p>
            <w:pPr>
              <w:spacing w:after="0" w:line="360" w:lineRule="auto"/>
              <w:ind w:right="0"/>
              <w:jc w:val="center"/>
              <w:rPr>
                <w:color w:val="auto"/>
                <w:kern w:val="0"/>
                <w:szCs w:val="21"/>
                <w:highlight w:val="none"/>
              </w:rPr>
            </w:pPr>
            <w:r>
              <w:rPr>
                <w:rFonts w:hint="eastAsia"/>
                <w:color w:val="auto"/>
                <w:kern w:val="0"/>
                <w:szCs w:val="21"/>
                <w:highlight w:val="none"/>
              </w:rPr>
              <w:t>14</w:t>
            </w:r>
          </w:p>
        </w:tc>
        <w:tc>
          <w:tcPr>
            <w:tcW w:w="1259" w:type="pct"/>
            <w:shd w:val="clear" w:color="auto" w:fill="auto"/>
            <w:vAlign w:val="center"/>
          </w:tcPr>
          <w:p>
            <w:pPr>
              <w:spacing w:after="0" w:line="360" w:lineRule="auto"/>
              <w:ind w:right="0"/>
              <w:jc w:val="center"/>
              <w:rPr>
                <w:color w:val="auto"/>
                <w:kern w:val="0"/>
                <w:szCs w:val="21"/>
                <w:highlight w:val="none"/>
              </w:rPr>
            </w:pPr>
            <w:r>
              <w:rPr>
                <w:rFonts w:hint="eastAsia"/>
                <w:color w:val="auto"/>
                <w:kern w:val="0"/>
                <w:szCs w:val="21"/>
                <w:highlight w:val="none"/>
              </w:rPr>
              <w:t>能源管理系统</w:t>
            </w:r>
          </w:p>
        </w:tc>
        <w:tc>
          <w:tcPr>
            <w:tcW w:w="1968" w:type="pct"/>
            <w:shd w:val="clear" w:color="auto" w:fill="auto"/>
            <w:vAlign w:val="center"/>
          </w:tcPr>
          <w:p>
            <w:pPr>
              <w:spacing w:after="0" w:line="360" w:lineRule="auto"/>
              <w:ind w:right="0"/>
              <w:jc w:val="center"/>
              <w:rPr>
                <w:color w:val="auto"/>
                <w:kern w:val="0"/>
                <w:szCs w:val="21"/>
                <w:highlight w:val="none"/>
              </w:rPr>
            </w:pPr>
            <w:r>
              <w:rPr>
                <w:rFonts w:hint="eastAsia"/>
                <w:color w:val="auto"/>
                <w:kern w:val="0"/>
                <w:szCs w:val="21"/>
                <w:highlight w:val="none"/>
              </w:rPr>
              <w:t>基于 RJ45 的 TCP/IP 网络接口</w:t>
            </w:r>
          </w:p>
        </w:tc>
        <w:tc>
          <w:tcPr>
            <w:tcW w:w="1288" w:type="pct"/>
            <w:shd w:val="clear" w:color="auto" w:fill="auto"/>
            <w:vAlign w:val="center"/>
          </w:tcPr>
          <w:p>
            <w:pPr>
              <w:spacing w:after="0" w:line="360" w:lineRule="auto"/>
              <w:ind w:right="0"/>
              <w:jc w:val="center"/>
              <w:rPr>
                <w:color w:val="auto"/>
                <w:kern w:val="0"/>
                <w:szCs w:val="21"/>
                <w:highlight w:val="none"/>
              </w:rPr>
            </w:pPr>
            <w:r>
              <w:rPr>
                <w:rFonts w:hint="eastAsia"/>
                <w:color w:val="auto"/>
                <w:kern w:val="0"/>
                <w:szCs w:val="21"/>
                <w:highlight w:val="none"/>
              </w:rPr>
              <w:t>OPC、webservice</w:t>
            </w:r>
          </w:p>
        </w:tc>
      </w:tr>
    </w:tbl>
    <w:p>
      <w:pPr>
        <w:pStyle w:val="3"/>
        <w:tabs>
          <w:tab w:val="left" w:pos="0"/>
        </w:tabs>
        <w:spacing w:before="0" w:after="0" w:line="360" w:lineRule="auto"/>
        <w:ind w:left="0" w:firstLine="0"/>
        <w:rPr>
          <w:rFonts w:ascii="宋体" w:hAnsi="宋体" w:eastAsia="宋体" w:cs="宋体"/>
          <w:color w:val="auto"/>
          <w:kern w:val="32"/>
          <w:sz w:val="28"/>
          <w:szCs w:val="28"/>
          <w:highlight w:val="none"/>
          <w:lang w:val="zh-CN"/>
        </w:rPr>
      </w:pPr>
      <w:bookmarkStart w:id="230" w:name="_Toc5200863"/>
      <w:r>
        <w:rPr>
          <w:rFonts w:hint="eastAsia" w:ascii="宋体" w:hAnsi="宋体" w:eastAsia="宋体" w:cs="宋体"/>
          <w:color w:val="auto"/>
          <w:kern w:val="32"/>
          <w:sz w:val="28"/>
          <w:szCs w:val="28"/>
          <w:highlight w:val="none"/>
          <w:lang w:val="zh-CN"/>
        </w:rPr>
        <w:t>1</w:t>
      </w:r>
      <w:r>
        <w:rPr>
          <w:rFonts w:ascii="宋体" w:hAnsi="宋体" w:eastAsia="宋体" w:cs="宋体"/>
          <w:color w:val="auto"/>
          <w:kern w:val="32"/>
          <w:sz w:val="28"/>
          <w:szCs w:val="28"/>
          <w:highlight w:val="none"/>
          <w:lang w:val="zh-CN"/>
        </w:rPr>
        <w:t>.2</w:t>
      </w:r>
      <w:r>
        <w:rPr>
          <w:rFonts w:hint="eastAsia" w:ascii="宋体" w:hAnsi="宋体" w:eastAsia="宋体" w:cs="宋体"/>
          <w:color w:val="auto"/>
          <w:kern w:val="32"/>
          <w:sz w:val="28"/>
          <w:szCs w:val="28"/>
          <w:highlight w:val="none"/>
          <w:lang w:val="zh-CN"/>
        </w:rPr>
        <w:t>第三方对接要求</w:t>
      </w:r>
      <w:bookmarkEnd w:id="230"/>
    </w:p>
    <w:p>
      <w:pPr>
        <w:pStyle w:val="4"/>
        <w:spacing w:before="0" w:after="0" w:line="360" w:lineRule="auto"/>
        <w:ind w:left="0" w:firstLine="0"/>
        <w:rPr>
          <w:color w:val="auto"/>
          <w:sz w:val="24"/>
          <w:szCs w:val="24"/>
          <w:highlight w:val="none"/>
        </w:rPr>
      </w:pPr>
      <w:bookmarkStart w:id="231" w:name="_Toc5200864"/>
      <w:r>
        <w:rPr>
          <w:rFonts w:hint="eastAsia"/>
          <w:color w:val="auto"/>
          <w:sz w:val="24"/>
          <w:szCs w:val="24"/>
          <w:highlight w:val="none"/>
        </w:rPr>
        <w:t>1</w:t>
      </w:r>
      <w:r>
        <w:rPr>
          <w:color w:val="auto"/>
          <w:sz w:val="24"/>
          <w:szCs w:val="24"/>
          <w:highlight w:val="none"/>
        </w:rPr>
        <w:t>.2.1</w:t>
      </w:r>
      <w:r>
        <w:rPr>
          <w:rFonts w:hint="eastAsia"/>
          <w:color w:val="auto"/>
          <w:sz w:val="24"/>
          <w:szCs w:val="24"/>
          <w:highlight w:val="none"/>
        </w:rPr>
        <w:t>接口方式</w:t>
      </w:r>
      <w:bookmarkEnd w:id="231"/>
    </w:p>
    <w:p>
      <w:pPr>
        <w:spacing w:after="0" w:line="360" w:lineRule="auto"/>
        <w:ind w:left="-142" w:leftChars="-59" w:right="39" w:firstLine="480" w:firstLineChars="200"/>
        <w:rPr>
          <w:rFonts w:cs="Arial Unicode MS"/>
          <w:color w:val="auto"/>
          <w:kern w:val="0"/>
          <w:highlight w:val="none"/>
          <w:lang w:val="zh-CN"/>
        </w:rPr>
      </w:pPr>
      <w:r>
        <w:rPr>
          <w:rFonts w:hint="eastAsia" w:cs="Arial Unicode MS"/>
          <w:color w:val="auto"/>
          <w:kern w:val="0"/>
          <w:highlight w:val="none"/>
          <w:lang w:val="zh-CN"/>
        </w:rPr>
        <w:t>为了达到预期的集成效果所有子系统均对外提供开放接口，接口形式要求如下：</w:t>
      </w:r>
    </w:p>
    <w:p>
      <w:pPr>
        <w:spacing w:after="0" w:line="360" w:lineRule="auto"/>
        <w:ind w:left="-142" w:leftChars="-59" w:right="39" w:firstLine="480" w:firstLineChars="200"/>
        <w:rPr>
          <w:rFonts w:cs="Arial Unicode MS"/>
          <w:color w:val="auto"/>
          <w:kern w:val="0"/>
          <w:highlight w:val="none"/>
          <w:lang w:val="zh-CN"/>
        </w:rPr>
      </w:pPr>
      <w:r>
        <w:rPr>
          <w:rFonts w:hint="eastAsia" w:cs="Arial Unicode MS"/>
          <w:color w:val="auto"/>
          <w:kern w:val="0"/>
          <w:highlight w:val="none"/>
          <w:lang w:val="zh-CN"/>
        </w:rPr>
        <w:t>智能化子系统提供符合OPC DA标准(OPC Data Access standard)的OPC 服务程序（OPC Server），并提供该OPC Server的配置使用说明书，配合集成调试工作。</w:t>
      </w:r>
    </w:p>
    <w:p>
      <w:pPr>
        <w:spacing w:after="0" w:line="360" w:lineRule="auto"/>
        <w:ind w:left="-142" w:leftChars="-59" w:right="39" w:firstLine="480" w:firstLineChars="200"/>
        <w:rPr>
          <w:rFonts w:cs="Arial Unicode MS"/>
          <w:color w:val="auto"/>
          <w:kern w:val="0"/>
          <w:highlight w:val="none"/>
          <w:lang w:val="zh-CN"/>
        </w:rPr>
      </w:pPr>
      <w:r>
        <w:rPr>
          <w:rFonts w:hint="eastAsia" w:cs="Arial Unicode MS"/>
          <w:color w:val="auto"/>
          <w:kern w:val="0"/>
          <w:highlight w:val="none"/>
          <w:lang w:val="zh-CN"/>
        </w:rPr>
        <w:t>不能提供OPC服务程序的子系统,具体有如下要求:</w:t>
      </w:r>
    </w:p>
    <w:p>
      <w:pPr>
        <w:spacing w:after="0" w:line="360" w:lineRule="auto"/>
        <w:ind w:left="-142" w:leftChars="-59" w:right="39" w:firstLine="480" w:firstLineChars="200"/>
        <w:rPr>
          <w:rFonts w:cs="Arial Unicode MS"/>
          <w:color w:val="auto"/>
          <w:kern w:val="0"/>
          <w:highlight w:val="none"/>
          <w:lang w:val="zh-CN"/>
        </w:rPr>
      </w:pPr>
      <w:r>
        <w:rPr>
          <w:rFonts w:hint="eastAsia" w:cs="Arial Unicode MS"/>
          <w:color w:val="auto"/>
          <w:kern w:val="0"/>
          <w:highlight w:val="none"/>
          <w:lang w:val="zh-CN"/>
        </w:rPr>
        <w:t>设备制造商应提供集成子系统与设备之间进行数字通讯的物理接口标准和接口通讯协议。物理接口标准规定使用何种通讯介质、链路层的接口标准，如RS232、RS485、以太网等；接口通讯协议规定通讯双方约定的命令及数据响应格式、数据校验方式等。</w:t>
      </w:r>
    </w:p>
    <w:p>
      <w:pPr>
        <w:spacing w:after="0" w:line="360" w:lineRule="auto"/>
        <w:ind w:left="-142" w:leftChars="-59" w:right="39" w:firstLine="480" w:firstLineChars="200"/>
        <w:rPr>
          <w:rFonts w:cs="Arial Unicode MS"/>
          <w:color w:val="auto"/>
          <w:kern w:val="0"/>
          <w:highlight w:val="none"/>
          <w:lang w:val="zh-CN"/>
        </w:rPr>
      </w:pPr>
      <w:r>
        <w:rPr>
          <w:rFonts w:hint="eastAsia" w:cs="Arial Unicode MS"/>
          <w:color w:val="auto"/>
          <w:kern w:val="0"/>
          <w:highlight w:val="none"/>
          <w:lang w:val="zh-CN"/>
        </w:rPr>
        <w:t>常用的通讯形式和协议，例如RS232、RS485、Moudbus等。</w:t>
      </w:r>
    </w:p>
    <w:p>
      <w:pPr>
        <w:pStyle w:val="4"/>
        <w:spacing w:before="0" w:after="0" w:line="360" w:lineRule="auto"/>
        <w:ind w:left="0" w:firstLine="0"/>
        <w:rPr>
          <w:color w:val="auto"/>
          <w:sz w:val="24"/>
          <w:szCs w:val="24"/>
          <w:highlight w:val="none"/>
        </w:rPr>
      </w:pPr>
      <w:bookmarkStart w:id="232" w:name="_Toc5200865"/>
      <w:r>
        <w:rPr>
          <w:rFonts w:hint="eastAsia"/>
          <w:color w:val="auto"/>
          <w:sz w:val="24"/>
          <w:szCs w:val="24"/>
          <w:highlight w:val="none"/>
        </w:rPr>
        <w:t>1</w:t>
      </w:r>
      <w:r>
        <w:rPr>
          <w:color w:val="auto"/>
          <w:sz w:val="24"/>
          <w:szCs w:val="24"/>
          <w:highlight w:val="none"/>
        </w:rPr>
        <w:t>.2.2</w:t>
      </w:r>
      <w:r>
        <w:rPr>
          <w:rFonts w:hint="eastAsia"/>
          <w:color w:val="auto"/>
          <w:sz w:val="24"/>
          <w:szCs w:val="24"/>
          <w:highlight w:val="none"/>
        </w:rPr>
        <w:t>接口形式详述</w:t>
      </w:r>
      <w:bookmarkEnd w:id="232"/>
    </w:p>
    <w:p>
      <w:pPr>
        <w:spacing w:after="0" w:line="360" w:lineRule="auto"/>
        <w:ind w:left="-142" w:leftChars="-59" w:right="39" w:firstLine="480" w:firstLineChars="200"/>
        <w:rPr>
          <w:rFonts w:cs="Arial Unicode MS"/>
          <w:color w:val="auto"/>
          <w:kern w:val="0"/>
          <w:highlight w:val="none"/>
          <w:lang w:val="zh-CN"/>
        </w:rPr>
      </w:pPr>
      <w:r>
        <w:rPr>
          <w:rFonts w:hint="eastAsia" w:cs="Arial Unicode MS"/>
          <w:color w:val="auto"/>
          <w:kern w:val="0"/>
          <w:highlight w:val="none"/>
          <w:lang w:val="zh-CN"/>
        </w:rPr>
        <w:t>协议由子系统提供给平台厂商，用来开发OPC标准接口，实现对子系统运行的监测、控制（有些不需要控制）等。目前接口协议</w:t>
      </w:r>
    </w:p>
    <w:p>
      <w:pPr>
        <w:spacing w:after="0" w:line="360" w:lineRule="auto"/>
        <w:ind w:left="-142" w:leftChars="-59" w:right="39" w:firstLine="480" w:firstLineChars="200"/>
        <w:rPr>
          <w:rFonts w:cs="Arial Unicode MS"/>
          <w:color w:val="auto"/>
          <w:kern w:val="0"/>
          <w:highlight w:val="none"/>
          <w:lang w:val="zh-CN"/>
        </w:rPr>
      </w:pPr>
      <w:r>
        <w:rPr>
          <w:rFonts w:hint="eastAsia" w:cs="Arial Unicode MS"/>
          <w:color w:val="auto"/>
          <w:kern w:val="0"/>
          <w:highlight w:val="none"/>
          <w:lang w:val="zh-CN"/>
        </w:rPr>
        <w:t>主要有以下几种形式。</w:t>
      </w:r>
      <w:bookmarkStart w:id="233" w:name="_Toc29034"/>
    </w:p>
    <w:p>
      <w:pPr>
        <w:spacing w:after="0" w:line="360" w:lineRule="auto"/>
        <w:ind w:left="-142" w:leftChars="-59" w:right="39" w:firstLine="480" w:firstLineChars="200"/>
        <w:rPr>
          <w:rFonts w:cs="Arial Unicode MS"/>
          <w:color w:val="auto"/>
          <w:kern w:val="0"/>
          <w:highlight w:val="none"/>
          <w:lang w:val="zh-CN"/>
        </w:rPr>
      </w:pPr>
      <w:r>
        <w:rPr>
          <w:rFonts w:hint="eastAsia" w:cs="Arial Unicode MS"/>
          <w:color w:val="auto"/>
          <w:kern w:val="0"/>
          <w:highlight w:val="none"/>
          <w:lang w:val="zh-CN"/>
        </w:rPr>
        <w:t>1.OPC 服务程序（OPC Server）</w:t>
      </w:r>
      <w:bookmarkEnd w:id="233"/>
    </w:p>
    <w:p>
      <w:pPr>
        <w:spacing w:after="0" w:line="360" w:lineRule="auto"/>
        <w:ind w:left="-142" w:leftChars="-59" w:right="39" w:firstLine="480" w:firstLineChars="200"/>
        <w:rPr>
          <w:rFonts w:cs="Arial Unicode MS"/>
          <w:color w:val="auto"/>
          <w:kern w:val="0"/>
          <w:highlight w:val="none"/>
          <w:lang w:val="zh-CN"/>
        </w:rPr>
      </w:pPr>
      <w:r>
        <w:rPr>
          <w:rFonts w:hint="eastAsia" w:cs="Arial Unicode MS"/>
          <w:color w:val="auto"/>
          <w:kern w:val="0"/>
          <w:highlight w:val="none"/>
          <w:lang w:val="zh-CN"/>
        </w:rPr>
        <w:t>系统提供符合OPC DA标准(OPC Data Access standard)和OPC AE标准(OPC Alarm &amp; Event standard)的第三方OPC 服务程序（OPC Server）。</w:t>
      </w:r>
    </w:p>
    <w:p>
      <w:pPr>
        <w:spacing w:after="0" w:line="360" w:lineRule="auto"/>
        <w:ind w:left="-142" w:leftChars="-59" w:right="39" w:firstLine="480" w:firstLineChars="200"/>
        <w:rPr>
          <w:rFonts w:cs="Arial Unicode MS"/>
          <w:color w:val="auto"/>
          <w:kern w:val="0"/>
          <w:highlight w:val="none"/>
          <w:lang w:val="zh-CN"/>
        </w:rPr>
      </w:pPr>
      <w:bookmarkStart w:id="234" w:name="_Toc16257"/>
      <w:r>
        <w:rPr>
          <w:rFonts w:hint="eastAsia" w:cs="Arial Unicode MS"/>
          <w:color w:val="auto"/>
          <w:kern w:val="0"/>
          <w:highlight w:val="none"/>
          <w:lang w:val="zh-CN"/>
        </w:rPr>
        <w:t>2.RS232、RS485</w:t>
      </w:r>
      <w:bookmarkEnd w:id="234"/>
    </w:p>
    <w:p>
      <w:pPr>
        <w:spacing w:after="0" w:line="360" w:lineRule="auto"/>
        <w:ind w:left="-142" w:leftChars="-59" w:right="39" w:firstLine="480" w:firstLineChars="200"/>
        <w:rPr>
          <w:rFonts w:cs="Arial Unicode MS"/>
          <w:color w:val="auto"/>
          <w:kern w:val="0"/>
          <w:highlight w:val="none"/>
          <w:lang w:val="zh-CN"/>
        </w:rPr>
      </w:pPr>
      <w:r>
        <w:rPr>
          <w:rFonts w:hint="eastAsia" w:cs="Arial Unicode MS"/>
          <w:color w:val="auto"/>
          <w:kern w:val="0"/>
          <w:highlight w:val="none"/>
          <w:lang w:val="zh-CN"/>
        </w:rPr>
        <w:t>如果欲接入的子系统提供的是数字通讯的物理接口（串口）。子系统需要提供综合监控系统与设备之间进行数字通讯的物理接口标准和接口协议。</w:t>
      </w:r>
    </w:p>
    <w:p>
      <w:pPr>
        <w:spacing w:after="0" w:line="360" w:lineRule="auto"/>
        <w:ind w:left="-142" w:leftChars="-59" w:right="39" w:firstLine="480" w:firstLineChars="200"/>
        <w:rPr>
          <w:rFonts w:cs="Arial Unicode MS"/>
          <w:color w:val="auto"/>
          <w:kern w:val="0"/>
          <w:highlight w:val="none"/>
          <w:lang w:val="zh-CN"/>
        </w:rPr>
      </w:pPr>
      <w:r>
        <w:rPr>
          <w:rFonts w:hint="eastAsia" w:cs="Arial Unicode MS"/>
          <w:color w:val="auto"/>
          <w:kern w:val="0"/>
          <w:highlight w:val="none"/>
          <w:lang w:val="zh-CN"/>
        </w:rPr>
        <w:t>物理接口标准规定使用何种通讯介质、链路层的接口标准，如RS232、RS485；</w:t>
      </w:r>
    </w:p>
    <w:p>
      <w:pPr>
        <w:spacing w:after="0" w:line="360" w:lineRule="auto"/>
        <w:ind w:left="-142" w:leftChars="-59" w:right="39" w:firstLine="480" w:firstLineChars="200"/>
        <w:rPr>
          <w:rFonts w:cs="Arial Unicode MS"/>
          <w:color w:val="auto"/>
          <w:kern w:val="0"/>
          <w:highlight w:val="none"/>
          <w:lang w:val="zh-CN"/>
        </w:rPr>
      </w:pPr>
      <w:r>
        <w:rPr>
          <w:rFonts w:hint="eastAsia" w:cs="Arial Unicode MS"/>
          <w:color w:val="auto"/>
          <w:kern w:val="0"/>
          <w:highlight w:val="none"/>
          <w:lang w:val="zh-CN"/>
        </w:rPr>
        <w:t>接口协议规定通讯双方约定的命令及数据响应格式、数据校验方式等。具体包括通讯参数波特率、奇偶校验、数据位、握手协议和传送格式(16进制或ASCII码)。对传送格式要求进行详细说明，包括数据头、数据尾，特别详细说明数据内容包含的意义，并举例。</w:t>
      </w:r>
    </w:p>
    <w:p>
      <w:pPr>
        <w:spacing w:after="0" w:line="360" w:lineRule="auto"/>
        <w:ind w:left="-142" w:leftChars="-59" w:right="39" w:firstLine="480" w:firstLineChars="200"/>
        <w:rPr>
          <w:rFonts w:cs="Arial Unicode MS"/>
          <w:color w:val="auto"/>
          <w:kern w:val="0"/>
          <w:highlight w:val="none"/>
          <w:lang w:val="zh-CN"/>
        </w:rPr>
      </w:pPr>
      <w:r>
        <w:rPr>
          <w:rFonts w:hint="eastAsia" w:cs="Arial Unicode MS"/>
          <w:color w:val="auto"/>
          <w:kern w:val="0"/>
          <w:highlight w:val="none"/>
          <w:lang w:val="zh-CN"/>
        </w:rPr>
        <w:t>例如：</w:t>
      </w:r>
    </w:p>
    <w:p>
      <w:pPr>
        <w:spacing w:after="0" w:line="360" w:lineRule="auto"/>
        <w:ind w:left="-142" w:leftChars="-59" w:right="39" w:firstLine="480" w:firstLineChars="200"/>
        <w:rPr>
          <w:rFonts w:cs="Arial Unicode MS"/>
          <w:color w:val="auto"/>
          <w:kern w:val="0"/>
          <w:highlight w:val="none"/>
          <w:lang w:val="zh-CN"/>
        </w:rPr>
      </w:pPr>
      <w:r>
        <w:rPr>
          <w:rFonts w:hint="eastAsia" w:cs="Arial Unicode MS"/>
          <w:color w:val="auto"/>
          <w:kern w:val="0"/>
          <w:highlight w:val="none"/>
          <w:lang w:val="zh-CN"/>
        </w:rPr>
        <w:t>1.接口：RS232</w:t>
      </w:r>
    </w:p>
    <w:p>
      <w:pPr>
        <w:spacing w:after="0" w:line="360" w:lineRule="auto"/>
        <w:ind w:left="-142" w:leftChars="-59" w:right="39" w:firstLine="480" w:firstLineChars="200"/>
        <w:rPr>
          <w:rFonts w:cs="Arial Unicode MS"/>
          <w:color w:val="auto"/>
          <w:kern w:val="0"/>
          <w:highlight w:val="none"/>
          <w:lang w:val="zh-CN"/>
        </w:rPr>
      </w:pPr>
      <w:r>
        <w:rPr>
          <w:rFonts w:hint="eastAsia" w:cs="Arial Unicode MS"/>
          <w:color w:val="auto"/>
          <w:kern w:val="0"/>
          <w:highlight w:val="none"/>
          <w:lang w:val="zh-CN"/>
        </w:rPr>
        <w:t>2.波特率：19200</w:t>
      </w:r>
    </w:p>
    <w:p>
      <w:pPr>
        <w:spacing w:after="0" w:line="360" w:lineRule="auto"/>
        <w:ind w:left="-142" w:leftChars="-59" w:right="39" w:firstLine="480" w:firstLineChars="200"/>
        <w:rPr>
          <w:rFonts w:cs="Arial Unicode MS"/>
          <w:color w:val="auto"/>
          <w:kern w:val="0"/>
          <w:highlight w:val="none"/>
          <w:lang w:val="zh-CN"/>
        </w:rPr>
      </w:pPr>
      <w:r>
        <w:rPr>
          <w:rFonts w:hint="eastAsia" w:cs="Arial Unicode MS"/>
          <w:color w:val="auto"/>
          <w:kern w:val="0"/>
          <w:highlight w:val="none"/>
          <w:lang w:val="zh-CN"/>
        </w:rPr>
        <w:t>3.奇偶校验：无</w:t>
      </w:r>
    </w:p>
    <w:p>
      <w:pPr>
        <w:spacing w:after="0" w:line="360" w:lineRule="auto"/>
        <w:ind w:left="-142" w:leftChars="-59" w:right="39" w:firstLine="480" w:firstLineChars="200"/>
        <w:rPr>
          <w:rFonts w:cs="Arial Unicode MS"/>
          <w:color w:val="auto"/>
          <w:kern w:val="0"/>
          <w:highlight w:val="none"/>
          <w:lang w:val="zh-CN"/>
        </w:rPr>
      </w:pPr>
      <w:r>
        <w:rPr>
          <w:rFonts w:hint="eastAsia" w:cs="Arial Unicode MS"/>
          <w:color w:val="auto"/>
          <w:kern w:val="0"/>
          <w:highlight w:val="none"/>
          <w:lang w:val="zh-CN"/>
        </w:rPr>
        <w:t>4.数据位：8位握手协议：无</w:t>
      </w:r>
    </w:p>
    <w:p>
      <w:pPr>
        <w:spacing w:after="0" w:line="360" w:lineRule="auto"/>
        <w:ind w:left="-142" w:leftChars="-59" w:right="39" w:firstLine="480" w:firstLineChars="200"/>
        <w:rPr>
          <w:rFonts w:cs="Arial Unicode MS"/>
          <w:color w:val="auto"/>
          <w:kern w:val="0"/>
          <w:highlight w:val="none"/>
          <w:lang w:val="zh-CN"/>
        </w:rPr>
      </w:pPr>
      <w:r>
        <w:rPr>
          <w:rFonts w:hint="eastAsia" w:cs="Arial Unicode MS"/>
          <w:color w:val="auto"/>
          <w:kern w:val="0"/>
          <w:highlight w:val="none"/>
          <w:lang w:val="zh-CN"/>
        </w:rPr>
        <w:t>5.传送格式(16进制)：0F 00  0X 0X 0X  0X 0X 0X 0X  0X 0X  0F 0E 00</w:t>
      </w:r>
    </w:p>
    <w:p>
      <w:pPr>
        <w:spacing w:after="0" w:line="360" w:lineRule="auto"/>
        <w:ind w:left="-142" w:leftChars="-59" w:right="39" w:firstLine="480" w:firstLineChars="200"/>
        <w:rPr>
          <w:rFonts w:cs="Arial Unicode MS"/>
          <w:color w:val="auto"/>
          <w:kern w:val="0"/>
          <w:highlight w:val="none"/>
          <w:lang w:val="zh-CN"/>
        </w:rPr>
      </w:pPr>
      <w:r>
        <w:rPr>
          <w:rFonts w:hint="eastAsia" w:cs="Arial Unicode MS"/>
          <w:color w:val="auto"/>
          <w:kern w:val="0"/>
          <w:highlight w:val="none"/>
          <w:lang w:val="zh-CN"/>
        </w:rPr>
        <w:t>起始单元号分机号警情结束。</w:t>
      </w:r>
    </w:p>
    <w:p>
      <w:pPr>
        <w:spacing w:after="0" w:line="360" w:lineRule="auto"/>
        <w:ind w:left="-142" w:leftChars="-59" w:right="39" w:firstLine="480" w:firstLineChars="200"/>
        <w:rPr>
          <w:rFonts w:cs="Arial Unicode MS"/>
          <w:color w:val="auto"/>
          <w:kern w:val="0"/>
          <w:highlight w:val="none"/>
          <w:lang w:val="zh-CN"/>
        </w:rPr>
      </w:pPr>
      <w:bookmarkStart w:id="235" w:name="_Toc4729"/>
      <w:r>
        <w:rPr>
          <w:rFonts w:hint="eastAsia" w:cs="Arial Unicode MS"/>
          <w:color w:val="auto"/>
          <w:kern w:val="0"/>
          <w:highlight w:val="none"/>
          <w:lang w:val="zh-CN"/>
        </w:rPr>
        <w:t>3.以太网（NetDDE、NetApi、TCP/IP）</w:t>
      </w:r>
      <w:bookmarkEnd w:id="235"/>
    </w:p>
    <w:p>
      <w:pPr>
        <w:spacing w:after="0" w:line="360" w:lineRule="auto"/>
        <w:ind w:left="-142" w:leftChars="-59" w:right="39" w:firstLine="480" w:firstLineChars="200"/>
        <w:rPr>
          <w:rFonts w:cs="Arial Unicode MS"/>
          <w:color w:val="auto"/>
          <w:kern w:val="0"/>
          <w:highlight w:val="none"/>
          <w:lang w:val="zh-CN"/>
        </w:rPr>
      </w:pPr>
      <w:r>
        <w:rPr>
          <w:rFonts w:hint="eastAsia" w:cs="Arial Unicode MS"/>
          <w:color w:val="auto"/>
          <w:kern w:val="0"/>
          <w:highlight w:val="none"/>
          <w:lang w:val="zh-CN"/>
        </w:rPr>
        <w:t>如果欲接入的子系统提供以以太网为介质，子系统需要提供数据通讯方式，通讯设置方法、链路建立和响应的详细资料，数据包的详细准确的解释说明。</w:t>
      </w:r>
    </w:p>
    <w:p>
      <w:pPr>
        <w:spacing w:after="0" w:line="360" w:lineRule="auto"/>
        <w:ind w:left="-142" w:leftChars="-59" w:right="39" w:firstLine="480" w:firstLineChars="200"/>
        <w:rPr>
          <w:rFonts w:cs="Arial Unicode MS"/>
          <w:color w:val="auto"/>
          <w:kern w:val="0"/>
          <w:highlight w:val="none"/>
          <w:lang w:val="zh-CN"/>
        </w:rPr>
      </w:pPr>
      <w:r>
        <w:rPr>
          <w:rFonts w:hint="eastAsia" w:cs="Arial Unicode MS"/>
          <w:color w:val="auto"/>
          <w:kern w:val="0"/>
          <w:highlight w:val="none"/>
          <w:lang w:val="zh-CN"/>
        </w:rPr>
        <w:t>如果欲接入的子系统提供以动态链接库DLL或控件OCX方式实现数据共享和传输，子系统商需要提供函数调用的详细说明。提供开发包使用示例。</w:t>
      </w:r>
    </w:p>
    <w:p>
      <w:pPr>
        <w:pStyle w:val="3"/>
        <w:spacing w:before="0" w:after="0" w:line="360" w:lineRule="auto"/>
        <w:ind w:left="0" w:firstLine="0"/>
        <w:rPr>
          <w:rFonts w:ascii="宋体" w:hAnsi="宋体" w:eastAsia="宋体" w:cs="宋体"/>
          <w:color w:val="auto"/>
          <w:sz w:val="24"/>
          <w:szCs w:val="24"/>
          <w:highlight w:val="none"/>
        </w:rPr>
      </w:pPr>
      <w:bookmarkStart w:id="236" w:name="_Toc20408807"/>
      <w:r>
        <w:rPr>
          <w:rFonts w:hint="eastAsia" w:ascii="宋体" w:hAnsi="宋体" w:eastAsia="宋体" w:cs="宋体"/>
          <w:color w:val="auto"/>
          <w:sz w:val="24"/>
          <w:szCs w:val="24"/>
          <w:highlight w:val="none"/>
        </w:rPr>
        <w:t>1.</w:t>
      </w:r>
      <w:r>
        <w:rPr>
          <w:rFonts w:ascii="宋体" w:hAnsi="宋体" w:eastAsia="宋体" w:cs="宋体"/>
          <w:color w:val="auto"/>
          <w:sz w:val="24"/>
          <w:szCs w:val="24"/>
          <w:highlight w:val="none"/>
        </w:rPr>
        <w:t>3</w:t>
      </w:r>
      <w:r>
        <w:rPr>
          <w:rFonts w:hint="eastAsia" w:ascii="宋体" w:hAnsi="宋体" w:eastAsia="宋体" w:cs="宋体"/>
          <w:color w:val="auto"/>
          <w:sz w:val="24"/>
          <w:szCs w:val="24"/>
          <w:highlight w:val="none"/>
        </w:rPr>
        <w:t>智能化子系统监控参数要求</w:t>
      </w:r>
      <w:bookmarkEnd w:id="236"/>
    </w:p>
    <w:p>
      <w:pPr>
        <w:spacing w:after="0" w:line="360" w:lineRule="auto"/>
        <w:rPr>
          <w:b/>
          <w:bCs/>
          <w:color w:val="auto"/>
          <w:szCs w:val="24"/>
          <w:highlight w:val="none"/>
        </w:rPr>
      </w:pPr>
      <w:bookmarkStart w:id="237" w:name="_Toc6228"/>
      <w:r>
        <w:rPr>
          <w:b/>
          <w:bCs/>
          <w:color w:val="auto"/>
          <w:szCs w:val="24"/>
          <w:highlight w:val="none"/>
        </w:rPr>
        <w:t>★</w:t>
      </w:r>
      <w:r>
        <w:rPr>
          <w:rFonts w:hint="eastAsia"/>
          <w:b/>
          <w:bCs/>
          <w:color w:val="auto"/>
          <w:szCs w:val="24"/>
          <w:highlight w:val="none"/>
        </w:rPr>
        <w:t>以下子系统参数需通过接口提供至后勤智慧运维平台。</w:t>
      </w:r>
      <w:bookmarkEnd w:id="237"/>
    </w:p>
    <w:p>
      <w:pPr>
        <w:pStyle w:val="4"/>
        <w:spacing w:before="0" w:after="0" w:line="360" w:lineRule="auto"/>
        <w:ind w:left="0" w:firstLine="0"/>
        <w:rPr>
          <w:color w:val="auto"/>
          <w:sz w:val="24"/>
          <w:szCs w:val="24"/>
          <w:highlight w:val="none"/>
        </w:rPr>
      </w:pPr>
      <w:bookmarkStart w:id="238" w:name="_Toc22709"/>
      <w:bookmarkStart w:id="239" w:name="_Toc20408808"/>
      <w:r>
        <w:rPr>
          <w:rFonts w:hint="eastAsia"/>
          <w:color w:val="auto"/>
          <w:sz w:val="24"/>
          <w:szCs w:val="24"/>
          <w:highlight w:val="none"/>
        </w:rPr>
        <w:t>1.</w:t>
      </w:r>
      <w:r>
        <w:rPr>
          <w:color w:val="auto"/>
          <w:sz w:val="24"/>
          <w:szCs w:val="24"/>
          <w:highlight w:val="none"/>
        </w:rPr>
        <w:t>3</w:t>
      </w:r>
      <w:r>
        <w:rPr>
          <w:rFonts w:hint="eastAsia"/>
          <w:color w:val="auto"/>
          <w:sz w:val="24"/>
          <w:szCs w:val="24"/>
          <w:highlight w:val="none"/>
        </w:rPr>
        <w:t>.1楼宇自控系统</w:t>
      </w:r>
      <w:bookmarkEnd w:id="238"/>
    </w:p>
    <w:p>
      <w:pPr>
        <w:spacing w:after="0" w:line="360" w:lineRule="auto"/>
        <w:ind w:left="-142" w:leftChars="-59" w:right="39" w:firstLine="480" w:firstLineChars="200"/>
        <w:rPr>
          <w:rFonts w:cs="Arial Unicode MS"/>
          <w:color w:val="auto"/>
          <w:kern w:val="0"/>
          <w:highlight w:val="none"/>
          <w:lang w:val="zh-CN"/>
        </w:rPr>
      </w:pPr>
      <w:r>
        <w:rPr>
          <w:rFonts w:hint="eastAsia" w:cs="Arial Unicode MS"/>
          <w:color w:val="auto"/>
          <w:kern w:val="0"/>
          <w:highlight w:val="none"/>
          <w:lang w:val="zh-CN"/>
        </w:rPr>
        <w:t>楼宇自控系统监控点位及监控内容：</w:t>
      </w:r>
    </w:p>
    <w:tbl>
      <w:tblPr>
        <w:tblStyle w:val="18"/>
        <w:tblW w:w="9155" w:type="dxa"/>
        <w:tblInd w:w="-1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60"/>
        <w:gridCol w:w="4677"/>
        <w:gridCol w:w="1642"/>
        <w:gridCol w:w="12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00" w:hRule="atLeast"/>
        </w:trPr>
        <w:tc>
          <w:tcPr>
            <w:tcW w:w="1560" w:type="dxa"/>
            <w:shd w:val="clear" w:color="auto" w:fill="auto"/>
            <w:vAlign w:val="center"/>
          </w:tcPr>
          <w:p>
            <w:pPr>
              <w:spacing w:after="0" w:line="360" w:lineRule="auto"/>
              <w:ind w:left="0" w:right="0" w:firstLine="0"/>
              <w:jc w:val="center"/>
              <w:rPr>
                <w:b/>
                <w:bCs/>
                <w:color w:val="auto"/>
                <w:kern w:val="0"/>
                <w:szCs w:val="24"/>
                <w:highlight w:val="none"/>
              </w:rPr>
            </w:pPr>
            <w:r>
              <w:rPr>
                <w:rFonts w:hint="eastAsia"/>
                <w:b/>
                <w:bCs/>
                <w:color w:val="auto"/>
                <w:kern w:val="0"/>
                <w:szCs w:val="24"/>
                <w:highlight w:val="none"/>
              </w:rPr>
              <w:t>监控设备</w:t>
            </w:r>
          </w:p>
        </w:tc>
        <w:tc>
          <w:tcPr>
            <w:tcW w:w="4677" w:type="dxa"/>
            <w:shd w:val="clear" w:color="auto" w:fill="auto"/>
            <w:vAlign w:val="center"/>
          </w:tcPr>
          <w:p>
            <w:pPr>
              <w:spacing w:after="0" w:line="360" w:lineRule="auto"/>
              <w:ind w:left="0" w:right="0" w:firstLine="0"/>
              <w:jc w:val="center"/>
              <w:rPr>
                <w:b/>
                <w:bCs/>
                <w:color w:val="auto"/>
                <w:kern w:val="0"/>
                <w:szCs w:val="24"/>
                <w:highlight w:val="none"/>
              </w:rPr>
            </w:pPr>
            <w:r>
              <w:rPr>
                <w:rFonts w:hint="eastAsia"/>
                <w:b/>
                <w:bCs/>
                <w:color w:val="auto"/>
                <w:kern w:val="0"/>
                <w:szCs w:val="24"/>
                <w:highlight w:val="none"/>
              </w:rPr>
              <w:t>监控内容</w:t>
            </w:r>
          </w:p>
        </w:tc>
        <w:tc>
          <w:tcPr>
            <w:tcW w:w="1642" w:type="dxa"/>
            <w:shd w:val="clear" w:color="auto" w:fill="auto"/>
            <w:vAlign w:val="center"/>
          </w:tcPr>
          <w:p>
            <w:pPr>
              <w:spacing w:after="0" w:line="360" w:lineRule="auto"/>
              <w:ind w:left="0" w:right="0" w:firstLine="0"/>
              <w:jc w:val="center"/>
              <w:rPr>
                <w:b/>
                <w:bCs/>
                <w:color w:val="auto"/>
                <w:kern w:val="0"/>
                <w:szCs w:val="24"/>
                <w:highlight w:val="none"/>
              </w:rPr>
            </w:pPr>
            <w:r>
              <w:rPr>
                <w:rFonts w:hint="eastAsia"/>
                <w:b/>
                <w:bCs/>
                <w:color w:val="auto"/>
                <w:kern w:val="0"/>
                <w:szCs w:val="24"/>
                <w:highlight w:val="none"/>
              </w:rPr>
              <w:t>采集方式</w:t>
            </w:r>
          </w:p>
        </w:tc>
        <w:tc>
          <w:tcPr>
            <w:tcW w:w="1276" w:type="dxa"/>
            <w:shd w:val="clear" w:color="auto" w:fill="auto"/>
            <w:vAlign w:val="center"/>
          </w:tcPr>
          <w:p>
            <w:pPr>
              <w:spacing w:after="0" w:line="360" w:lineRule="auto"/>
              <w:ind w:left="0" w:right="0" w:firstLine="0"/>
              <w:jc w:val="center"/>
              <w:rPr>
                <w:b/>
                <w:bCs/>
                <w:color w:val="auto"/>
                <w:kern w:val="0"/>
                <w:szCs w:val="24"/>
                <w:highlight w:val="none"/>
              </w:rPr>
            </w:pPr>
            <w:r>
              <w:rPr>
                <w:rFonts w:hint="eastAsia"/>
                <w:b/>
                <w:bCs/>
                <w:color w:val="auto"/>
                <w:kern w:val="0"/>
                <w:szCs w:val="24"/>
                <w:highlight w:val="none"/>
              </w:rPr>
              <w:t>平台对接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560" w:type="dxa"/>
            <w:vMerge w:val="restart"/>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组合式空调机组</w:t>
            </w:r>
          </w:p>
        </w:tc>
        <w:tc>
          <w:tcPr>
            <w:tcW w:w="4677" w:type="dxa"/>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 xml:space="preserve">1) </w:t>
            </w:r>
            <w:r>
              <w:rPr>
                <w:rFonts w:hint="eastAsia"/>
                <w:b/>
                <w:bCs/>
                <w:color w:val="auto"/>
                <w:kern w:val="0"/>
                <w:szCs w:val="24"/>
                <w:highlight w:val="none"/>
              </w:rPr>
              <w:t>监测参数</w:t>
            </w:r>
          </w:p>
        </w:tc>
        <w:tc>
          <w:tcPr>
            <w:tcW w:w="1642" w:type="dxa"/>
            <w:vMerge w:val="restart"/>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DDC采集、控制，经Bacnet/IP网络控制器上送数据、接收控制令。</w:t>
            </w:r>
          </w:p>
        </w:tc>
        <w:tc>
          <w:tcPr>
            <w:tcW w:w="1276" w:type="dxa"/>
            <w:vMerge w:val="restart"/>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由BA系统上传至医院后勤智慧运维平台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trPr>
        <w:tc>
          <w:tcPr>
            <w:tcW w:w="1560" w:type="dxa"/>
            <w:vMerge w:val="continue"/>
            <w:vAlign w:val="center"/>
          </w:tcPr>
          <w:p>
            <w:pPr>
              <w:spacing w:after="0" w:line="360" w:lineRule="auto"/>
              <w:ind w:left="0" w:right="0" w:firstLine="0"/>
              <w:rPr>
                <w:color w:val="auto"/>
                <w:kern w:val="0"/>
                <w:szCs w:val="24"/>
                <w:highlight w:val="none"/>
              </w:rPr>
            </w:pPr>
          </w:p>
        </w:tc>
        <w:tc>
          <w:tcPr>
            <w:tcW w:w="4677" w:type="dxa"/>
            <w:shd w:val="clear" w:color="auto" w:fill="auto"/>
            <w:vAlign w:val="center"/>
          </w:tcPr>
          <w:p>
            <w:pPr>
              <w:spacing w:after="0" w:line="360" w:lineRule="auto"/>
              <w:ind w:left="0" w:right="-115" w:rightChars="-48" w:firstLine="0"/>
              <w:rPr>
                <w:color w:val="auto"/>
                <w:kern w:val="0"/>
                <w:szCs w:val="24"/>
                <w:highlight w:val="none"/>
              </w:rPr>
            </w:pPr>
            <w:r>
              <w:rPr>
                <w:rFonts w:hint="eastAsia"/>
                <w:color w:val="auto"/>
                <w:kern w:val="0"/>
                <w:szCs w:val="24"/>
                <w:highlight w:val="none"/>
              </w:rPr>
              <w:t>运行状态、故障报警、手/自动模式监测（DI）</w:t>
            </w:r>
          </w:p>
        </w:tc>
        <w:tc>
          <w:tcPr>
            <w:tcW w:w="1642" w:type="dxa"/>
            <w:vMerge w:val="continue"/>
            <w:vAlign w:val="center"/>
          </w:tcPr>
          <w:p>
            <w:pPr>
              <w:spacing w:after="0" w:line="360" w:lineRule="auto"/>
              <w:ind w:left="0" w:right="0" w:firstLine="0"/>
              <w:rPr>
                <w:color w:val="auto"/>
                <w:kern w:val="0"/>
                <w:szCs w:val="24"/>
                <w:highlight w:val="none"/>
              </w:rPr>
            </w:pPr>
          </w:p>
        </w:tc>
        <w:tc>
          <w:tcPr>
            <w:tcW w:w="1276" w:type="dxa"/>
            <w:vMerge w:val="continue"/>
            <w:vAlign w:val="center"/>
          </w:tcPr>
          <w:p>
            <w:pPr>
              <w:spacing w:after="0" w:line="360" w:lineRule="auto"/>
              <w:ind w:left="0" w:right="0" w:firstLine="0"/>
              <w:rPr>
                <w:color w:val="auto"/>
                <w:kern w:val="0"/>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0" w:hRule="atLeast"/>
        </w:trPr>
        <w:tc>
          <w:tcPr>
            <w:tcW w:w="1560" w:type="dxa"/>
            <w:vMerge w:val="continue"/>
            <w:vAlign w:val="center"/>
          </w:tcPr>
          <w:p>
            <w:pPr>
              <w:spacing w:after="0" w:line="360" w:lineRule="auto"/>
              <w:ind w:left="0" w:right="0" w:firstLine="0"/>
              <w:rPr>
                <w:color w:val="auto"/>
                <w:kern w:val="0"/>
                <w:szCs w:val="24"/>
                <w:highlight w:val="none"/>
              </w:rPr>
            </w:pPr>
          </w:p>
        </w:tc>
        <w:tc>
          <w:tcPr>
            <w:tcW w:w="4677" w:type="dxa"/>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送风温度、回风温度、回风湿度、回水温度监测（AI）</w:t>
            </w:r>
          </w:p>
        </w:tc>
        <w:tc>
          <w:tcPr>
            <w:tcW w:w="1642" w:type="dxa"/>
            <w:vMerge w:val="continue"/>
            <w:vAlign w:val="center"/>
          </w:tcPr>
          <w:p>
            <w:pPr>
              <w:spacing w:after="0" w:line="360" w:lineRule="auto"/>
              <w:ind w:left="0" w:right="0" w:firstLine="0"/>
              <w:rPr>
                <w:color w:val="auto"/>
                <w:kern w:val="0"/>
                <w:szCs w:val="24"/>
                <w:highlight w:val="none"/>
              </w:rPr>
            </w:pPr>
          </w:p>
        </w:tc>
        <w:tc>
          <w:tcPr>
            <w:tcW w:w="1276" w:type="dxa"/>
            <w:vMerge w:val="continue"/>
            <w:vAlign w:val="center"/>
          </w:tcPr>
          <w:p>
            <w:pPr>
              <w:spacing w:after="0" w:line="360" w:lineRule="auto"/>
              <w:ind w:left="0" w:right="0" w:firstLine="0"/>
              <w:rPr>
                <w:color w:val="auto"/>
                <w:kern w:val="0"/>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560" w:type="dxa"/>
            <w:vMerge w:val="continue"/>
            <w:vAlign w:val="center"/>
          </w:tcPr>
          <w:p>
            <w:pPr>
              <w:spacing w:after="0" w:line="360" w:lineRule="auto"/>
              <w:ind w:left="0" w:right="0" w:firstLine="0"/>
              <w:rPr>
                <w:color w:val="auto"/>
                <w:kern w:val="0"/>
                <w:szCs w:val="24"/>
                <w:highlight w:val="none"/>
              </w:rPr>
            </w:pPr>
          </w:p>
        </w:tc>
        <w:tc>
          <w:tcPr>
            <w:tcW w:w="4677" w:type="dxa"/>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CO2浓度监测（AI）</w:t>
            </w:r>
          </w:p>
        </w:tc>
        <w:tc>
          <w:tcPr>
            <w:tcW w:w="1642" w:type="dxa"/>
            <w:vMerge w:val="continue"/>
            <w:vAlign w:val="center"/>
          </w:tcPr>
          <w:p>
            <w:pPr>
              <w:spacing w:after="0" w:line="360" w:lineRule="auto"/>
              <w:ind w:left="0" w:right="0" w:firstLine="0"/>
              <w:rPr>
                <w:color w:val="auto"/>
                <w:kern w:val="0"/>
                <w:szCs w:val="24"/>
                <w:highlight w:val="none"/>
              </w:rPr>
            </w:pPr>
          </w:p>
        </w:tc>
        <w:tc>
          <w:tcPr>
            <w:tcW w:w="1276" w:type="dxa"/>
            <w:vMerge w:val="continue"/>
            <w:vAlign w:val="center"/>
          </w:tcPr>
          <w:p>
            <w:pPr>
              <w:spacing w:after="0" w:line="360" w:lineRule="auto"/>
              <w:ind w:left="0" w:right="0" w:firstLine="0"/>
              <w:rPr>
                <w:color w:val="auto"/>
                <w:kern w:val="0"/>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560" w:type="dxa"/>
            <w:vMerge w:val="continue"/>
            <w:vAlign w:val="center"/>
          </w:tcPr>
          <w:p>
            <w:pPr>
              <w:spacing w:after="0" w:line="360" w:lineRule="auto"/>
              <w:ind w:left="0" w:right="0" w:firstLine="0"/>
              <w:rPr>
                <w:color w:val="auto"/>
                <w:kern w:val="0"/>
                <w:szCs w:val="24"/>
                <w:highlight w:val="none"/>
              </w:rPr>
            </w:pPr>
          </w:p>
        </w:tc>
        <w:tc>
          <w:tcPr>
            <w:tcW w:w="4677" w:type="dxa"/>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变频器频率监测（AI）</w:t>
            </w:r>
          </w:p>
        </w:tc>
        <w:tc>
          <w:tcPr>
            <w:tcW w:w="1642" w:type="dxa"/>
            <w:vMerge w:val="continue"/>
            <w:vAlign w:val="center"/>
          </w:tcPr>
          <w:p>
            <w:pPr>
              <w:spacing w:after="0" w:line="360" w:lineRule="auto"/>
              <w:ind w:left="0" w:right="0" w:firstLine="0"/>
              <w:rPr>
                <w:color w:val="auto"/>
                <w:kern w:val="0"/>
                <w:szCs w:val="24"/>
                <w:highlight w:val="none"/>
              </w:rPr>
            </w:pPr>
          </w:p>
        </w:tc>
        <w:tc>
          <w:tcPr>
            <w:tcW w:w="1276" w:type="dxa"/>
            <w:vMerge w:val="continue"/>
            <w:vAlign w:val="center"/>
          </w:tcPr>
          <w:p>
            <w:pPr>
              <w:spacing w:after="0" w:line="360" w:lineRule="auto"/>
              <w:ind w:left="0" w:right="0" w:firstLine="0"/>
              <w:rPr>
                <w:color w:val="auto"/>
                <w:kern w:val="0"/>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560" w:type="dxa"/>
            <w:vMerge w:val="restart"/>
            <w:vAlign w:val="center"/>
          </w:tcPr>
          <w:p>
            <w:pPr>
              <w:spacing w:after="0" w:line="360" w:lineRule="auto"/>
              <w:ind w:left="0" w:right="0" w:firstLine="0"/>
              <w:rPr>
                <w:color w:val="auto"/>
                <w:kern w:val="0"/>
                <w:szCs w:val="24"/>
                <w:highlight w:val="none"/>
              </w:rPr>
            </w:pPr>
          </w:p>
        </w:tc>
        <w:tc>
          <w:tcPr>
            <w:tcW w:w="4677" w:type="dxa"/>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电动调节水阀阀位监测（AI）</w:t>
            </w:r>
          </w:p>
        </w:tc>
        <w:tc>
          <w:tcPr>
            <w:tcW w:w="1642" w:type="dxa"/>
            <w:vMerge w:val="restart"/>
            <w:vAlign w:val="center"/>
          </w:tcPr>
          <w:p>
            <w:pPr>
              <w:spacing w:after="0" w:line="360" w:lineRule="auto"/>
              <w:ind w:left="0" w:right="0" w:firstLine="0"/>
              <w:rPr>
                <w:color w:val="auto"/>
                <w:kern w:val="0"/>
                <w:szCs w:val="24"/>
                <w:highlight w:val="none"/>
              </w:rPr>
            </w:pPr>
          </w:p>
        </w:tc>
        <w:tc>
          <w:tcPr>
            <w:tcW w:w="1276" w:type="dxa"/>
            <w:vMerge w:val="restart"/>
            <w:vAlign w:val="center"/>
          </w:tcPr>
          <w:p>
            <w:pPr>
              <w:spacing w:after="0" w:line="360" w:lineRule="auto"/>
              <w:ind w:left="0" w:right="0" w:firstLine="0"/>
              <w:rPr>
                <w:color w:val="auto"/>
                <w:kern w:val="0"/>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560" w:type="dxa"/>
            <w:vMerge w:val="continue"/>
            <w:vAlign w:val="center"/>
          </w:tcPr>
          <w:p>
            <w:pPr>
              <w:spacing w:after="0" w:line="360" w:lineRule="auto"/>
              <w:ind w:left="0" w:right="0" w:firstLine="0"/>
              <w:rPr>
                <w:color w:val="auto"/>
                <w:kern w:val="0"/>
                <w:szCs w:val="24"/>
                <w:highlight w:val="none"/>
              </w:rPr>
            </w:pPr>
          </w:p>
        </w:tc>
        <w:tc>
          <w:tcPr>
            <w:tcW w:w="4677" w:type="dxa"/>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新风阀、回风阀开度监测（AI）</w:t>
            </w:r>
          </w:p>
        </w:tc>
        <w:tc>
          <w:tcPr>
            <w:tcW w:w="1642" w:type="dxa"/>
            <w:vMerge w:val="continue"/>
            <w:vAlign w:val="center"/>
          </w:tcPr>
          <w:p>
            <w:pPr>
              <w:spacing w:after="0" w:line="360" w:lineRule="auto"/>
              <w:ind w:left="0" w:right="0" w:firstLine="0"/>
              <w:rPr>
                <w:color w:val="auto"/>
                <w:kern w:val="0"/>
                <w:szCs w:val="24"/>
                <w:highlight w:val="none"/>
              </w:rPr>
            </w:pPr>
          </w:p>
        </w:tc>
        <w:tc>
          <w:tcPr>
            <w:tcW w:w="1276" w:type="dxa"/>
            <w:vMerge w:val="continue"/>
            <w:vAlign w:val="center"/>
          </w:tcPr>
          <w:p>
            <w:pPr>
              <w:spacing w:after="0" w:line="360" w:lineRule="auto"/>
              <w:ind w:left="0" w:right="0" w:firstLine="0"/>
              <w:rPr>
                <w:color w:val="auto"/>
                <w:kern w:val="0"/>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560" w:type="dxa"/>
            <w:vMerge w:val="continue"/>
            <w:vAlign w:val="center"/>
          </w:tcPr>
          <w:p>
            <w:pPr>
              <w:spacing w:after="0" w:line="360" w:lineRule="auto"/>
              <w:ind w:left="0" w:right="0" w:firstLine="0"/>
              <w:rPr>
                <w:color w:val="auto"/>
                <w:kern w:val="0"/>
                <w:szCs w:val="24"/>
                <w:highlight w:val="none"/>
              </w:rPr>
            </w:pPr>
          </w:p>
        </w:tc>
        <w:tc>
          <w:tcPr>
            <w:tcW w:w="4677" w:type="dxa"/>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过滤器压差报警监测（DI）</w:t>
            </w:r>
          </w:p>
        </w:tc>
        <w:tc>
          <w:tcPr>
            <w:tcW w:w="1642" w:type="dxa"/>
            <w:vMerge w:val="continue"/>
            <w:vAlign w:val="center"/>
          </w:tcPr>
          <w:p>
            <w:pPr>
              <w:spacing w:after="0" w:line="360" w:lineRule="auto"/>
              <w:ind w:left="0" w:right="0" w:firstLine="0"/>
              <w:rPr>
                <w:color w:val="auto"/>
                <w:kern w:val="0"/>
                <w:szCs w:val="24"/>
                <w:highlight w:val="none"/>
              </w:rPr>
            </w:pPr>
          </w:p>
        </w:tc>
        <w:tc>
          <w:tcPr>
            <w:tcW w:w="1276" w:type="dxa"/>
            <w:vMerge w:val="continue"/>
            <w:vAlign w:val="center"/>
          </w:tcPr>
          <w:p>
            <w:pPr>
              <w:spacing w:after="0" w:line="360" w:lineRule="auto"/>
              <w:ind w:left="0" w:right="0" w:firstLine="0"/>
              <w:rPr>
                <w:color w:val="auto"/>
                <w:kern w:val="0"/>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560" w:type="dxa"/>
            <w:vMerge w:val="continue"/>
            <w:vAlign w:val="center"/>
          </w:tcPr>
          <w:p>
            <w:pPr>
              <w:spacing w:after="0" w:line="360" w:lineRule="auto"/>
              <w:ind w:left="0" w:right="0" w:firstLine="0"/>
              <w:rPr>
                <w:color w:val="auto"/>
                <w:kern w:val="0"/>
                <w:szCs w:val="24"/>
                <w:highlight w:val="none"/>
              </w:rPr>
            </w:pPr>
          </w:p>
        </w:tc>
        <w:tc>
          <w:tcPr>
            <w:tcW w:w="4677" w:type="dxa"/>
            <w:shd w:val="clear" w:color="auto" w:fill="auto"/>
            <w:vAlign w:val="center"/>
          </w:tcPr>
          <w:p>
            <w:pPr>
              <w:spacing w:after="0" w:line="360" w:lineRule="auto"/>
              <w:ind w:left="0" w:right="0" w:firstLine="0"/>
              <w:rPr>
                <w:b/>
                <w:bCs/>
                <w:color w:val="auto"/>
                <w:kern w:val="0"/>
                <w:szCs w:val="24"/>
                <w:highlight w:val="none"/>
              </w:rPr>
            </w:pPr>
            <w:r>
              <w:rPr>
                <w:rFonts w:hint="eastAsia"/>
                <w:b/>
                <w:bCs/>
                <w:color w:val="auto"/>
                <w:kern w:val="0"/>
                <w:szCs w:val="24"/>
                <w:highlight w:val="none"/>
              </w:rPr>
              <w:t>2) 控制参数</w:t>
            </w:r>
          </w:p>
        </w:tc>
        <w:tc>
          <w:tcPr>
            <w:tcW w:w="1642" w:type="dxa"/>
            <w:vMerge w:val="continue"/>
            <w:vAlign w:val="center"/>
          </w:tcPr>
          <w:p>
            <w:pPr>
              <w:spacing w:after="0" w:line="360" w:lineRule="auto"/>
              <w:ind w:left="0" w:right="0" w:firstLine="0"/>
              <w:rPr>
                <w:color w:val="auto"/>
                <w:kern w:val="0"/>
                <w:szCs w:val="24"/>
                <w:highlight w:val="none"/>
              </w:rPr>
            </w:pPr>
          </w:p>
        </w:tc>
        <w:tc>
          <w:tcPr>
            <w:tcW w:w="1276" w:type="dxa"/>
            <w:vMerge w:val="continue"/>
            <w:vAlign w:val="center"/>
          </w:tcPr>
          <w:p>
            <w:pPr>
              <w:spacing w:after="0" w:line="360" w:lineRule="auto"/>
              <w:ind w:left="0" w:right="0" w:firstLine="0"/>
              <w:rPr>
                <w:color w:val="auto"/>
                <w:kern w:val="0"/>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560" w:type="dxa"/>
            <w:vMerge w:val="continue"/>
            <w:vAlign w:val="center"/>
          </w:tcPr>
          <w:p>
            <w:pPr>
              <w:spacing w:after="0" w:line="360" w:lineRule="auto"/>
              <w:ind w:left="0" w:right="0" w:firstLine="0"/>
              <w:rPr>
                <w:color w:val="auto"/>
                <w:kern w:val="0"/>
                <w:szCs w:val="24"/>
                <w:highlight w:val="none"/>
              </w:rPr>
            </w:pPr>
          </w:p>
        </w:tc>
        <w:tc>
          <w:tcPr>
            <w:tcW w:w="4677" w:type="dxa"/>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空调机组启停控制（DO）</w:t>
            </w:r>
          </w:p>
        </w:tc>
        <w:tc>
          <w:tcPr>
            <w:tcW w:w="1642" w:type="dxa"/>
            <w:vMerge w:val="continue"/>
            <w:vAlign w:val="center"/>
          </w:tcPr>
          <w:p>
            <w:pPr>
              <w:spacing w:after="0" w:line="360" w:lineRule="auto"/>
              <w:ind w:left="0" w:right="0" w:firstLine="0"/>
              <w:rPr>
                <w:color w:val="auto"/>
                <w:kern w:val="0"/>
                <w:szCs w:val="24"/>
                <w:highlight w:val="none"/>
              </w:rPr>
            </w:pPr>
          </w:p>
        </w:tc>
        <w:tc>
          <w:tcPr>
            <w:tcW w:w="1276" w:type="dxa"/>
            <w:vMerge w:val="continue"/>
            <w:vAlign w:val="center"/>
          </w:tcPr>
          <w:p>
            <w:pPr>
              <w:spacing w:after="0" w:line="360" w:lineRule="auto"/>
              <w:ind w:left="0" w:right="0" w:firstLine="0"/>
              <w:rPr>
                <w:color w:val="auto"/>
                <w:kern w:val="0"/>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560" w:type="dxa"/>
            <w:vMerge w:val="continue"/>
            <w:vAlign w:val="center"/>
          </w:tcPr>
          <w:p>
            <w:pPr>
              <w:spacing w:after="0" w:line="360" w:lineRule="auto"/>
              <w:ind w:left="0" w:right="0" w:firstLine="0"/>
              <w:rPr>
                <w:color w:val="auto"/>
                <w:kern w:val="0"/>
                <w:szCs w:val="24"/>
                <w:highlight w:val="none"/>
              </w:rPr>
            </w:pPr>
          </w:p>
        </w:tc>
        <w:tc>
          <w:tcPr>
            <w:tcW w:w="4677" w:type="dxa"/>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变频器频率控制（AO）</w:t>
            </w:r>
          </w:p>
        </w:tc>
        <w:tc>
          <w:tcPr>
            <w:tcW w:w="1642" w:type="dxa"/>
            <w:vMerge w:val="continue"/>
            <w:vAlign w:val="center"/>
          </w:tcPr>
          <w:p>
            <w:pPr>
              <w:spacing w:after="0" w:line="360" w:lineRule="auto"/>
              <w:ind w:left="0" w:right="0" w:firstLine="0"/>
              <w:rPr>
                <w:color w:val="auto"/>
                <w:kern w:val="0"/>
                <w:szCs w:val="24"/>
                <w:highlight w:val="none"/>
              </w:rPr>
            </w:pPr>
          </w:p>
        </w:tc>
        <w:tc>
          <w:tcPr>
            <w:tcW w:w="1276" w:type="dxa"/>
            <w:vMerge w:val="continue"/>
            <w:vAlign w:val="center"/>
          </w:tcPr>
          <w:p>
            <w:pPr>
              <w:spacing w:after="0" w:line="360" w:lineRule="auto"/>
              <w:ind w:left="0" w:right="0" w:firstLine="0"/>
              <w:rPr>
                <w:color w:val="auto"/>
                <w:kern w:val="0"/>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560" w:type="dxa"/>
            <w:vMerge w:val="continue"/>
            <w:vAlign w:val="center"/>
          </w:tcPr>
          <w:p>
            <w:pPr>
              <w:spacing w:after="0" w:line="360" w:lineRule="auto"/>
              <w:ind w:left="0" w:right="0" w:firstLine="0"/>
              <w:rPr>
                <w:color w:val="auto"/>
                <w:kern w:val="0"/>
                <w:szCs w:val="24"/>
                <w:highlight w:val="none"/>
              </w:rPr>
            </w:pPr>
          </w:p>
        </w:tc>
        <w:tc>
          <w:tcPr>
            <w:tcW w:w="4677" w:type="dxa"/>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电动调节水阀开度控制（AO）</w:t>
            </w:r>
          </w:p>
        </w:tc>
        <w:tc>
          <w:tcPr>
            <w:tcW w:w="1642" w:type="dxa"/>
            <w:vMerge w:val="continue"/>
            <w:vAlign w:val="center"/>
          </w:tcPr>
          <w:p>
            <w:pPr>
              <w:spacing w:after="0" w:line="360" w:lineRule="auto"/>
              <w:ind w:left="0" w:right="0" w:firstLine="0"/>
              <w:rPr>
                <w:color w:val="auto"/>
                <w:kern w:val="0"/>
                <w:szCs w:val="24"/>
                <w:highlight w:val="none"/>
              </w:rPr>
            </w:pPr>
          </w:p>
        </w:tc>
        <w:tc>
          <w:tcPr>
            <w:tcW w:w="1276" w:type="dxa"/>
            <w:vMerge w:val="continue"/>
            <w:vAlign w:val="center"/>
          </w:tcPr>
          <w:p>
            <w:pPr>
              <w:spacing w:after="0" w:line="360" w:lineRule="auto"/>
              <w:ind w:left="0" w:right="0" w:firstLine="0"/>
              <w:rPr>
                <w:color w:val="auto"/>
                <w:kern w:val="0"/>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560" w:type="dxa"/>
            <w:vMerge w:val="continue"/>
            <w:vAlign w:val="center"/>
          </w:tcPr>
          <w:p>
            <w:pPr>
              <w:spacing w:after="0" w:line="360" w:lineRule="auto"/>
              <w:ind w:left="0" w:right="0" w:firstLine="0"/>
              <w:rPr>
                <w:color w:val="auto"/>
                <w:kern w:val="0"/>
                <w:szCs w:val="24"/>
                <w:highlight w:val="none"/>
              </w:rPr>
            </w:pPr>
          </w:p>
        </w:tc>
        <w:tc>
          <w:tcPr>
            <w:tcW w:w="4677" w:type="dxa"/>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新风阀、回风阀开度控制（AO）</w:t>
            </w:r>
          </w:p>
        </w:tc>
        <w:tc>
          <w:tcPr>
            <w:tcW w:w="1642" w:type="dxa"/>
            <w:vMerge w:val="continue"/>
            <w:vAlign w:val="center"/>
          </w:tcPr>
          <w:p>
            <w:pPr>
              <w:spacing w:after="0" w:line="360" w:lineRule="auto"/>
              <w:ind w:left="0" w:right="0" w:firstLine="0"/>
              <w:rPr>
                <w:color w:val="auto"/>
                <w:kern w:val="0"/>
                <w:szCs w:val="24"/>
                <w:highlight w:val="none"/>
              </w:rPr>
            </w:pPr>
          </w:p>
        </w:tc>
        <w:tc>
          <w:tcPr>
            <w:tcW w:w="1276" w:type="dxa"/>
            <w:vMerge w:val="continue"/>
            <w:vAlign w:val="center"/>
          </w:tcPr>
          <w:p>
            <w:pPr>
              <w:spacing w:after="0" w:line="360" w:lineRule="auto"/>
              <w:ind w:left="0" w:right="0" w:firstLine="0"/>
              <w:rPr>
                <w:color w:val="auto"/>
                <w:kern w:val="0"/>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560" w:type="dxa"/>
            <w:vMerge w:val="continue"/>
            <w:vAlign w:val="center"/>
          </w:tcPr>
          <w:p>
            <w:pPr>
              <w:spacing w:after="0" w:line="360" w:lineRule="auto"/>
              <w:ind w:left="0" w:right="0" w:firstLine="0"/>
              <w:rPr>
                <w:color w:val="auto"/>
                <w:kern w:val="0"/>
                <w:szCs w:val="24"/>
                <w:highlight w:val="none"/>
              </w:rPr>
            </w:pPr>
          </w:p>
        </w:tc>
        <w:tc>
          <w:tcPr>
            <w:tcW w:w="4677" w:type="dxa"/>
            <w:shd w:val="clear" w:color="auto" w:fill="auto"/>
            <w:vAlign w:val="center"/>
          </w:tcPr>
          <w:p>
            <w:pPr>
              <w:spacing w:after="0" w:line="360" w:lineRule="auto"/>
              <w:ind w:left="0" w:right="0" w:firstLine="0"/>
              <w:rPr>
                <w:b/>
                <w:bCs/>
                <w:color w:val="auto"/>
                <w:kern w:val="0"/>
                <w:szCs w:val="24"/>
                <w:highlight w:val="none"/>
              </w:rPr>
            </w:pPr>
            <w:r>
              <w:rPr>
                <w:rFonts w:hint="eastAsia"/>
                <w:b/>
                <w:bCs/>
                <w:color w:val="auto"/>
                <w:kern w:val="0"/>
                <w:szCs w:val="24"/>
                <w:highlight w:val="none"/>
              </w:rPr>
              <w:t>3) 故障报警参数</w:t>
            </w:r>
          </w:p>
        </w:tc>
        <w:tc>
          <w:tcPr>
            <w:tcW w:w="1642" w:type="dxa"/>
            <w:vMerge w:val="continue"/>
            <w:vAlign w:val="center"/>
          </w:tcPr>
          <w:p>
            <w:pPr>
              <w:spacing w:after="0" w:line="360" w:lineRule="auto"/>
              <w:ind w:left="0" w:right="0" w:firstLine="0"/>
              <w:rPr>
                <w:color w:val="auto"/>
                <w:kern w:val="0"/>
                <w:szCs w:val="24"/>
                <w:highlight w:val="none"/>
              </w:rPr>
            </w:pPr>
          </w:p>
        </w:tc>
        <w:tc>
          <w:tcPr>
            <w:tcW w:w="1276" w:type="dxa"/>
            <w:vMerge w:val="continue"/>
            <w:vAlign w:val="center"/>
          </w:tcPr>
          <w:p>
            <w:pPr>
              <w:spacing w:after="0" w:line="360" w:lineRule="auto"/>
              <w:ind w:left="0" w:right="0" w:firstLine="0"/>
              <w:rPr>
                <w:color w:val="auto"/>
                <w:kern w:val="0"/>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5" w:hRule="atLeast"/>
        </w:trPr>
        <w:tc>
          <w:tcPr>
            <w:tcW w:w="1560" w:type="dxa"/>
            <w:vMerge w:val="continue"/>
            <w:vAlign w:val="center"/>
          </w:tcPr>
          <w:p>
            <w:pPr>
              <w:spacing w:after="0" w:line="360" w:lineRule="auto"/>
              <w:ind w:left="0" w:right="0" w:firstLine="0"/>
              <w:rPr>
                <w:color w:val="auto"/>
                <w:kern w:val="0"/>
                <w:szCs w:val="24"/>
                <w:highlight w:val="none"/>
              </w:rPr>
            </w:pPr>
          </w:p>
        </w:tc>
        <w:tc>
          <w:tcPr>
            <w:tcW w:w="4677" w:type="dxa"/>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a) 应监测空调机组风机状态，当风机运行故障时，应发出故障报警。</w:t>
            </w:r>
          </w:p>
        </w:tc>
        <w:tc>
          <w:tcPr>
            <w:tcW w:w="1642" w:type="dxa"/>
            <w:vMerge w:val="continue"/>
            <w:vAlign w:val="center"/>
          </w:tcPr>
          <w:p>
            <w:pPr>
              <w:spacing w:after="0" w:line="360" w:lineRule="auto"/>
              <w:ind w:left="0" w:right="0" w:firstLine="0"/>
              <w:rPr>
                <w:color w:val="auto"/>
                <w:kern w:val="0"/>
                <w:szCs w:val="24"/>
                <w:highlight w:val="none"/>
              </w:rPr>
            </w:pPr>
          </w:p>
        </w:tc>
        <w:tc>
          <w:tcPr>
            <w:tcW w:w="1276" w:type="dxa"/>
            <w:vMerge w:val="continue"/>
            <w:vAlign w:val="center"/>
          </w:tcPr>
          <w:p>
            <w:pPr>
              <w:spacing w:after="0" w:line="360" w:lineRule="auto"/>
              <w:ind w:left="0" w:right="0" w:firstLine="0"/>
              <w:rPr>
                <w:color w:val="auto"/>
                <w:kern w:val="0"/>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560" w:type="dxa"/>
            <w:vMerge w:val="restart"/>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吊顶式空调机组</w:t>
            </w:r>
          </w:p>
        </w:tc>
        <w:tc>
          <w:tcPr>
            <w:tcW w:w="4677" w:type="dxa"/>
            <w:shd w:val="clear" w:color="auto" w:fill="auto"/>
            <w:vAlign w:val="center"/>
          </w:tcPr>
          <w:p>
            <w:pPr>
              <w:spacing w:after="0" w:line="360" w:lineRule="auto"/>
              <w:ind w:left="0" w:right="0" w:firstLine="0"/>
              <w:rPr>
                <w:b/>
                <w:bCs/>
                <w:color w:val="auto"/>
                <w:kern w:val="0"/>
                <w:szCs w:val="24"/>
                <w:highlight w:val="none"/>
              </w:rPr>
            </w:pPr>
            <w:r>
              <w:rPr>
                <w:rFonts w:hint="eastAsia"/>
                <w:b/>
                <w:bCs/>
                <w:color w:val="auto"/>
                <w:kern w:val="0"/>
                <w:szCs w:val="24"/>
                <w:highlight w:val="none"/>
              </w:rPr>
              <w:t>1) 监测参数</w:t>
            </w:r>
          </w:p>
        </w:tc>
        <w:tc>
          <w:tcPr>
            <w:tcW w:w="1642" w:type="dxa"/>
            <w:vMerge w:val="continue"/>
            <w:vAlign w:val="center"/>
          </w:tcPr>
          <w:p>
            <w:pPr>
              <w:spacing w:after="0" w:line="360" w:lineRule="auto"/>
              <w:ind w:left="0" w:right="0" w:firstLine="0"/>
              <w:rPr>
                <w:color w:val="auto"/>
                <w:kern w:val="0"/>
                <w:szCs w:val="24"/>
                <w:highlight w:val="none"/>
              </w:rPr>
            </w:pPr>
          </w:p>
        </w:tc>
        <w:tc>
          <w:tcPr>
            <w:tcW w:w="1276" w:type="dxa"/>
            <w:vMerge w:val="continue"/>
            <w:vAlign w:val="center"/>
          </w:tcPr>
          <w:p>
            <w:pPr>
              <w:spacing w:after="0" w:line="360" w:lineRule="auto"/>
              <w:ind w:left="0" w:right="0" w:firstLine="0"/>
              <w:rPr>
                <w:color w:val="auto"/>
                <w:kern w:val="0"/>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6" w:hRule="atLeast"/>
        </w:trPr>
        <w:tc>
          <w:tcPr>
            <w:tcW w:w="1560" w:type="dxa"/>
            <w:vMerge w:val="continue"/>
            <w:vAlign w:val="center"/>
          </w:tcPr>
          <w:p>
            <w:pPr>
              <w:spacing w:after="0" w:line="360" w:lineRule="auto"/>
              <w:ind w:left="0" w:right="0" w:firstLine="0"/>
              <w:rPr>
                <w:color w:val="auto"/>
                <w:kern w:val="0"/>
                <w:szCs w:val="24"/>
                <w:highlight w:val="none"/>
              </w:rPr>
            </w:pPr>
          </w:p>
        </w:tc>
        <w:tc>
          <w:tcPr>
            <w:tcW w:w="4677" w:type="dxa"/>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运行状态、故障报警、手自动监测（DI）</w:t>
            </w:r>
          </w:p>
        </w:tc>
        <w:tc>
          <w:tcPr>
            <w:tcW w:w="1642" w:type="dxa"/>
            <w:vMerge w:val="continue"/>
            <w:vAlign w:val="center"/>
          </w:tcPr>
          <w:p>
            <w:pPr>
              <w:spacing w:after="0" w:line="360" w:lineRule="auto"/>
              <w:ind w:left="0" w:right="0" w:firstLine="0"/>
              <w:rPr>
                <w:color w:val="auto"/>
                <w:kern w:val="0"/>
                <w:szCs w:val="24"/>
                <w:highlight w:val="none"/>
              </w:rPr>
            </w:pPr>
          </w:p>
        </w:tc>
        <w:tc>
          <w:tcPr>
            <w:tcW w:w="1276" w:type="dxa"/>
            <w:vMerge w:val="continue"/>
            <w:vAlign w:val="center"/>
          </w:tcPr>
          <w:p>
            <w:pPr>
              <w:spacing w:after="0" w:line="360" w:lineRule="auto"/>
              <w:ind w:left="0" w:right="0" w:firstLine="0"/>
              <w:rPr>
                <w:color w:val="auto"/>
                <w:kern w:val="0"/>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560" w:type="dxa"/>
            <w:vMerge w:val="continue"/>
            <w:vAlign w:val="center"/>
          </w:tcPr>
          <w:p>
            <w:pPr>
              <w:spacing w:after="0" w:line="360" w:lineRule="auto"/>
              <w:ind w:left="0" w:right="0" w:firstLine="0"/>
              <w:rPr>
                <w:color w:val="auto"/>
                <w:kern w:val="0"/>
                <w:szCs w:val="24"/>
                <w:highlight w:val="none"/>
              </w:rPr>
            </w:pPr>
          </w:p>
        </w:tc>
        <w:tc>
          <w:tcPr>
            <w:tcW w:w="4677" w:type="dxa"/>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送风温度监测（AI）</w:t>
            </w:r>
          </w:p>
        </w:tc>
        <w:tc>
          <w:tcPr>
            <w:tcW w:w="1642" w:type="dxa"/>
            <w:vMerge w:val="continue"/>
            <w:vAlign w:val="center"/>
          </w:tcPr>
          <w:p>
            <w:pPr>
              <w:spacing w:after="0" w:line="360" w:lineRule="auto"/>
              <w:ind w:left="0" w:right="0" w:firstLine="0"/>
              <w:rPr>
                <w:color w:val="auto"/>
                <w:kern w:val="0"/>
                <w:szCs w:val="24"/>
                <w:highlight w:val="none"/>
              </w:rPr>
            </w:pPr>
          </w:p>
        </w:tc>
        <w:tc>
          <w:tcPr>
            <w:tcW w:w="1276" w:type="dxa"/>
            <w:vMerge w:val="continue"/>
            <w:vAlign w:val="center"/>
          </w:tcPr>
          <w:p>
            <w:pPr>
              <w:spacing w:after="0" w:line="360" w:lineRule="auto"/>
              <w:ind w:left="0" w:right="0" w:firstLine="0"/>
              <w:rPr>
                <w:color w:val="auto"/>
                <w:kern w:val="0"/>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560" w:type="dxa"/>
            <w:vMerge w:val="continue"/>
            <w:vAlign w:val="center"/>
          </w:tcPr>
          <w:p>
            <w:pPr>
              <w:spacing w:after="0" w:line="360" w:lineRule="auto"/>
              <w:ind w:left="0" w:right="0" w:firstLine="0"/>
              <w:rPr>
                <w:color w:val="auto"/>
                <w:kern w:val="0"/>
                <w:szCs w:val="24"/>
                <w:highlight w:val="none"/>
              </w:rPr>
            </w:pPr>
          </w:p>
        </w:tc>
        <w:tc>
          <w:tcPr>
            <w:tcW w:w="4677" w:type="dxa"/>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电动水阀阀位监测（AI）</w:t>
            </w:r>
          </w:p>
        </w:tc>
        <w:tc>
          <w:tcPr>
            <w:tcW w:w="1642" w:type="dxa"/>
            <w:vMerge w:val="continue"/>
            <w:vAlign w:val="center"/>
          </w:tcPr>
          <w:p>
            <w:pPr>
              <w:spacing w:after="0" w:line="360" w:lineRule="auto"/>
              <w:ind w:left="0" w:right="0" w:firstLine="0"/>
              <w:rPr>
                <w:color w:val="auto"/>
                <w:kern w:val="0"/>
                <w:szCs w:val="24"/>
                <w:highlight w:val="none"/>
              </w:rPr>
            </w:pPr>
          </w:p>
        </w:tc>
        <w:tc>
          <w:tcPr>
            <w:tcW w:w="1276" w:type="dxa"/>
            <w:vMerge w:val="continue"/>
            <w:vAlign w:val="center"/>
          </w:tcPr>
          <w:p>
            <w:pPr>
              <w:spacing w:after="0" w:line="360" w:lineRule="auto"/>
              <w:ind w:left="0" w:right="0" w:firstLine="0"/>
              <w:rPr>
                <w:color w:val="auto"/>
                <w:kern w:val="0"/>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560" w:type="dxa"/>
            <w:vMerge w:val="continue"/>
            <w:vAlign w:val="center"/>
          </w:tcPr>
          <w:p>
            <w:pPr>
              <w:spacing w:after="0" w:line="360" w:lineRule="auto"/>
              <w:ind w:left="0" w:right="0" w:firstLine="0"/>
              <w:rPr>
                <w:color w:val="auto"/>
                <w:kern w:val="0"/>
                <w:szCs w:val="24"/>
                <w:highlight w:val="none"/>
              </w:rPr>
            </w:pPr>
          </w:p>
        </w:tc>
        <w:tc>
          <w:tcPr>
            <w:tcW w:w="4677" w:type="dxa"/>
            <w:shd w:val="clear" w:color="auto" w:fill="auto"/>
            <w:vAlign w:val="center"/>
          </w:tcPr>
          <w:p>
            <w:pPr>
              <w:spacing w:after="0" w:line="360" w:lineRule="auto"/>
              <w:ind w:left="0" w:right="0" w:firstLine="0"/>
              <w:rPr>
                <w:b/>
                <w:bCs/>
                <w:color w:val="auto"/>
                <w:kern w:val="0"/>
                <w:szCs w:val="24"/>
                <w:highlight w:val="none"/>
              </w:rPr>
            </w:pPr>
            <w:r>
              <w:rPr>
                <w:rFonts w:hint="eastAsia"/>
                <w:b/>
                <w:bCs/>
                <w:color w:val="auto"/>
                <w:kern w:val="0"/>
                <w:szCs w:val="24"/>
                <w:highlight w:val="none"/>
              </w:rPr>
              <w:t>2) 控制参数</w:t>
            </w:r>
          </w:p>
        </w:tc>
        <w:tc>
          <w:tcPr>
            <w:tcW w:w="1642" w:type="dxa"/>
            <w:vMerge w:val="continue"/>
            <w:vAlign w:val="center"/>
          </w:tcPr>
          <w:p>
            <w:pPr>
              <w:spacing w:after="0" w:line="360" w:lineRule="auto"/>
              <w:ind w:left="0" w:right="0" w:firstLine="0"/>
              <w:rPr>
                <w:color w:val="auto"/>
                <w:kern w:val="0"/>
                <w:szCs w:val="24"/>
                <w:highlight w:val="none"/>
              </w:rPr>
            </w:pPr>
          </w:p>
        </w:tc>
        <w:tc>
          <w:tcPr>
            <w:tcW w:w="1276" w:type="dxa"/>
            <w:vMerge w:val="continue"/>
            <w:vAlign w:val="center"/>
          </w:tcPr>
          <w:p>
            <w:pPr>
              <w:spacing w:after="0" w:line="360" w:lineRule="auto"/>
              <w:ind w:left="0" w:right="0" w:firstLine="0"/>
              <w:rPr>
                <w:color w:val="auto"/>
                <w:kern w:val="0"/>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560" w:type="dxa"/>
            <w:vMerge w:val="continue"/>
            <w:vAlign w:val="center"/>
          </w:tcPr>
          <w:p>
            <w:pPr>
              <w:spacing w:after="0" w:line="360" w:lineRule="auto"/>
              <w:ind w:left="0" w:right="0" w:firstLine="0"/>
              <w:rPr>
                <w:color w:val="auto"/>
                <w:kern w:val="0"/>
                <w:szCs w:val="24"/>
                <w:highlight w:val="none"/>
              </w:rPr>
            </w:pPr>
          </w:p>
        </w:tc>
        <w:tc>
          <w:tcPr>
            <w:tcW w:w="4677" w:type="dxa"/>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风机启停（DO）</w:t>
            </w:r>
          </w:p>
        </w:tc>
        <w:tc>
          <w:tcPr>
            <w:tcW w:w="1642" w:type="dxa"/>
            <w:vMerge w:val="continue"/>
            <w:vAlign w:val="center"/>
          </w:tcPr>
          <w:p>
            <w:pPr>
              <w:spacing w:after="0" w:line="360" w:lineRule="auto"/>
              <w:ind w:left="0" w:right="0" w:firstLine="0"/>
              <w:rPr>
                <w:color w:val="auto"/>
                <w:kern w:val="0"/>
                <w:szCs w:val="24"/>
                <w:highlight w:val="none"/>
              </w:rPr>
            </w:pPr>
          </w:p>
        </w:tc>
        <w:tc>
          <w:tcPr>
            <w:tcW w:w="1276" w:type="dxa"/>
            <w:vMerge w:val="continue"/>
            <w:vAlign w:val="center"/>
          </w:tcPr>
          <w:p>
            <w:pPr>
              <w:spacing w:after="0" w:line="360" w:lineRule="auto"/>
              <w:ind w:left="0" w:right="0" w:firstLine="0"/>
              <w:rPr>
                <w:color w:val="auto"/>
                <w:kern w:val="0"/>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560" w:type="dxa"/>
            <w:vMerge w:val="continue"/>
            <w:vAlign w:val="center"/>
          </w:tcPr>
          <w:p>
            <w:pPr>
              <w:spacing w:after="0" w:line="360" w:lineRule="auto"/>
              <w:ind w:left="0" w:right="0" w:firstLine="0"/>
              <w:rPr>
                <w:color w:val="auto"/>
                <w:kern w:val="0"/>
                <w:szCs w:val="24"/>
                <w:highlight w:val="none"/>
              </w:rPr>
            </w:pPr>
          </w:p>
        </w:tc>
        <w:tc>
          <w:tcPr>
            <w:tcW w:w="4677" w:type="dxa"/>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电动水阀开度调节（AO）</w:t>
            </w:r>
          </w:p>
        </w:tc>
        <w:tc>
          <w:tcPr>
            <w:tcW w:w="1642" w:type="dxa"/>
            <w:vMerge w:val="continue"/>
            <w:vAlign w:val="center"/>
          </w:tcPr>
          <w:p>
            <w:pPr>
              <w:spacing w:after="0" w:line="360" w:lineRule="auto"/>
              <w:ind w:left="0" w:right="0" w:firstLine="0"/>
              <w:rPr>
                <w:color w:val="auto"/>
                <w:kern w:val="0"/>
                <w:szCs w:val="24"/>
                <w:highlight w:val="none"/>
              </w:rPr>
            </w:pPr>
          </w:p>
        </w:tc>
        <w:tc>
          <w:tcPr>
            <w:tcW w:w="1276" w:type="dxa"/>
            <w:vMerge w:val="continue"/>
            <w:vAlign w:val="center"/>
          </w:tcPr>
          <w:p>
            <w:pPr>
              <w:spacing w:after="0" w:line="360" w:lineRule="auto"/>
              <w:ind w:left="0" w:right="0" w:firstLine="0"/>
              <w:rPr>
                <w:color w:val="auto"/>
                <w:kern w:val="0"/>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560" w:type="dxa"/>
            <w:vMerge w:val="continue"/>
            <w:vAlign w:val="center"/>
          </w:tcPr>
          <w:p>
            <w:pPr>
              <w:spacing w:after="0" w:line="360" w:lineRule="auto"/>
              <w:ind w:left="0" w:right="0" w:firstLine="0"/>
              <w:rPr>
                <w:color w:val="auto"/>
                <w:kern w:val="0"/>
                <w:szCs w:val="24"/>
                <w:highlight w:val="none"/>
              </w:rPr>
            </w:pPr>
          </w:p>
        </w:tc>
        <w:tc>
          <w:tcPr>
            <w:tcW w:w="4677" w:type="dxa"/>
            <w:shd w:val="clear" w:color="auto" w:fill="auto"/>
            <w:vAlign w:val="center"/>
          </w:tcPr>
          <w:p>
            <w:pPr>
              <w:spacing w:after="0" w:line="360" w:lineRule="auto"/>
              <w:ind w:left="0" w:right="0" w:firstLine="0"/>
              <w:rPr>
                <w:b/>
                <w:bCs/>
                <w:color w:val="auto"/>
                <w:kern w:val="0"/>
                <w:szCs w:val="24"/>
                <w:highlight w:val="none"/>
              </w:rPr>
            </w:pPr>
            <w:r>
              <w:rPr>
                <w:rFonts w:hint="eastAsia"/>
                <w:b/>
                <w:bCs/>
                <w:color w:val="auto"/>
                <w:kern w:val="0"/>
                <w:szCs w:val="24"/>
                <w:highlight w:val="none"/>
              </w:rPr>
              <w:t>3) 故障报警参数</w:t>
            </w:r>
          </w:p>
        </w:tc>
        <w:tc>
          <w:tcPr>
            <w:tcW w:w="1642" w:type="dxa"/>
            <w:vMerge w:val="continue"/>
            <w:vAlign w:val="center"/>
          </w:tcPr>
          <w:p>
            <w:pPr>
              <w:spacing w:after="0" w:line="360" w:lineRule="auto"/>
              <w:ind w:left="0" w:right="0" w:firstLine="0"/>
              <w:rPr>
                <w:color w:val="auto"/>
                <w:kern w:val="0"/>
                <w:szCs w:val="24"/>
                <w:highlight w:val="none"/>
              </w:rPr>
            </w:pPr>
          </w:p>
        </w:tc>
        <w:tc>
          <w:tcPr>
            <w:tcW w:w="1276" w:type="dxa"/>
            <w:vMerge w:val="continue"/>
            <w:vAlign w:val="center"/>
          </w:tcPr>
          <w:p>
            <w:pPr>
              <w:spacing w:after="0" w:line="360" w:lineRule="auto"/>
              <w:ind w:left="0" w:right="0" w:firstLine="0"/>
              <w:rPr>
                <w:color w:val="auto"/>
                <w:kern w:val="0"/>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5" w:hRule="atLeast"/>
        </w:trPr>
        <w:tc>
          <w:tcPr>
            <w:tcW w:w="1560" w:type="dxa"/>
            <w:vMerge w:val="continue"/>
            <w:vAlign w:val="center"/>
          </w:tcPr>
          <w:p>
            <w:pPr>
              <w:spacing w:after="0" w:line="360" w:lineRule="auto"/>
              <w:ind w:left="0" w:right="0" w:firstLine="0"/>
              <w:rPr>
                <w:color w:val="auto"/>
                <w:kern w:val="0"/>
                <w:szCs w:val="24"/>
                <w:highlight w:val="none"/>
              </w:rPr>
            </w:pPr>
          </w:p>
        </w:tc>
        <w:tc>
          <w:tcPr>
            <w:tcW w:w="4677" w:type="dxa"/>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应监测各台吊顶机组风机状态，当风机运行故障时，应发出故障报警。</w:t>
            </w:r>
          </w:p>
        </w:tc>
        <w:tc>
          <w:tcPr>
            <w:tcW w:w="1642" w:type="dxa"/>
            <w:vMerge w:val="continue"/>
            <w:vAlign w:val="center"/>
          </w:tcPr>
          <w:p>
            <w:pPr>
              <w:spacing w:after="0" w:line="360" w:lineRule="auto"/>
              <w:ind w:left="0" w:right="0" w:firstLine="0"/>
              <w:rPr>
                <w:color w:val="auto"/>
                <w:kern w:val="0"/>
                <w:szCs w:val="24"/>
                <w:highlight w:val="none"/>
              </w:rPr>
            </w:pPr>
          </w:p>
        </w:tc>
        <w:tc>
          <w:tcPr>
            <w:tcW w:w="1276" w:type="dxa"/>
            <w:vMerge w:val="continue"/>
            <w:vAlign w:val="center"/>
          </w:tcPr>
          <w:p>
            <w:pPr>
              <w:spacing w:after="0" w:line="360" w:lineRule="auto"/>
              <w:ind w:left="0" w:right="0" w:firstLine="0"/>
              <w:rPr>
                <w:color w:val="auto"/>
                <w:kern w:val="0"/>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560" w:type="dxa"/>
            <w:vMerge w:val="restart"/>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新风机组</w:t>
            </w:r>
          </w:p>
        </w:tc>
        <w:tc>
          <w:tcPr>
            <w:tcW w:w="4677" w:type="dxa"/>
            <w:shd w:val="clear" w:color="auto" w:fill="auto"/>
            <w:vAlign w:val="center"/>
          </w:tcPr>
          <w:p>
            <w:pPr>
              <w:spacing w:after="0" w:line="360" w:lineRule="auto"/>
              <w:ind w:left="0" w:right="0" w:firstLine="0"/>
              <w:rPr>
                <w:b/>
                <w:bCs/>
                <w:color w:val="auto"/>
                <w:kern w:val="0"/>
                <w:szCs w:val="24"/>
                <w:highlight w:val="none"/>
              </w:rPr>
            </w:pPr>
            <w:r>
              <w:rPr>
                <w:rFonts w:hint="eastAsia"/>
                <w:b/>
                <w:bCs/>
                <w:color w:val="auto"/>
                <w:kern w:val="0"/>
                <w:szCs w:val="24"/>
                <w:highlight w:val="none"/>
              </w:rPr>
              <w:t>1)</w:t>
            </w:r>
            <w:r>
              <w:rPr>
                <w:rFonts w:cs="Times New Roman"/>
                <w:b/>
                <w:bCs/>
                <w:color w:val="auto"/>
                <w:kern w:val="0"/>
                <w:szCs w:val="24"/>
                <w:highlight w:val="none"/>
              </w:rPr>
              <w:t xml:space="preserve">  </w:t>
            </w:r>
            <w:r>
              <w:rPr>
                <w:rFonts w:hint="eastAsia"/>
                <w:b/>
                <w:bCs/>
                <w:color w:val="auto"/>
                <w:kern w:val="0"/>
                <w:szCs w:val="24"/>
                <w:highlight w:val="none"/>
              </w:rPr>
              <w:t>监测参数</w:t>
            </w:r>
          </w:p>
        </w:tc>
        <w:tc>
          <w:tcPr>
            <w:tcW w:w="1642" w:type="dxa"/>
            <w:vMerge w:val="continue"/>
            <w:vAlign w:val="center"/>
          </w:tcPr>
          <w:p>
            <w:pPr>
              <w:spacing w:after="0" w:line="360" w:lineRule="auto"/>
              <w:ind w:left="0" w:right="0" w:firstLine="0"/>
              <w:rPr>
                <w:color w:val="auto"/>
                <w:kern w:val="0"/>
                <w:szCs w:val="24"/>
                <w:highlight w:val="none"/>
              </w:rPr>
            </w:pPr>
          </w:p>
        </w:tc>
        <w:tc>
          <w:tcPr>
            <w:tcW w:w="1276" w:type="dxa"/>
            <w:vMerge w:val="continue"/>
            <w:vAlign w:val="center"/>
          </w:tcPr>
          <w:p>
            <w:pPr>
              <w:spacing w:after="0" w:line="360" w:lineRule="auto"/>
              <w:ind w:left="0" w:right="0" w:firstLine="0"/>
              <w:rPr>
                <w:color w:val="auto"/>
                <w:kern w:val="0"/>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 w:hRule="atLeast"/>
        </w:trPr>
        <w:tc>
          <w:tcPr>
            <w:tcW w:w="1560" w:type="dxa"/>
            <w:vMerge w:val="continue"/>
            <w:vAlign w:val="center"/>
          </w:tcPr>
          <w:p>
            <w:pPr>
              <w:spacing w:after="0" w:line="360" w:lineRule="auto"/>
              <w:ind w:left="0" w:right="0" w:firstLine="0"/>
              <w:rPr>
                <w:color w:val="auto"/>
                <w:kern w:val="0"/>
                <w:szCs w:val="24"/>
                <w:highlight w:val="none"/>
              </w:rPr>
            </w:pPr>
          </w:p>
        </w:tc>
        <w:tc>
          <w:tcPr>
            <w:tcW w:w="4677" w:type="dxa"/>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运行状态、故障报警、手/自动模式监测（DI）</w:t>
            </w:r>
          </w:p>
        </w:tc>
        <w:tc>
          <w:tcPr>
            <w:tcW w:w="1642" w:type="dxa"/>
            <w:vMerge w:val="continue"/>
            <w:vAlign w:val="center"/>
          </w:tcPr>
          <w:p>
            <w:pPr>
              <w:spacing w:after="0" w:line="360" w:lineRule="auto"/>
              <w:ind w:left="0" w:right="0" w:firstLine="0"/>
              <w:rPr>
                <w:color w:val="auto"/>
                <w:kern w:val="0"/>
                <w:szCs w:val="24"/>
                <w:highlight w:val="none"/>
              </w:rPr>
            </w:pPr>
          </w:p>
        </w:tc>
        <w:tc>
          <w:tcPr>
            <w:tcW w:w="1276" w:type="dxa"/>
            <w:vMerge w:val="continue"/>
            <w:vAlign w:val="center"/>
          </w:tcPr>
          <w:p>
            <w:pPr>
              <w:spacing w:after="0" w:line="360" w:lineRule="auto"/>
              <w:ind w:left="0" w:right="0" w:firstLine="0"/>
              <w:rPr>
                <w:color w:val="auto"/>
                <w:kern w:val="0"/>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560" w:type="dxa"/>
            <w:vMerge w:val="continue"/>
            <w:vAlign w:val="center"/>
          </w:tcPr>
          <w:p>
            <w:pPr>
              <w:spacing w:after="0" w:line="360" w:lineRule="auto"/>
              <w:ind w:left="0" w:right="0" w:firstLine="0"/>
              <w:rPr>
                <w:color w:val="auto"/>
                <w:kern w:val="0"/>
                <w:szCs w:val="24"/>
                <w:highlight w:val="none"/>
              </w:rPr>
            </w:pPr>
          </w:p>
        </w:tc>
        <w:tc>
          <w:tcPr>
            <w:tcW w:w="4677" w:type="dxa"/>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送风温度、回水温度监测（AI）</w:t>
            </w:r>
          </w:p>
        </w:tc>
        <w:tc>
          <w:tcPr>
            <w:tcW w:w="1642" w:type="dxa"/>
            <w:vMerge w:val="continue"/>
            <w:vAlign w:val="center"/>
          </w:tcPr>
          <w:p>
            <w:pPr>
              <w:spacing w:after="0" w:line="360" w:lineRule="auto"/>
              <w:ind w:left="0" w:right="0" w:firstLine="0"/>
              <w:rPr>
                <w:color w:val="auto"/>
                <w:kern w:val="0"/>
                <w:szCs w:val="24"/>
                <w:highlight w:val="none"/>
              </w:rPr>
            </w:pPr>
          </w:p>
        </w:tc>
        <w:tc>
          <w:tcPr>
            <w:tcW w:w="1276" w:type="dxa"/>
            <w:vMerge w:val="continue"/>
            <w:vAlign w:val="center"/>
          </w:tcPr>
          <w:p>
            <w:pPr>
              <w:spacing w:after="0" w:line="360" w:lineRule="auto"/>
              <w:ind w:left="0" w:right="0" w:firstLine="0"/>
              <w:rPr>
                <w:color w:val="auto"/>
                <w:kern w:val="0"/>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560" w:type="dxa"/>
            <w:vMerge w:val="continue"/>
            <w:vAlign w:val="center"/>
          </w:tcPr>
          <w:p>
            <w:pPr>
              <w:spacing w:after="0" w:line="360" w:lineRule="auto"/>
              <w:ind w:left="0" w:right="0" w:firstLine="0"/>
              <w:rPr>
                <w:color w:val="auto"/>
                <w:kern w:val="0"/>
                <w:szCs w:val="24"/>
                <w:highlight w:val="none"/>
              </w:rPr>
            </w:pPr>
          </w:p>
        </w:tc>
        <w:tc>
          <w:tcPr>
            <w:tcW w:w="4677" w:type="dxa"/>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电动水阀阀位反馈（AI）</w:t>
            </w:r>
          </w:p>
        </w:tc>
        <w:tc>
          <w:tcPr>
            <w:tcW w:w="1642" w:type="dxa"/>
            <w:vMerge w:val="continue"/>
            <w:vAlign w:val="center"/>
          </w:tcPr>
          <w:p>
            <w:pPr>
              <w:spacing w:after="0" w:line="360" w:lineRule="auto"/>
              <w:ind w:left="0" w:right="0" w:firstLine="0"/>
              <w:rPr>
                <w:color w:val="auto"/>
                <w:kern w:val="0"/>
                <w:szCs w:val="24"/>
                <w:highlight w:val="none"/>
              </w:rPr>
            </w:pPr>
          </w:p>
        </w:tc>
        <w:tc>
          <w:tcPr>
            <w:tcW w:w="1276" w:type="dxa"/>
            <w:vMerge w:val="continue"/>
            <w:vAlign w:val="center"/>
          </w:tcPr>
          <w:p>
            <w:pPr>
              <w:spacing w:after="0" w:line="360" w:lineRule="auto"/>
              <w:ind w:left="0" w:right="0" w:firstLine="0"/>
              <w:rPr>
                <w:color w:val="auto"/>
                <w:kern w:val="0"/>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560" w:type="dxa"/>
            <w:vMerge w:val="continue"/>
            <w:vAlign w:val="center"/>
          </w:tcPr>
          <w:p>
            <w:pPr>
              <w:spacing w:after="0" w:line="360" w:lineRule="auto"/>
              <w:ind w:left="0" w:right="0" w:firstLine="0"/>
              <w:rPr>
                <w:color w:val="auto"/>
                <w:kern w:val="0"/>
                <w:szCs w:val="24"/>
                <w:highlight w:val="none"/>
              </w:rPr>
            </w:pPr>
          </w:p>
        </w:tc>
        <w:tc>
          <w:tcPr>
            <w:tcW w:w="4677" w:type="dxa"/>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过滤器压差报警状态反馈（DI）</w:t>
            </w:r>
          </w:p>
        </w:tc>
        <w:tc>
          <w:tcPr>
            <w:tcW w:w="1642" w:type="dxa"/>
            <w:vMerge w:val="continue"/>
            <w:vAlign w:val="center"/>
          </w:tcPr>
          <w:p>
            <w:pPr>
              <w:spacing w:after="0" w:line="360" w:lineRule="auto"/>
              <w:ind w:left="0" w:right="0" w:firstLine="0"/>
              <w:rPr>
                <w:color w:val="auto"/>
                <w:kern w:val="0"/>
                <w:szCs w:val="24"/>
                <w:highlight w:val="none"/>
              </w:rPr>
            </w:pPr>
          </w:p>
        </w:tc>
        <w:tc>
          <w:tcPr>
            <w:tcW w:w="1276" w:type="dxa"/>
            <w:vMerge w:val="continue"/>
            <w:vAlign w:val="center"/>
          </w:tcPr>
          <w:p>
            <w:pPr>
              <w:spacing w:after="0" w:line="360" w:lineRule="auto"/>
              <w:ind w:left="0" w:right="0" w:firstLine="0"/>
              <w:rPr>
                <w:color w:val="auto"/>
                <w:kern w:val="0"/>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 w:hRule="atLeast"/>
        </w:trPr>
        <w:tc>
          <w:tcPr>
            <w:tcW w:w="1560" w:type="dxa"/>
            <w:vMerge w:val="continue"/>
            <w:vAlign w:val="center"/>
          </w:tcPr>
          <w:p>
            <w:pPr>
              <w:spacing w:after="0" w:line="360" w:lineRule="auto"/>
              <w:ind w:left="0" w:right="0" w:firstLine="0"/>
              <w:rPr>
                <w:color w:val="auto"/>
                <w:kern w:val="0"/>
                <w:szCs w:val="24"/>
                <w:highlight w:val="none"/>
              </w:rPr>
            </w:pPr>
          </w:p>
        </w:tc>
        <w:tc>
          <w:tcPr>
            <w:tcW w:w="4677" w:type="dxa"/>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新风阀（新风保温风阀）开闭状态反馈（DI）</w:t>
            </w:r>
          </w:p>
        </w:tc>
        <w:tc>
          <w:tcPr>
            <w:tcW w:w="1642" w:type="dxa"/>
            <w:vMerge w:val="continue"/>
            <w:vAlign w:val="center"/>
          </w:tcPr>
          <w:p>
            <w:pPr>
              <w:spacing w:after="0" w:line="360" w:lineRule="auto"/>
              <w:ind w:left="0" w:right="0" w:firstLine="0"/>
              <w:rPr>
                <w:color w:val="auto"/>
                <w:kern w:val="0"/>
                <w:szCs w:val="24"/>
                <w:highlight w:val="none"/>
              </w:rPr>
            </w:pPr>
          </w:p>
        </w:tc>
        <w:tc>
          <w:tcPr>
            <w:tcW w:w="1276" w:type="dxa"/>
            <w:vMerge w:val="continue"/>
            <w:vAlign w:val="center"/>
          </w:tcPr>
          <w:p>
            <w:pPr>
              <w:spacing w:after="0" w:line="360" w:lineRule="auto"/>
              <w:ind w:left="0" w:right="0" w:firstLine="0"/>
              <w:rPr>
                <w:color w:val="auto"/>
                <w:kern w:val="0"/>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560" w:type="dxa"/>
            <w:vMerge w:val="continue"/>
            <w:vAlign w:val="center"/>
          </w:tcPr>
          <w:p>
            <w:pPr>
              <w:spacing w:after="0" w:line="360" w:lineRule="auto"/>
              <w:ind w:left="0" w:right="0" w:firstLine="0"/>
              <w:rPr>
                <w:color w:val="auto"/>
                <w:kern w:val="0"/>
                <w:szCs w:val="24"/>
                <w:highlight w:val="none"/>
              </w:rPr>
            </w:pPr>
          </w:p>
        </w:tc>
        <w:tc>
          <w:tcPr>
            <w:tcW w:w="4677" w:type="dxa"/>
            <w:shd w:val="clear" w:color="auto" w:fill="auto"/>
            <w:vAlign w:val="center"/>
          </w:tcPr>
          <w:p>
            <w:pPr>
              <w:spacing w:after="0" w:line="360" w:lineRule="auto"/>
              <w:ind w:left="0" w:right="0" w:firstLine="0"/>
              <w:rPr>
                <w:b/>
                <w:bCs/>
                <w:color w:val="auto"/>
                <w:kern w:val="0"/>
                <w:szCs w:val="24"/>
                <w:highlight w:val="none"/>
              </w:rPr>
            </w:pPr>
            <w:r>
              <w:rPr>
                <w:rFonts w:hint="eastAsia"/>
                <w:b/>
                <w:bCs/>
                <w:color w:val="auto"/>
                <w:kern w:val="0"/>
                <w:szCs w:val="24"/>
                <w:highlight w:val="none"/>
              </w:rPr>
              <w:t>2)</w:t>
            </w:r>
            <w:r>
              <w:rPr>
                <w:rFonts w:cs="Times New Roman"/>
                <w:b/>
                <w:bCs/>
                <w:color w:val="auto"/>
                <w:kern w:val="0"/>
                <w:szCs w:val="24"/>
                <w:highlight w:val="none"/>
              </w:rPr>
              <w:t xml:space="preserve">  </w:t>
            </w:r>
            <w:r>
              <w:rPr>
                <w:rFonts w:hint="eastAsia"/>
                <w:b/>
                <w:bCs/>
                <w:color w:val="auto"/>
                <w:kern w:val="0"/>
                <w:szCs w:val="24"/>
                <w:highlight w:val="none"/>
              </w:rPr>
              <w:t>控制参数</w:t>
            </w:r>
          </w:p>
        </w:tc>
        <w:tc>
          <w:tcPr>
            <w:tcW w:w="1642" w:type="dxa"/>
            <w:vMerge w:val="continue"/>
            <w:vAlign w:val="center"/>
          </w:tcPr>
          <w:p>
            <w:pPr>
              <w:spacing w:after="0" w:line="360" w:lineRule="auto"/>
              <w:ind w:left="0" w:right="0" w:firstLine="0"/>
              <w:rPr>
                <w:color w:val="auto"/>
                <w:kern w:val="0"/>
                <w:szCs w:val="24"/>
                <w:highlight w:val="none"/>
              </w:rPr>
            </w:pPr>
          </w:p>
        </w:tc>
        <w:tc>
          <w:tcPr>
            <w:tcW w:w="1276" w:type="dxa"/>
            <w:vMerge w:val="continue"/>
            <w:vAlign w:val="center"/>
          </w:tcPr>
          <w:p>
            <w:pPr>
              <w:spacing w:after="0" w:line="360" w:lineRule="auto"/>
              <w:ind w:left="0" w:right="0" w:firstLine="0"/>
              <w:rPr>
                <w:color w:val="auto"/>
                <w:kern w:val="0"/>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560" w:type="dxa"/>
            <w:vMerge w:val="continue"/>
            <w:vAlign w:val="center"/>
          </w:tcPr>
          <w:p>
            <w:pPr>
              <w:spacing w:after="0" w:line="360" w:lineRule="auto"/>
              <w:ind w:left="0" w:right="0" w:firstLine="0"/>
              <w:rPr>
                <w:color w:val="auto"/>
                <w:kern w:val="0"/>
                <w:szCs w:val="24"/>
                <w:highlight w:val="none"/>
              </w:rPr>
            </w:pPr>
          </w:p>
        </w:tc>
        <w:tc>
          <w:tcPr>
            <w:tcW w:w="4677" w:type="dxa"/>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启停控制（DO）</w:t>
            </w:r>
          </w:p>
        </w:tc>
        <w:tc>
          <w:tcPr>
            <w:tcW w:w="1642" w:type="dxa"/>
            <w:vMerge w:val="continue"/>
            <w:vAlign w:val="center"/>
          </w:tcPr>
          <w:p>
            <w:pPr>
              <w:spacing w:after="0" w:line="360" w:lineRule="auto"/>
              <w:ind w:left="0" w:right="0" w:firstLine="0"/>
              <w:rPr>
                <w:color w:val="auto"/>
                <w:kern w:val="0"/>
                <w:szCs w:val="24"/>
                <w:highlight w:val="none"/>
              </w:rPr>
            </w:pPr>
          </w:p>
        </w:tc>
        <w:tc>
          <w:tcPr>
            <w:tcW w:w="1276" w:type="dxa"/>
            <w:vMerge w:val="continue"/>
            <w:vAlign w:val="center"/>
          </w:tcPr>
          <w:p>
            <w:pPr>
              <w:spacing w:after="0" w:line="360" w:lineRule="auto"/>
              <w:ind w:left="0" w:right="0" w:firstLine="0"/>
              <w:rPr>
                <w:color w:val="auto"/>
                <w:kern w:val="0"/>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560" w:type="dxa"/>
            <w:vMerge w:val="continue"/>
            <w:vAlign w:val="center"/>
          </w:tcPr>
          <w:p>
            <w:pPr>
              <w:spacing w:after="0" w:line="360" w:lineRule="auto"/>
              <w:ind w:left="0" w:right="0" w:firstLine="0"/>
              <w:rPr>
                <w:color w:val="auto"/>
                <w:kern w:val="0"/>
                <w:szCs w:val="24"/>
                <w:highlight w:val="none"/>
              </w:rPr>
            </w:pPr>
          </w:p>
        </w:tc>
        <w:tc>
          <w:tcPr>
            <w:tcW w:w="4677" w:type="dxa"/>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电动水阀开度调节（AO）</w:t>
            </w:r>
          </w:p>
        </w:tc>
        <w:tc>
          <w:tcPr>
            <w:tcW w:w="1642" w:type="dxa"/>
            <w:vMerge w:val="continue"/>
            <w:vAlign w:val="center"/>
          </w:tcPr>
          <w:p>
            <w:pPr>
              <w:spacing w:after="0" w:line="360" w:lineRule="auto"/>
              <w:ind w:left="0" w:right="0" w:firstLine="0"/>
              <w:rPr>
                <w:color w:val="auto"/>
                <w:kern w:val="0"/>
                <w:szCs w:val="24"/>
                <w:highlight w:val="none"/>
              </w:rPr>
            </w:pPr>
          </w:p>
        </w:tc>
        <w:tc>
          <w:tcPr>
            <w:tcW w:w="1276" w:type="dxa"/>
            <w:vMerge w:val="continue"/>
            <w:vAlign w:val="center"/>
          </w:tcPr>
          <w:p>
            <w:pPr>
              <w:spacing w:after="0" w:line="360" w:lineRule="auto"/>
              <w:ind w:left="0" w:right="0" w:firstLine="0"/>
              <w:rPr>
                <w:color w:val="auto"/>
                <w:kern w:val="0"/>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560" w:type="dxa"/>
            <w:vMerge w:val="continue"/>
            <w:vAlign w:val="center"/>
          </w:tcPr>
          <w:p>
            <w:pPr>
              <w:spacing w:after="0" w:line="360" w:lineRule="auto"/>
              <w:ind w:left="0" w:right="0" w:firstLine="0"/>
              <w:rPr>
                <w:color w:val="auto"/>
                <w:kern w:val="0"/>
                <w:szCs w:val="24"/>
                <w:highlight w:val="none"/>
              </w:rPr>
            </w:pPr>
          </w:p>
        </w:tc>
        <w:tc>
          <w:tcPr>
            <w:tcW w:w="4677" w:type="dxa"/>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新风阀开关控制（DO）</w:t>
            </w:r>
          </w:p>
        </w:tc>
        <w:tc>
          <w:tcPr>
            <w:tcW w:w="1642" w:type="dxa"/>
            <w:vMerge w:val="continue"/>
            <w:vAlign w:val="center"/>
          </w:tcPr>
          <w:p>
            <w:pPr>
              <w:spacing w:after="0" w:line="360" w:lineRule="auto"/>
              <w:ind w:left="0" w:right="0" w:firstLine="0"/>
              <w:rPr>
                <w:color w:val="auto"/>
                <w:kern w:val="0"/>
                <w:szCs w:val="24"/>
                <w:highlight w:val="none"/>
              </w:rPr>
            </w:pPr>
          </w:p>
        </w:tc>
        <w:tc>
          <w:tcPr>
            <w:tcW w:w="1276" w:type="dxa"/>
            <w:vMerge w:val="continue"/>
            <w:vAlign w:val="center"/>
          </w:tcPr>
          <w:p>
            <w:pPr>
              <w:spacing w:after="0" w:line="360" w:lineRule="auto"/>
              <w:ind w:left="0" w:right="0" w:firstLine="0"/>
              <w:rPr>
                <w:color w:val="auto"/>
                <w:kern w:val="0"/>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560" w:type="dxa"/>
            <w:vMerge w:val="continue"/>
            <w:vAlign w:val="center"/>
          </w:tcPr>
          <w:p>
            <w:pPr>
              <w:spacing w:after="0" w:line="360" w:lineRule="auto"/>
              <w:ind w:left="0" w:right="0" w:firstLine="0"/>
              <w:rPr>
                <w:color w:val="auto"/>
                <w:kern w:val="0"/>
                <w:szCs w:val="24"/>
                <w:highlight w:val="none"/>
              </w:rPr>
            </w:pPr>
          </w:p>
        </w:tc>
        <w:tc>
          <w:tcPr>
            <w:tcW w:w="4677" w:type="dxa"/>
            <w:shd w:val="clear" w:color="auto" w:fill="auto"/>
            <w:vAlign w:val="center"/>
          </w:tcPr>
          <w:p>
            <w:pPr>
              <w:spacing w:after="0" w:line="360" w:lineRule="auto"/>
              <w:ind w:left="0" w:right="0" w:firstLine="0"/>
              <w:rPr>
                <w:b/>
                <w:bCs/>
                <w:color w:val="auto"/>
                <w:kern w:val="0"/>
                <w:szCs w:val="24"/>
                <w:highlight w:val="none"/>
              </w:rPr>
            </w:pPr>
            <w:r>
              <w:rPr>
                <w:rFonts w:hint="eastAsia"/>
                <w:b/>
                <w:bCs/>
                <w:color w:val="auto"/>
                <w:kern w:val="0"/>
                <w:szCs w:val="24"/>
                <w:highlight w:val="none"/>
              </w:rPr>
              <w:t>3)</w:t>
            </w:r>
            <w:r>
              <w:rPr>
                <w:rFonts w:cs="Times New Roman"/>
                <w:b/>
                <w:bCs/>
                <w:color w:val="auto"/>
                <w:kern w:val="0"/>
                <w:szCs w:val="24"/>
                <w:highlight w:val="none"/>
              </w:rPr>
              <w:t xml:space="preserve">  </w:t>
            </w:r>
            <w:r>
              <w:rPr>
                <w:rFonts w:hint="eastAsia"/>
                <w:b/>
                <w:bCs/>
                <w:color w:val="auto"/>
                <w:kern w:val="0"/>
                <w:szCs w:val="24"/>
                <w:highlight w:val="none"/>
              </w:rPr>
              <w:t>故障报警参数</w:t>
            </w:r>
          </w:p>
        </w:tc>
        <w:tc>
          <w:tcPr>
            <w:tcW w:w="1642" w:type="dxa"/>
            <w:vMerge w:val="continue"/>
            <w:vAlign w:val="center"/>
          </w:tcPr>
          <w:p>
            <w:pPr>
              <w:spacing w:after="0" w:line="360" w:lineRule="auto"/>
              <w:ind w:left="0" w:right="0" w:firstLine="0"/>
              <w:rPr>
                <w:color w:val="auto"/>
                <w:kern w:val="0"/>
                <w:szCs w:val="24"/>
                <w:highlight w:val="none"/>
              </w:rPr>
            </w:pPr>
          </w:p>
        </w:tc>
        <w:tc>
          <w:tcPr>
            <w:tcW w:w="1276" w:type="dxa"/>
            <w:vMerge w:val="continue"/>
            <w:vAlign w:val="center"/>
          </w:tcPr>
          <w:p>
            <w:pPr>
              <w:spacing w:after="0" w:line="360" w:lineRule="auto"/>
              <w:ind w:left="0" w:right="0" w:firstLine="0"/>
              <w:rPr>
                <w:color w:val="auto"/>
                <w:kern w:val="0"/>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5" w:hRule="atLeast"/>
        </w:trPr>
        <w:tc>
          <w:tcPr>
            <w:tcW w:w="1560" w:type="dxa"/>
            <w:vMerge w:val="continue"/>
            <w:vAlign w:val="center"/>
          </w:tcPr>
          <w:p>
            <w:pPr>
              <w:spacing w:after="0" w:line="360" w:lineRule="auto"/>
              <w:ind w:left="0" w:right="0" w:firstLine="0"/>
              <w:rPr>
                <w:color w:val="auto"/>
                <w:kern w:val="0"/>
                <w:szCs w:val="24"/>
                <w:highlight w:val="none"/>
              </w:rPr>
            </w:pPr>
          </w:p>
        </w:tc>
        <w:tc>
          <w:tcPr>
            <w:tcW w:w="4677" w:type="dxa"/>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应监测各个新风机组风机状态，当风机运行故障时，应发出故障报警</w:t>
            </w:r>
          </w:p>
        </w:tc>
        <w:tc>
          <w:tcPr>
            <w:tcW w:w="1642" w:type="dxa"/>
            <w:vMerge w:val="continue"/>
            <w:vAlign w:val="center"/>
          </w:tcPr>
          <w:p>
            <w:pPr>
              <w:spacing w:after="0" w:line="360" w:lineRule="auto"/>
              <w:ind w:left="0" w:right="0" w:firstLine="0"/>
              <w:rPr>
                <w:color w:val="auto"/>
                <w:kern w:val="0"/>
                <w:szCs w:val="24"/>
                <w:highlight w:val="none"/>
              </w:rPr>
            </w:pPr>
          </w:p>
        </w:tc>
        <w:tc>
          <w:tcPr>
            <w:tcW w:w="1276" w:type="dxa"/>
            <w:vMerge w:val="continue"/>
            <w:vAlign w:val="center"/>
          </w:tcPr>
          <w:p>
            <w:pPr>
              <w:spacing w:after="0" w:line="360" w:lineRule="auto"/>
              <w:ind w:left="0" w:right="0" w:firstLine="0"/>
              <w:rPr>
                <w:color w:val="auto"/>
                <w:kern w:val="0"/>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560" w:type="dxa"/>
            <w:vMerge w:val="restart"/>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风机盘管</w:t>
            </w:r>
          </w:p>
        </w:tc>
        <w:tc>
          <w:tcPr>
            <w:tcW w:w="4677" w:type="dxa"/>
            <w:shd w:val="clear" w:color="auto" w:fill="auto"/>
            <w:vAlign w:val="center"/>
          </w:tcPr>
          <w:p>
            <w:pPr>
              <w:spacing w:after="0" w:line="360" w:lineRule="auto"/>
              <w:ind w:left="0" w:right="0" w:firstLine="0"/>
              <w:rPr>
                <w:b/>
                <w:bCs/>
                <w:color w:val="auto"/>
                <w:kern w:val="0"/>
                <w:szCs w:val="24"/>
                <w:highlight w:val="none"/>
              </w:rPr>
            </w:pPr>
            <w:r>
              <w:rPr>
                <w:rFonts w:hint="eastAsia"/>
                <w:b/>
                <w:bCs/>
                <w:color w:val="auto"/>
                <w:kern w:val="0"/>
                <w:szCs w:val="24"/>
                <w:highlight w:val="none"/>
              </w:rPr>
              <w:t>1) 监测参数</w:t>
            </w:r>
          </w:p>
        </w:tc>
        <w:tc>
          <w:tcPr>
            <w:tcW w:w="1642" w:type="dxa"/>
            <w:vMerge w:val="continue"/>
            <w:vAlign w:val="center"/>
          </w:tcPr>
          <w:p>
            <w:pPr>
              <w:spacing w:after="0" w:line="360" w:lineRule="auto"/>
              <w:ind w:left="0" w:right="0" w:firstLine="0"/>
              <w:rPr>
                <w:color w:val="auto"/>
                <w:kern w:val="0"/>
                <w:szCs w:val="24"/>
                <w:highlight w:val="none"/>
              </w:rPr>
            </w:pPr>
          </w:p>
        </w:tc>
        <w:tc>
          <w:tcPr>
            <w:tcW w:w="1276" w:type="dxa"/>
            <w:vMerge w:val="continue"/>
            <w:vAlign w:val="center"/>
          </w:tcPr>
          <w:p>
            <w:pPr>
              <w:spacing w:after="0" w:line="360" w:lineRule="auto"/>
              <w:ind w:left="0" w:right="0" w:firstLine="0"/>
              <w:rPr>
                <w:color w:val="auto"/>
                <w:kern w:val="0"/>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trPr>
        <w:tc>
          <w:tcPr>
            <w:tcW w:w="1560" w:type="dxa"/>
            <w:vMerge w:val="continue"/>
            <w:vAlign w:val="center"/>
          </w:tcPr>
          <w:p>
            <w:pPr>
              <w:spacing w:after="0" w:line="360" w:lineRule="auto"/>
              <w:ind w:left="0" w:right="0" w:firstLine="0"/>
              <w:rPr>
                <w:color w:val="auto"/>
                <w:kern w:val="0"/>
                <w:szCs w:val="24"/>
                <w:highlight w:val="none"/>
              </w:rPr>
            </w:pPr>
          </w:p>
        </w:tc>
        <w:tc>
          <w:tcPr>
            <w:tcW w:w="4677" w:type="dxa"/>
            <w:shd w:val="clear" w:color="auto" w:fill="auto"/>
            <w:vAlign w:val="center"/>
          </w:tcPr>
          <w:p>
            <w:pPr>
              <w:spacing w:after="0" w:line="360" w:lineRule="auto"/>
              <w:ind w:left="0" w:right="-115" w:rightChars="-48" w:firstLine="0"/>
              <w:rPr>
                <w:color w:val="auto"/>
                <w:kern w:val="0"/>
                <w:szCs w:val="24"/>
                <w:highlight w:val="none"/>
              </w:rPr>
            </w:pPr>
            <w:r>
              <w:rPr>
                <w:rFonts w:hint="eastAsia"/>
                <w:color w:val="auto"/>
                <w:kern w:val="0"/>
                <w:szCs w:val="24"/>
                <w:highlight w:val="none"/>
              </w:rPr>
              <w:t>应风机盘管配电回路的运行、停止状态（DI）、阀门的开度检测。</w:t>
            </w:r>
          </w:p>
        </w:tc>
        <w:tc>
          <w:tcPr>
            <w:tcW w:w="1642" w:type="dxa"/>
            <w:vMerge w:val="continue"/>
            <w:vAlign w:val="center"/>
          </w:tcPr>
          <w:p>
            <w:pPr>
              <w:spacing w:after="0" w:line="360" w:lineRule="auto"/>
              <w:ind w:left="0" w:right="0" w:firstLine="0"/>
              <w:rPr>
                <w:color w:val="auto"/>
                <w:kern w:val="0"/>
                <w:szCs w:val="24"/>
                <w:highlight w:val="none"/>
              </w:rPr>
            </w:pPr>
          </w:p>
        </w:tc>
        <w:tc>
          <w:tcPr>
            <w:tcW w:w="1276" w:type="dxa"/>
            <w:vMerge w:val="continue"/>
            <w:vAlign w:val="center"/>
          </w:tcPr>
          <w:p>
            <w:pPr>
              <w:spacing w:after="0" w:line="360" w:lineRule="auto"/>
              <w:ind w:left="0" w:right="0" w:firstLine="0"/>
              <w:rPr>
                <w:color w:val="auto"/>
                <w:kern w:val="0"/>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560" w:type="dxa"/>
            <w:vMerge w:val="continue"/>
            <w:vAlign w:val="center"/>
          </w:tcPr>
          <w:p>
            <w:pPr>
              <w:spacing w:after="0" w:line="360" w:lineRule="auto"/>
              <w:ind w:left="0" w:right="0" w:firstLine="0"/>
              <w:rPr>
                <w:color w:val="auto"/>
                <w:kern w:val="0"/>
                <w:szCs w:val="24"/>
                <w:highlight w:val="none"/>
              </w:rPr>
            </w:pPr>
          </w:p>
        </w:tc>
        <w:tc>
          <w:tcPr>
            <w:tcW w:w="4677" w:type="dxa"/>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2</w:t>
            </w:r>
            <w:r>
              <w:rPr>
                <w:rFonts w:hint="eastAsia"/>
                <w:b/>
                <w:bCs/>
                <w:color w:val="auto"/>
                <w:kern w:val="0"/>
                <w:szCs w:val="24"/>
                <w:highlight w:val="none"/>
              </w:rPr>
              <w:t>) 控制参数</w:t>
            </w:r>
          </w:p>
        </w:tc>
        <w:tc>
          <w:tcPr>
            <w:tcW w:w="1642" w:type="dxa"/>
            <w:vMerge w:val="continue"/>
            <w:vAlign w:val="center"/>
          </w:tcPr>
          <w:p>
            <w:pPr>
              <w:spacing w:after="0" w:line="360" w:lineRule="auto"/>
              <w:ind w:left="0" w:right="0" w:firstLine="0"/>
              <w:rPr>
                <w:color w:val="auto"/>
                <w:kern w:val="0"/>
                <w:szCs w:val="24"/>
                <w:highlight w:val="none"/>
              </w:rPr>
            </w:pPr>
          </w:p>
        </w:tc>
        <w:tc>
          <w:tcPr>
            <w:tcW w:w="1276" w:type="dxa"/>
            <w:vMerge w:val="continue"/>
            <w:vAlign w:val="center"/>
          </w:tcPr>
          <w:p>
            <w:pPr>
              <w:spacing w:after="0" w:line="360" w:lineRule="auto"/>
              <w:ind w:left="0" w:right="0" w:firstLine="0"/>
              <w:rPr>
                <w:color w:val="auto"/>
                <w:kern w:val="0"/>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5" w:hRule="atLeast"/>
        </w:trPr>
        <w:tc>
          <w:tcPr>
            <w:tcW w:w="1560" w:type="dxa"/>
            <w:vMerge w:val="continue"/>
            <w:vAlign w:val="center"/>
          </w:tcPr>
          <w:p>
            <w:pPr>
              <w:spacing w:after="0" w:line="360" w:lineRule="auto"/>
              <w:ind w:left="0" w:right="0" w:firstLine="0"/>
              <w:rPr>
                <w:color w:val="auto"/>
                <w:kern w:val="0"/>
                <w:szCs w:val="24"/>
                <w:highlight w:val="none"/>
              </w:rPr>
            </w:pPr>
          </w:p>
        </w:tc>
        <w:tc>
          <w:tcPr>
            <w:tcW w:w="4677" w:type="dxa"/>
            <w:shd w:val="clear" w:color="auto" w:fill="auto"/>
            <w:vAlign w:val="center"/>
          </w:tcPr>
          <w:p>
            <w:pPr>
              <w:spacing w:after="0" w:line="360" w:lineRule="auto"/>
              <w:ind w:left="0" w:right="-115" w:rightChars="-48" w:firstLine="0"/>
              <w:rPr>
                <w:color w:val="auto"/>
                <w:kern w:val="0"/>
                <w:szCs w:val="24"/>
                <w:highlight w:val="none"/>
              </w:rPr>
            </w:pPr>
            <w:r>
              <w:rPr>
                <w:rFonts w:hint="eastAsia"/>
                <w:color w:val="auto"/>
                <w:kern w:val="0"/>
                <w:szCs w:val="24"/>
                <w:highlight w:val="none"/>
              </w:rPr>
              <w:t>应控制风机盘管配电回路的电源、水阀通断（DO）。</w:t>
            </w:r>
          </w:p>
        </w:tc>
        <w:tc>
          <w:tcPr>
            <w:tcW w:w="1642" w:type="dxa"/>
            <w:vMerge w:val="continue"/>
            <w:vAlign w:val="center"/>
          </w:tcPr>
          <w:p>
            <w:pPr>
              <w:spacing w:after="0" w:line="360" w:lineRule="auto"/>
              <w:ind w:left="0" w:right="0" w:firstLine="0"/>
              <w:rPr>
                <w:color w:val="auto"/>
                <w:kern w:val="0"/>
                <w:szCs w:val="24"/>
                <w:highlight w:val="none"/>
              </w:rPr>
            </w:pPr>
          </w:p>
        </w:tc>
        <w:tc>
          <w:tcPr>
            <w:tcW w:w="1276" w:type="dxa"/>
            <w:vMerge w:val="continue"/>
            <w:vAlign w:val="center"/>
          </w:tcPr>
          <w:p>
            <w:pPr>
              <w:spacing w:after="0" w:line="360" w:lineRule="auto"/>
              <w:ind w:left="0" w:right="0" w:firstLine="0"/>
              <w:rPr>
                <w:color w:val="auto"/>
                <w:kern w:val="0"/>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560" w:type="dxa"/>
            <w:vMerge w:val="restart"/>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通风设备</w:t>
            </w:r>
          </w:p>
        </w:tc>
        <w:tc>
          <w:tcPr>
            <w:tcW w:w="4677" w:type="dxa"/>
            <w:shd w:val="clear" w:color="auto" w:fill="auto"/>
            <w:vAlign w:val="center"/>
          </w:tcPr>
          <w:p>
            <w:pPr>
              <w:spacing w:after="0" w:line="360" w:lineRule="auto"/>
              <w:ind w:left="0" w:right="0" w:firstLine="0"/>
              <w:rPr>
                <w:b/>
                <w:bCs/>
                <w:color w:val="auto"/>
                <w:kern w:val="0"/>
                <w:szCs w:val="24"/>
                <w:highlight w:val="none"/>
              </w:rPr>
            </w:pPr>
            <w:r>
              <w:rPr>
                <w:rFonts w:hint="eastAsia"/>
                <w:b/>
                <w:bCs/>
                <w:color w:val="auto"/>
                <w:kern w:val="0"/>
                <w:szCs w:val="24"/>
                <w:highlight w:val="none"/>
              </w:rPr>
              <w:t>1) 监测参数</w:t>
            </w:r>
          </w:p>
        </w:tc>
        <w:tc>
          <w:tcPr>
            <w:tcW w:w="1642" w:type="dxa"/>
            <w:vMerge w:val="continue"/>
            <w:vAlign w:val="center"/>
          </w:tcPr>
          <w:p>
            <w:pPr>
              <w:spacing w:after="0" w:line="360" w:lineRule="auto"/>
              <w:ind w:left="0" w:right="0" w:firstLine="0"/>
              <w:rPr>
                <w:color w:val="auto"/>
                <w:kern w:val="0"/>
                <w:szCs w:val="24"/>
                <w:highlight w:val="none"/>
              </w:rPr>
            </w:pPr>
          </w:p>
        </w:tc>
        <w:tc>
          <w:tcPr>
            <w:tcW w:w="1276" w:type="dxa"/>
            <w:vMerge w:val="continue"/>
            <w:vAlign w:val="center"/>
          </w:tcPr>
          <w:p>
            <w:pPr>
              <w:spacing w:after="0" w:line="360" w:lineRule="auto"/>
              <w:ind w:left="0" w:right="0" w:firstLine="0"/>
              <w:rPr>
                <w:color w:val="auto"/>
                <w:kern w:val="0"/>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trPr>
        <w:tc>
          <w:tcPr>
            <w:tcW w:w="1560" w:type="dxa"/>
            <w:vMerge w:val="continue"/>
            <w:vAlign w:val="center"/>
          </w:tcPr>
          <w:p>
            <w:pPr>
              <w:spacing w:after="0" w:line="360" w:lineRule="auto"/>
              <w:ind w:left="0" w:right="0" w:firstLine="0"/>
              <w:rPr>
                <w:color w:val="auto"/>
                <w:kern w:val="0"/>
                <w:szCs w:val="24"/>
                <w:highlight w:val="none"/>
              </w:rPr>
            </w:pPr>
          </w:p>
        </w:tc>
        <w:tc>
          <w:tcPr>
            <w:tcW w:w="4677" w:type="dxa"/>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监测送风机、排风机的运行状态、故障报警及手自动模式（DI）</w:t>
            </w:r>
          </w:p>
        </w:tc>
        <w:tc>
          <w:tcPr>
            <w:tcW w:w="1642" w:type="dxa"/>
            <w:vMerge w:val="continue"/>
            <w:vAlign w:val="center"/>
          </w:tcPr>
          <w:p>
            <w:pPr>
              <w:spacing w:after="0" w:line="360" w:lineRule="auto"/>
              <w:ind w:left="0" w:right="0" w:firstLine="0"/>
              <w:rPr>
                <w:color w:val="auto"/>
                <w:kern w:val="0"/>
                <w:szCs w:val="24"/>
                <w:highlight w:val="none"/>
              </w:rPr>
            </w:pPr>
          </w:p>
        </w:tc>
        <w:tc>
          <w:tcPr>
            <w:tcW w:w="1276" w:type="dxa"/>
            <w:vMerge w:val="continue"/>
            <w:vAlign w:val="center"/>
          </w:tcPr>
          <w:p>
            <w:pPr>
              <w:spacing w:after="0" w:line="360" w:lineRule="auto"/>
              <w:ind w:left="0" w:right="0" w:firstLine="0"/>
              <w:rPr>
                <w:color w:val="auto"/>
                <w:kern w:val="0"/>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560" w:type="dxa"/>
            <w:vMerge w:val="continue"/>
            <w:vAlign w:val="center"/>
          </w:tcPr>
          <w:p>
            <w:pPr>
              <w:spacing w:after="0" w:line="360" w:lineRule="auto"/>
              <w:ind w:left="0" w:right="0" w:firstLine="0"/>
              <w:rPr>
                <w:color w:val="auto"/>
                <w:kern w:val="0"/>
                <w:szCs w:val="24"/>
                <w:highlight w:val="none"/>
              </w:rPr>
            </w:pPr>
          </w:p>
        </w:tc>
        <w:tc>
          <w:tcPr>
            <w:tcW w:w="4677" w:type="dxa"/>
            <w:shd w:val="clear" w:color="auto" w:fill="auto"/>
            <w:vAlign w:val="center"/>
          </w:tcPr>
          <w:p>
            <w:pPr>
              <w:spacing w:after="0" w:line="360" w:lineRule="auto"/>
              <w:ind w:left="0" w:right="0" w:firstLine="0"/>
              <w:rPr>
                <w:b/>
                <w:bCs/>
                <w:color w:val="auto"/>
                <w:kern w:val="0"/>
                <w:szCs w:val="24"/>
                <w:highlight w:val="none"/>
              </w:rPr>
            </w:pPr>
            <w:r>
              <w:rPr>
                <w:rFonts w:hint="eastAsia"/>
                <w:b/>
                <w:bCs/>
                <w:color w:val="auto"/>
                <w:kern w:val="0"/>
                <w:szCs w:val="24"/>
                <w:highlight w:val="none"/>
              </w:rPr>
              <w:t>2) 控制参数</w:t>
            </w:r>
          </w:p>
        </w:tc>
        <w:tc>
          <w:tcPr>
            <w:tcW w:w="1642" w:type="dxa"/>
            <w:vMerge w:val="continue"/>
            <w:vAlign w:val="center"/>
          </w:tcPr>
          <w:p>
            <w:pPr>
              <w:spacing w:after="0" w:line="360" w:lineRule="auto"/>
              <w:ind w:left="0" w:right="0" w:firstLine="0"/>
              <w:rPr>
                <w:color w:val="auto"/>
                <w:kern w:val="0"/>
                <w:szCs w:val="24"/>
                <w:highlight w:val="none"/>
              </w:rPr>
            </w:pPr>
          </w:p>
        </w:tc>
        <w:tc>
          <w:tcPr>
            <w:tcW w:w="1276" w:type="dxa"/>
            <w:vMerge w:val="continue"/>
            <w:vAlign w:val="center"/>
          </w:tcPr>
          <w:p>
            <w:pPr>
              <w:spacing w:after="0" w:line="360" w:lineRule="auto"/>
              <w:ind w:left="0" w:right="0" w:firstLine="0"/>
              <w:rPr>
                <w:color w:val="auto"/>
                <w:kern w:val="0"/>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560" w:type="dxa"/>
            <w:vMerge w:val="continue"/>
            <w:vAlign w:val="center"/>
          </w:tcPr>
          <w:p>
            <w:pPr>
              <w:spacing w:after="0" w:line="360" w:lineRule="auto"/>
              <w:ind w:left="0" w:right="0" w:firstLine="0"/>
              <w:rPr>
                <w:color w:val="auto"/>
                <w:kern w:val="0"/>
                <w:szCs w:val="24"/>
                <w:highlight w:val="none"/>
              </w:rPr>
            </w:pPr>
          </w:p>
        </w:tc>
        <w:tc>
          <w:tcPr>
            <w:tcW w:w="4677" w:type="dxa"/>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控制送风机、排风机的启停（DO）</w:t>
            </w:r>
          </w:p>
        </w:tc>
        <w:tc>
          <w:tcPr>
            <w:tcW w:w="1642" w:type="dxa"/>
            <w:vMerge w:val="continue"/>
            <w:vAlign w:val="center"/>
          </w:tcPr>
          <w:p>
            <w:pPr>
              <w:spacing w:after="0" w:line="360" w:lineRule="auto"/>
              <w:ind w:left="0" w:right="0" w:firstLine="0"/>
              <w:rPr>
                <w:color w:val="auto"/>
                <w:kern w:val="0"/>
                <w:szCs w:val="24"/>
                <w:highlight w:val="none"/>
              </w:rPr>
            </w:pPr>
          </w:p>
        </w:tc>
        <w:tc>
          <w:tcPr>
            <w:tcW w:w="1276" w:type="dxa"/>
            <w:vMerge w:val="continue"/>
            <w:vAlign w:val="center"/>
          </w:tcPr>
          <w:p>
            <w:pPr>
              <w:spacing w:after="0" w:line="360" w:lineRule="auto"/>
              <w:ind w:left="0" w:right="0" w:firstLine="0"/>
              <w:rPr>
                <w:color w:val="auto"/>
                <w:kern w:val="0"/>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560" w:type="dxa"/>
            <w:vMerge w:val="continue"/>
            <w:vAlign w:val="center"/>
          </w:tcPr>
          <w:p>
            <w:pPr>
              <w:spacing w:after="0" w:line="360" w:lineRule="auto"/>
              <w:ind w:left="0" w:right="0" w:firstLine="0"/>
              <w:rPr>
                <w:color w:val="auto"/>
                <w:kern w:val="0"/>
                <w:szCs w:val="24"/>
                <w:highlight w:val="none"/>
              </w:rPr>
            </w:pPr>
          </w:p>
        </w:tc>
        <w:tc>
          <w:tcPr>
            <w:tcW w:w="4677" w:type="dxa"/>
            <w:shd w:val="clear" w:color="auto" w:fill="auto"/>
            <w:vAlign w:val="center"/>
          </w:tcPr>
          <w:p>
            <w:pPr>
              <w:spacing w:after="0" w:line="360" w:lineRule="auto"/>
              <w:ind w:left="0" w:right="0" w:firstLine="0"/>
              <w:rPr>
                <w:b/>
                <w:bCs/>
                <w:color w:val="auto"/>
                <w:kern w:val="0"/>
                <w:szCs w:val="24"/>
                <w:highlight w:val="none"/>
              </w:rPr>
            </w:pPr>
            <w:r>
              <w:rPr>
                <w:rFonts w:hint="eastAsia"/>
                <w:b/>
                <w:bCs/>
                <w:color w:val="auto"/>
                <w:kern w:val="0"/>
                <w:szCs w:val="24"/>
                <w:highlight w:val="none"/>
              </w:rPr>
              <w:t>3) 故障报警参数</w:t>
            </w:r>
          </w:p>
        </w:tc>
        <w:tc>
          <w:tcPr>
            <w:tcW w:w="1642" w:type="dxa"/>
            <w:vMerge w:val="continue"/>
            <w:vAlign w:val="center"/>
          </w:tcPr>
          <w:p>
            <w:pPr>
              <w:spacing w:after="0" w:line="360" w:lineRule="auto"/>
              <w:ind w:left="0" w:right="0" w:firstLine="0"/>
              <w:rPr>
                <w:color w:val="auto"/>
                <w:kern w:val="0"/>
                <w:szCs w:val="24"/>
                <w:highlight w:val="none"/>
              </w:rPr>
            </w:pPr>
          </w:p>
        </w:tc>
        <w:tc>
          <w:tcPr>
            <w:tcW w:w="1276" w:type="dxa"/>
            <w:vMerge w:val="continue"/>
            <w:vAlign w:val="center"/>
          </w:tcPr>
          <w:p>
            <w:pPr>
              <w:spacing w:after="0" w:line="360" w:lineRule="auto"/>
              <w:ind w:left="0" w:right="0" w:firstLine="0"/>
              <w:rPr>
                <w:color w:val="auto"/>
                <w:kern w:val="0"/>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 w:hRule="atLeast"/>
        </w:trPr>
        <w:tc>
          <w:tcPr>
            <w:tcW w:w="1560" w:type="dxa"/>
            <w:vMerge w:val="continue"/>
            <w:vAlign w:val="center"/>
          </w:tcPr>
          <w:p>
            <w:pPr>
              <w:spacing w:after="0" w:line="360" w:lineRule="auto"/>
              <w:ind w:left="0" w:right="0" w:firstLine="0"/>
              <w:rPr>
                <w:color w:val="auto"/>
                <w:kern w:val="0"/>
                <w:szCs w:val="24"/>
                <w:highlight w:val="none"/>
              </w:rPr>
            </w:pPr>
          </w:p>
        </w:tc>
        <w:tc>
          <w:tcPr>
            <w:tcW w:w="4677" w:type="dxa"/>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当风机运行故障时，应发出故障报警。</w:t>
            </w:r>
          </w:p>
        </w:tc>
        <w:tc>
          <w:tcPr>
            <w:tcW w:w="1642" w:type="dxa"/>
            <w:vMerge w:val="continue"/>
            <w:vAlign w:val="center"/>
          </w:tcPr>
          <w:p>
            <w:pPr>
              <w:spacing w:after="0" w:line="360" w:lineRule="auto"/>
              <w:ind w:left="0" w:right="0" w:firstLine="0"/>
              <w:rPr>
                <w:color w:val="auto"/>
                <w:kern w:val="0"/>
                <w:szCs w:val="24"/>
                <w:highlight w:val="none"/>
              </w:rPr>
            </w:pPr>
          </w:p>
        </w:tc>
        <w:tc>
          <w:tcPr>
            <w:tcW w:w="1276" w:type="dxa"/>
            <w:vMerge w:val="continue"/>
            <w:vAlign w:val="center"/>
          </w:tcPr>
          <w:p>
            <w:pPr>
              <w:spacing w:after="0" w:line="360" w:lineRule="auto"/>
              <w:ind w:left="0" w:right="0" w:firstLine="0"/>
              <w:rPr>
                <w:color w:val="auto"/>
                <w:kern w:val="0"/>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560" w:type="dxa"/>
            <w:shd w:val="clear" w:color="auto" w:fill="auto"/>
            <w:vAlign w:val="center"/>
          </w:tcPr>
          <w:p>
            <w:pPr>
              <w:spacing w:after="0" w:line="360" w:lineRule="auto"/>
              <w:ind w:left="0" w:right="-108" w:rightChars="-45" w:firstLine="0"/>
              <w:rPr>
                <w:color w:val="auto"/>
                <w:kern w:val="0"/>
                <w:szCs w:val="24"/>
                <w:highlight w:val="none"/>
              </w:rPr>
            </w:pPr>
            <w:r>
              <w:rPr>
                <w:rFonts w:hint="eastAsia"/>
                <w:color w:val="auto"/>
                <w:kern w:val="0"/>
                <w:szCs w:val="24"/>
                <w:highlight w:val="none"/>
              </w:rPr>
              <w:t>室内空气质量</w:t>
            </w:r>
          </w:p>
        </w:tc>
        <w:tc>
          <w:tcPr>
            <w:tcW w:w="4677" w:type="dxa"/>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一氧化碳浓度、二氧化碳浓度、VOC</w:t>
            </w:r>
          </w:p>
        </w:tc>
        <w:tc>
          <w:tcPr>
            <w:tcW w:w="1642" w:type="dxa"/>
            <w:vMerge w:val="continue"/>
            <w:vAlign w:val="center"/>
          </w:tcPr>
          <w:p>
            <w:pPr>
              <w:spacing w:after="0" w:line="360" w:lineRule="auto"/>
              <w:ind w:left="0" w:right="0" w:firstLine="0"/>
              <w:rPr>
                <w:color w:val="auto"/>
                <w:kern w:val="0"/>
                <w:szCs w:val="24"/>
                <w:highlight w:val="none"/>
              </w:rPr>
            </w:pPr>
          </w:p>
        </w:tc>
        <w:tc>
          <w:tcPr>
            <w:tcW w:w="1276" w:type="dxa"/>
            <w:vMerge w:val="continue"/>
            <w:vAlign w:val="center"/>
          </w:tcPr>
          <w:p>
            <w:pPr>
              <w:spacing w:after="0" w:line="360" w:lineRule="auto"/>
              <w:ind w:left="0" w:right="0" w:firstLine="0"/>
              <w:rPr>
                <w:color w:val="auto"/>
                <w:kern w:val="0"/>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5" w:hRule="atLeast"/>
        </w:trPr>
        <w:tc>
          <w:tcPr>
            <w:tcW w:w="1560" w:type="dxa"/>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空调机组</w:t>
            </w:r>
          </w:p>
        </w:tc>
        <w:tc>
          <w:tcPr>
            <w:tcW w:w="4677" w:type="dxa"/>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运行电参数：电流、电压、功率、有功无功电度</w:t>
            </w:r>
          </w:p>
        </w:tc>
        <w:tc>
          <w:tcPr>
            <w:tcW w:w="1642" w:type="dxa"/>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智能电表</w:t>
            </w:r>
          </w:p>
        </w:tc>
        <w:tc>
          <w:tcPr>
            <w:tcW w:w="1276" w:type="dxa"/>
            <w:vMerge w:val="restart"/>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由能源管理系统上传至医院后勤智慧运维平台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2" w:hRule="atLeast"/>
        </w:trPr>
        <w:tc>
          <w:tcPr>
            <w:tcW w:w="1560" w:type="dxa"/>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新风机组</w:t>
            </w:r>
          </w:p>
        </w:tc>
        <w:tc>
          <w:tcPr>
            <w:tcW w:w="4677" w:type="dxa"/>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运行电参数：电流、电压、功率、有功无功电度</w:t>
            </w:r>
          </w:p>
        </w:tc>
        <w:tc>
          <w:tcPr>
            <w:tcW w:w="1642" w:type="dxa"/>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智能电表</w:t>
            </w:r>
          </w:p>
        </w:tc>
        <w:tc>
          <w:tcPr>
            <w:tcW w:w="1276" w:type="dxa"/>
            <w:vMerge w:val="continue"/>
            <w:vAlign w:val="center"/>
          </w:tcPr>
          <w:p>
            <w:pPr>
              <w:spacing w:after="0" w:line="360" w:lineRule="auto"/>
              <w:ind w:left="0" w:right="0" w:firstLine="0"/>
              <w:rPr>
                <w:color w:val="auto"/>
                <w:kern w:val="0"/>
                <w:szCs w:val="24"/>
                <w:highlight w:val="none"/>
              </w:rPr>
            </w:pPr>
          </w:p>
        </w:tc>
      </w:tr>
    </w:tbl>
    <w:p>
      <w:pPr>
        <w:pStyle w:val="4"/>
        <w:spacing w:before="0" w:after="0" w:line="360" w:lineRule="auto"/>
        <w:ind w:left="0" w:firstLine="0"/>
        <w:rPr>
          <w:color w:val="auto"/>
          <w:sz w:val="24"/>
          <w:szCs w:val="24"/>
          <w:highlight w:val="none"/>
        </w:rPr>
      </w:pPr>
      <w:bookmarkStart w:id="240" w:name="_Toc20408810"/>
      <w:bookmarkStart w:id="241" w:name="_Toc467747752"/>
      <w:bookmarkStart w:id="242" w:name="_Toc26536"/>
      <w:r>
        <w:rPr>
          <w:rFonts w:hint="eastAsia"/>
          <w:color w:val="auto"/>
          <w:sz w:val="24"/>
          <w:szCs w:val="24"/>
          <w:highlight w:val="none"/>
        </w:rPr>
        <w:t>1.</w:t>
      </w:r>
      <w:r>
        <w:rPr>
          <w:color w:val="auto"/>
          <w:sz w:val="24"/>
          <w:szCs w:val="24"/>
          <w:highlight w:val="none"/>
        </w:rPr>
        <w:t>3</w:t>
      </w:r>
      <w:r>
        <w:rPr>
          <w:rFonts w:hint="eastAsia"/>
          <w:color w:val="auto"/>
          <w:sz w:val="24"/>
          <w:szCs w:val="24"/>
          <w:highlight w:val="none"/>
        </w:rPr>
        <w:t>.2热水系统</w:t>
      </w:r>
      <w:bookmarkEnd w:id="240"/>
      <w:bookmarkEnd w:id="241"/>
      <w:bookmarkEnd w:id="242"/>
    </w:p>
    <w:p>
      <w:pPr>
        <w:spacing w:after="0" w:line="360" w:lineRule="auto"/>
        <w:ind w:left="-142" w:leftChars="-59" w:right="39" w:firstLine="480" w:firstLineChars="200"/>
        <w:rPr>
          <w:rFonts w:cs="Arial Unicode MS"/>
          <w:color w:val="auto"/>
          <w:kern w:val="0"/>
          <w:highlight w:val="none"/>
          <w:lang w:val="zh-CN"/>
        </w:rPr>
      </w:pPr>
      <w:r>
        <w:rPr>
          <w:rFonts w:hint="eastAsia" w:cs="Arial Unicode MS"/>
          <w:color w:val="auto"/>
          <w:kern w:val="0"/>
          <w:highlight w:val="none"/>
          <w:lang w:val="zh-CN"/>
        </w:rPr>
        <w:t xml:space="preserve">热水系统监控点位及监控内容： </w:t>
      </w:r>
    </w:p>
    <w:tbl>
      <w:tblPr>
        <w:tblStyle w:val="18"/>
        <w:tblW w:w="9214" w:type="dxa"/>
        <w:tblInd w:w="-1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60"/>
        <w:gridCol w:w="4677"/>
        <w:gridCol w:w="1701"/>
        <w:gridCol w:w="12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5" w:hRule="atLeast"/>
        </w:trPr>
        <w:tc>
          <w:tcPr>
            <w:tcW w:w="1560" w:type="dxa"/>
            <w:shd w:val="clear" w:color="auto" w:fill="auto"/>
            <w:vAlign w:val="center"/>
          </w:tcPr>
          <w:p>
            <w:pPr>
              <w:spacing w:after="0" w:line="360" w:lineRule="auto"/>
              <w:ind w:left="0" w:right="0" w:firstLine="0"/>
              <w:jc w:val="center"/>
              <w:rPr>
                <w:b/>
                <w:bCs/>
                <w:color w:val="auto"/>
                <w:kern w:val="0"/>
                <w:szCs w:val="24"/>
                <w:highlight w:val="none"/>
              </w:rPr>
            </w:pPr>
            <w:r>
              <w:rPr>
                <w:rFonts w:hint="eastAsia"/>
                <w:b/>
                <w:bCs/>
                <w:color w:val="auto"/>
                <w:kern w:val="0"/>
                <w:szCs w:val="24"/>
                <w:highlight w:val="none"/>
              </w:rPr>
              <w:t>监控设备</w:t>
            </w:r>
          </w:p>
        </w:tc>
        <w:tc>
          <w:tcPr>
            <w:tcW w:w="4677" w:type="dxa"/>
            <w:shd w:val="clear" w:color="auto" w:fill="auto"/>
            <w:vAlign w:val="center"/>
          </w:tcPr>
          <w:p>
            <w:pPr>
              <w:spacing w:after="0" w:line="360" w:lineRule="auto"/>
              <w:ind w:left="0" w:right="0" w:firstLine="0"/>
              <w:jc w:val="center"/>
              <w:rPr>
                <w:b/>
                <w:bCs/>
                <w:color w:val="auto"/>
                <w:kern w:val="0"/>
                <w:szCs w:val="24"/>
                <w:highlight w:val="none"/>
              </w:rPr>
            </w:pPr>
            <w:r>
              <w:rPr>
                <w:rFonts w:hint="eastAsia"/>
                <w:b/>
                <w:bCs/>
                <w:color w:val="auto"/>
                <w:kern w:val="0"/>
                <w:szCs w:val="24"/>
                <w:highlight w:val="none"/>
              </w:rPr>
              <w:t>监控内容</w:t>
            </w:r>
          </w:p>
        </w:tc>
        <w:tc>
          <w:tcPr>
            <w:tcW w:w="1701" w:type="dxa"/>
            <w:shd w:val="clear" w:color="auto" w:fill="auto"/>
            <w:vAlign w:val="center"/>
          </w:tcPr>
          <w:p>
            <w:pPr>
              <w:spacing w:after="0" w:line="360" w:lineRule="auto"/>
              <w:ind w:left="0" w:right="0" w:firstLine="0"/>
              <w:jc w:val="center"/>
              <w:rPr>
                <w:b/>
                <w:bCs/>
                <w:color w:val="auto"/>
                <w:kern w:val="0"/>
                <w:szCs w:val="24"/>
                <w:highlight w:val="none"/>
              </w:rPr>
            </w:pPr>
            <w:r>
              <w:rPr>
                <w:rFonts w:hint="eastAsia"/>
                <w:b/>
                <w:bCs/>
                <w:color w:val="auto"/>
                <w:kern w:val="0"/>
                <w:szCs w:val="24"/>
                <w:highlight w:val="none"/>
              </w:rPr>
              <w:t>采集方式</w:t>
            </w:r>
          </w:p>
        </w:tc>
        <w:tc>
          <w:tcPr>
            <w:tcW w:w="1276" w:type="dxa"/>
            <w:shd w:val="clear" w:color="auto" w:fill="auto"/>
            <w:vAlign w:val="center"/>
          </w:tcPr>
          <w:p>
            <w:pPr>
              <w:spacing w:after="0" w:line="360" w:lineRule="auto"/>
              <w:ind w:left="0" w:right="0" w:firstLine="0"/>
              <w:jc w:val="center"/>
              <w:rPr>
                <w:b/>
                <w:bCs/>
                <w:color w:val="auto"/>
                <w:kern w:val="0"/>
                <w:szCs w:val="24"/>
                <w:highlight w:val="none"/>
              </w:rPr>
            </w:pPr>
            <w:r>
              <w:rPr>
                <w:rFonts w:hint="eastAsia"/>
                <w:b/>
                <w:bCs/>
                <w:color w:val="auto"/>
                <w:kern w:val="0"/>
                <w:szCs w:val="24"/>
                <w:highlight w:val="none"/>
              </w:rPr>
              <w:t>平台对接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5" w:hRule="atLeast"/>
        </w:trPr>
        <w:tc>
          <w:tcPr>
            <w:tcW w:w="1560" w:type="dxa"/>
            <w:vMerge w:val="restart"/>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锅炉</w:t>
            </w:r>
          </w:p>
        </w:tc>
        <w:tc>
          <w:tcPr>
            <w:tcW w:w="4677" w:type="dxa"/>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a)锅炉运行状态、故障报警、手/自动模式反馈</w:t>
            </w:r>
          </w:p>
        </w:tc>
        <w:tc>
          <w:tcPr>
            <w:tcW w:w="1701" w:type="dxa"/>
            <w:vMerge w:val="restart"/>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DDC采集、控制，经Bacnet/IP网络控制器上传数据、接收控制令</w:t>
            </w:r>
          </w:p>
        </w:tc>
        <w:tc>
          <w:tcPr>
            <w:tcW w:w="1276" w:type="dxa"/>
            <w:vMerge w:val="restart"/>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由BA系统上传至医院后勤智慧运维台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1560" w:type="dxa"/>
            <w:vAlign w:val="center"/>
          </w:tcPr>
          <w:p>
            <w:pPr>
              <w:spacing w:after="0" w:line="360" w:lineRule="auto"/>
              <w:ind w:left="0" w:right="0" w:firstLine="0"/>
              <w:rPr>
                <w:color w:val="auto"/>
                <w:kern w:val="0"/>
                <w:szCs w:val="24"/>
                <w:highlight w:val="none"/>
              </w:rPr>
            </w:pPr>
          </w:p>
        </w:tc>
        <w:tc>
          <w:tcPr>
            <w:tcW w:w="4677" w:type="dxa"/>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b)运行时间、大小火状态、出水温度设定值、进出水温度等</w:t>
            </w:r>
          </w:p>
        </w:tc>
        <w:tc>
          <w:tcPr>
            <w:tcW w:w="1701" w:type="dxa"/>
            <w:vAlign w:val="center"/>
          </w:tcPr>
          <w:p>
            <w:pPr>
              <w:spacing w:after="0" w:line="360" w:lineRule="auto"/>
              <w:ind w:left="0" w:right="0" w:firstLine="0"/>
              <w:rPr>
                <w:color w:val="auto"/>
                <w:kern w:val="0"/>
                <w:szCs w:val="24"/>
                <w:highlight w:val="none"/>
              </w:rPr>
            </w:pPr>
          </w:p>
        </w:tc>
        <w:tc>
          <w:tcPr>
            <w:tcW w:w="1276" w:type="dxa"/>
            <w:vAlign w:val="center"/>
          </w:tcPr>
          <w:p>
            <w:pPr>
              <w:spacing w:after="0" w:line="360" w:lineRule="auto"/>
              <w:ind w:left="0" w:right="0" w:firstLine="0"/>
              <w:rPr>
                <w:color w:val="auto"/>
                <w:kern w:val="0"/>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5" w:hRule="atLeast"/>
        </w:trPr>
        <w:tc>
          <w:tcPr>
            <w:tcW w:w="1560" w:type="dxa"/>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热水循环泵</w:t>
            </w:r>
          </w:p>
        </w:tc>
        <w:tc>
          <w:tcPr>
            <w:tcW w:w="4677" w:type="dxa"/>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运行/停止、手动/自动、变频/工频运行、故障，远程启停</w:t>
            </w:r>
          </w:p>
        </w:tc>
        <w:tc>
          <w:tcPr>
            <w:tcW w:w="1701" w:type="dxa"/>
            <w:vMerge w:val="continue"/>
            <w:vAlign w:val="center"/>
          </w:tcPr>
          <w:p>
            <w:pPr>
              <w:spacing w:after="0" w:line="360" w:lineRule="auto"/>
              <w:ind w:left="0" w:right="0" w:firstLine="0"/>
              <w:rPr>
                <w:color w:val="auto"/>
                <w:kern w:val="0"/>
                <w:szCs w:val="24"/>
                <w:highlight w:val="none"/>
              </w:rPr>
            </w:pPr>
          </w:p>
        </w:tc>
        <w:tc>
          <w:tcPr>
            <w:tcW w:w="1276" w:type="dxa"/>
            <w:vMerge w:val="continue"/>
            <w:vAlign w:val="center"/>
          </w:tcPr>
          <w:p>
            <w:pPr>
              <w:spacing w:after="0" w:line="360" w:lineRule="auto"/>
              <w:ind w:left="0" w:right="0" w:firstLine="0"/>
              <w:rPr>
                <w:color w:val="auto"/>
                <w:kern w:val="0"/>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560" w:type="dxa"/>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热水管网</w:t>
            </w:r>
          </w:p>
        </w:tc>
        <w:tc>
          <w:tcPr>
            <w:tcW w:w="4677" w:type="dxa"/>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流量、供回水温度、压力</w:t>
            </w:r>
          </w:p>
        </w:tc>
        <w:tc>
          <w:tcPr>
            <w:tcW w:w="1701" w:type="dxa"/>
            <w:vMerge w:val="continue"/>
            <w:vAlign w:val="center"/>
          </w:tcPr>
          <w:p>
            <w:pPr>
              <w:spacing w:after="0" w:line="360" w:lineRule="auto"/>
              <w:ind w:left="0" w:right="0" w:firstLine="0"/>
              <w:rPr>
                <w:color w:val="auto"/>
                <w:kern w:val="0"/>
                <w:szCs w:val="24"/>
                <w:highlight w:val="none"/>
              </w:rPr>
            </w:pPr>
          </w:p>
        </w:tc>
        <w:tc>
          <w:tcPr>
            <w:tcW w:w="1276" w:type="dxa"/>
            <w:vMerge w:val="continue"/>
            <w:vAlign w:val="center"/>
          </w:tcPr>
          <w:p>
            <w:pPr>
              <w:spacing w:after="0" w:line="360" w:lineRule="auto"/>
              <w:ind w:left="0" w:right="0" w:firstLine="0"/>
              <w:rPr>
                <w:color w:val="auto"/>
                <w:kern w:val="0"/>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560" w:type="dxa"/>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分集水器</w:t>
            </w:r>
          </w:p>
        </w:tc>
        <w:tc>
          <w:tcPr>
            <w:tcW w:w="4677" w:type="dxa"/>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分集水器压力，分集水器间压差</w:t>
            </w:r>
          </w:p>
        </w:tc>
        <w:tc>
          <w:tcPr>
            <w:tcW w:w="1701" w:type="dxa"/>
            <w:vMerge w:val="continue"/>
            <w:vAlign w:val="center"/>
          </w:tcPr>
          <w:p>
            <w:pPr>
              <w:spacing w:after="0" w:line="360" w:lineRule="auto"/>
              <w:ind w:left="0" w:right="0" w:firstLine="0"/>
              <w:rPr>
                <w:color w:val="auto"/>
                <w:kern w:val="0"/>
                <w:szCs w:val="24"/>
                <w:highlight w:val="none"/>
              </w:rPr>
            </w:pPr>
          </w:p>
        </w:tc>
        <w:tc>
          <w:tcPr>
            <w:tcW w:w="1276" w:type="dxa"/>
            <w:vMerge w:val="continue"/>
            <w:vAlign w:val="center"/>
          </w:tcPr>
          <w:p>
            <w:pPr>
              <w:spacing w:after="0" w:line="360" w:lineRule="auto"/>
              <w:ind w:left="0" w:right="0" w:firstLine="0"/>
              <w:rPr>
                <w:color w:val="auto"/>
                <w:kern w:val="0"/>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560" w:type="dxa"/>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膨胀水箱</w:t>
            </w:r>
          </w:p>
        </w:tc>
        <w:tc>
          <w:tcPr>
            <w:tcW w:w="4677" w:type="dxa"/>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水位超高或超低报警；</w:t>
            </w:r>
          </w:p>
        </w:tc>
        <w:tc>
          <w:tcPr>
            <w:tcW w:w="1701" w:type="dxa"/>
            <w:vMerge w:val="continue"/>
            <w:vAlign w:val="center"/>
          </w:tcPr>
          <w:p>
            <w:pPr>
              <w:spacing w:after="0" w:line="360" w:lineRule="auto"/>
              <w:ind w:left="0" w:right="0" w:firstLine="0"/>
              <w:rPr>
                <w:color w:val="auto"/>
                <w:kern w:val="0"/>
                <w:szCs w:val="24"/>
                <w:highlight w:val="none"/>
              </w:rPr>
            </w:pPr>
          </w:p>
        </w:tc>
        <w:tc>
          <w:tcPr>
            <w:tcW w:w="1276" w:type="dxa"/>
            <w:vMerge w:val="continue"/>
            <w:vAlign w:val="center"/>
          </w:tcPr>
          <w:p>
            <w:pPr>
              <w:spacing w:after="0" w:line="360" w:lineRule="auto"/>
              <w:ind w:left="0" w:right="0" w:firstLine="0"/>
              <w:rPr>
                <w:color w:val="auto"/>
                <w:kern w:val="0"/>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560" w:type="dxa"/>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补水箱</w:t>
            </w:r>
          </w:p>
        </w:tc>
        <w:tc>
          <w:tcPr>
            <w:tcW w:w="4677" w:type="dxa"/>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水位超高或超低报警；</w:t>
            </w:r>
          </w:p>
        </w:tc>
        <w:tc>
          <w:tcPr>
            <w:tcW w:w="1701" w:type="dxa"/>
            <w:vMerge w:val="continue"/>
            <w:vAlign w:val="center"/>
          </w:tcPr>
          <w:p>
            <w:pPr>
              <w:spacing w:after="0" w:line="360" w:lineRule="auto"/>
              <w:ind w:left="0" w:right="0" w:firstLine="0"/>
              <w:rPr>
                <w:color w:val="auto"/>
                <w:kern w:val="0"/>
                <w:szCs w:val="24"/>
                <w:highlight w:val="none"/>
              </w:rPr>
            </w:pPr>
          </w:p>
        </w:tc>
        <w:tc>
          <w:tcPr>
            <w:tcW w:w="1276" w:type="dxa"/>
            <w:vMerge w:val="continue"/>
            <w:vAlign w:val="center"/>
          </w:tcPr>
          <w:p>
            <w:pPr>
              <w:spacing w:after="0" w:line="360" w:lineRule="auto"/>
              <w:ind w:left="0" w:right="0" w:firstLine="0"/>
              <w:rPr>
                <w:color w:val="auto"/>
                <w:kern w:val="0"/>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5" w:hRule="atLeast"/>
        </w:trPr>
        <w:tc>
          <w:tcPr>
            <w:tcW w:w="1560" w:type="dxa"/>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用电量</w:t>
            </w:r>
          </w:p>
        </w:tc>
        <w:tc>
          <w:tcPr>
            <w:tcW w:w="4677" w:type="dxa"/>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锅炉、热水循环泵电流、电压、功率、有功无功电度</w:t>
            </w:r>
          </w:p>
        </w:tc>
        <w:tc>
          <w:tcPr>
            <w:tcW w:w="1701" w:type="dxa"/>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远传电表</w:t>
            </w:r>
          </w:p>
        </w:tc>
        <w:tc>
          <w:tcPr>
            <w:tcW w:w="1276" w:type="dxa"/>
            <w:vMerge w:val="restart"/>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由能源管理系统上传至医院后勤智慧运维台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5" w:hRule="atLeast"/>
        </w:trPr>
        <w:tc>
          <w:tcPr>
            <w:tcW w:w="1560" w:type="dxa"/>
            <w:vMerge w:val="restart"/>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热水用量</w:t>
            </w:r>
          </w:p>
        </w:tc>
        <w:tc>
          <w:tcPr>
            <w:tcW w:w="4677" w:type="dxa"/>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热水总用水</w:t>
            </w:r>
          </w:p>
        </w:tc>
        <w:tc>
          <w:tcPr>
            <w:tcW w:w="1701" w:type="dxa"/>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远传热水水表</w:t>
            </w:r>
          </w:p>
        </w:tc>
        <w:tc>
          <w:tcPr>
            <w:tcW w:w="1276" w:type="dxa"/>
            <w:vMerge w:val="continue"/>
            <w:vAlign w:val="center"/>
          </w:tcPr>
          <w:p>
            <w:pPr>
              <w:spacing w:after="0" w:line="360" w:lineRule="auto"/>
              <w:ind w:left="0" w:right="0" w:firstLine="0"/>
              <w:rPr>
                <w:color w:val="auto"/>
                <w:kern w:val="0"/>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5" w:hRule="atLeast"/>
        </w:trPr>
        <w:tc>
          <w:tcPr>
            <w:tcW w:w="1560" w:type="dxa"/>
            <w:vMerge w:val="continue"/>
            <w:vAlign w:val="center"/>
          </w:tcPr>
          <w:p>
            <w:pPr>
              <w:spacing w:after="0" w:line="360" w:lineRule="auto"/>
              <w:ind w:left="0" w:right="0" w:firstLine="0"/>
              <w:rPr>
                <w:color w:val="auto"/>
                <w:kern w:val="0"/>
                <w:szCs w:val="24"/>
                <w:highlight w:val="none"/>
              </w:rPr>
            </w:pPr>
          </w:p>
        </w:tc>
        <w:tc>
          <w:tcPr>
            <w:tcW w:w="4677" w:type="dxa"/>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科室热水用量</w:t>
            </w:r>
          </w:p>
        </w:tc>
        <w:tc>
          <w:tcPr>
            <w:tcW w:w="1701" w:type="dxa"/>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远传热水水表</w:t>
            </w:r>
          </w:p>
        </w:tc>
        <w:tc>
          <w:tcPr>
            <w:tcW w:w="1276" w:type="dxa"/>
            <w:vMerge w:val="continue"/>
            <w:vAlign w:val="center"/>
          </w:tcPr>
          <w:p>
            <w:pPr>
              <w:spacing w:after="0" w:line="360" w:lineRule="auto"/>
              <w:ind w:left="0" w:right="0" w:firstLine="0"/>
              <w:rPr>
                <w:color w:val="auto"/>
                <w:kern w:val="0"/>
                <w:szCs w:val="24"/>
                <w:highlight w:val="none"/>
              </w:rPr>
            </w:pPr>
          </w:p>
        </w:tc>
      </w:tr>
    </w:tbl>
    <w:p>
      <w:pPr>
        <w:spacing w:after="0" w:line="360" w:lineRule="auto"/>
        <w:ind w:left="-142" w:leftChars="-59" w:right="39" w:firstLine="480" w:firstLineChars="200"/>
        <w:rPr>
          <w:rFonts w:cs="Arial Unicode MS"/>
          <w:color w:val="auto"/>
          <w:kern w:val="0"/>
          <w:highlight w:val="none"/>
          <w:lang w:val="zh-CN"/>
        </w:rPr>
      </w:pPr>
    </w:p>
    <w:p>
      <w:pPr>
        <w:spacing w:after="0" w:line="360" w:lineRule="auto"/>
        <w:rPr>
          <w:b/>
          <w:color w:val="auto"/>
          <w:szCs w:val="24"/>
          <w:highlight w:val="none"/>
        </w:rPr>
      </w:pPr>
      <w:bookmarkStart w:id="243" w:name="_Toc5499"/>
      <w:r>
        <w:rPr>
          <w:rFonts w:hint="eastAsia"/>
          <w:b/>
          <w:color w:val="auto"/>
          <w:szCs w:val="24"/>
          <w:highlight w:val="none"/>
        </w:rPr>
        <w:t>监视要点：</w:t>
      </w:r>
      <w:bookmarkEnd w:id="243"/>
    </w:p>
    <w:p>
      <w:pPr>
        <w:numPr>
          <w:ilvl w:val="0"/>
          <w:numId w:val="120"/>
        </w:numPr>
        <w:spacing w:after="0" w:line="360" w:lineRule="auto"/>
        <w:rPr>
          <w:color w:val="auto"/>
          <w:szCs w:val="24"/>
          <w:highlight w:val="none"/>
        </w:rPr>
      </w:pPr>
      <w:r>
        <w:rPr>
          <w:rFonts w:hint="eastAsia"/>
          <w:color w:val="auto"/>
          <w:szCs w:val="24"/>
          <w:highlight w:val="none"/>
        </w:rPr>
        <w:t>热水循环泵运行是否异常；</w:t>
      </w:r>
    </w:p>
    <w:p>
      <w:pPr>
        <w:numPr>
          <w:ilvl w:val="0"/>
          <w:numId w:val="120"/>
        </w:numPr>
        <w:spacing w:after="0" w:line="360" w:lineRule="auto"/>
        <w:rPr>
          <w:color w:val="auto"/>
          <w:szCs w:val="24"/>
          <w:highlight w:val="none"/>
        </w:rPr>
      </w:pPr>
      <w:r>
        <w:rPr>
          <w:rFonts w:hint="eastAsia"/>
          <w:color w:val="auto"/>
          <w:szCs w:val="24"/>
          <w:highlight w:val="none"/>
        </w:rPr>
        <w:t>热水管网压力、温度是否异常。</w:t>
      </w:r>
    </w:p>
    <w:p>
      <w:pPr>
        <w:numPr>
          <w:ilvl w:val="0"/>
          <w:numId w:val="120"/>
        </w:numPr>
        <w:spacing w:after="0" w:line="360" w:lineRule="auto"/>
        <w:ind w:right="-9"/>
        <w:rPr>
          <w:color w:val="auto"/>
          <w:szCs w:val="24"/>
          <w:highlight w:val="none"/>
        </w:rPr>
      </w:pPr>
      <w:r>
        <w:rPr>
          <w:rFonts w:hint="eastAsia"/>
          <w:color w:val="auto"/>
          <w:szCs w:val="24"/>
          <w:highlight w:val="none"/>
        </w:rPr>
        <w:t>运行环境安全监视，监视信号如：水浸传感器、智能摄像头采集的淹水、非法闯入等告警信号和实时画面。</w:t>
      </w:r>
    </w:p>
    <w:p>
      <w:pPr>
        <w:pStyle w:val="4"/>
        <w:spacing w:before="0" w:after="0" w:line="360" w:lineRule="auto"/>
        <w:ind w:left="0" w:firstLine="0"/>
        <w:rPr>
          <w:color w:val="auto"/>
          <w:sz w:val="24"/>
          <w:szCs w:val="24"/>
          <w:highlight w:val="none"/>
        </w:rPr>
      </w:pPr>
      <w:bookmarkStart w:id="244" w:name="_Toc23337"/>
      <w:bookmarkStart w:id="245" w:name="_Toc467747753"/>
      <w:bookmarkStart w:id="246" w:name="_Toc20408811"/>
      <w:r>
        <w:rPr>
          <w:rFonts w:hint="eastAsia"/>
          <w:color w:val="auto"/>
          <w:sz w:val="24"/>
          <w:szCs w:val="24"/>
          <w:highlight w:val="none"/>
        </w:rPr>
        <w:t>1.</w:t>
      </w:r>
      <w:r>
        <w:rPr>
          <w:color w:val="auto"/>
          <w:sz w:val="24"/>
          <w:szCs w:val="24"/>
          <w:highlight w:val="none"/>
        </w:rPr>
        <w:t>3</w:t>
      </w:r>
      <w:r>
        <w:rPr>
          <w:rFonts w:hint="eastAsia"/>
          <w:color w:val="auto"/>
          <w:sz w:val="24"/>
          <w:szCs w:val="24"/>
          <w:highlight w:val="none"/>
        </w:rPr>
        <w:t>.3冷源系统</w:t>
      </w:r>
      <w:bookmarkEnd w:id="244"/>
      <w:bookmarkEnd w:id="245"/>
      <w:bookmarkEnd w:id="246"/>
    </w:p>
    <w:p>
      <w:pPr>
        <w:spacing w:after="0" w:line="360" w:lineRule="auto"/>
        <w:ind w:left="-142" w:leftChars="-59" w:right="39" w:firstLine="480" w:firstLineChars="200"/>
        <w:rPr>
          <w:rFonts w:cs="Arial Unicode MS"/>
          <w:color w:val="auto"/>
          <w:kern w:val="0"/>
          <w:highlight w:val="none"/>
          <w:lang w:val="zh-CN"/>
        </w:rPr>
      </w:pPr>
      <w:r>
        <w:rPr>
          <w:rFonts w:hint="eastAsia" w:cs="Arial Unicode MS"/>
          <w:color w:val="auto"/>
          <w:kern w:val="0"/>
          <w:highlight w:val="none"/>
          <w:lang w:val="zh-CN"/>
        </w:rPr>
        <w:t>空调冷源监控点位及监控内容：</w:t>
      </w:r>
    </w:p>
    <w:tbl>
      <w:tblPr>
        <w:tblStyle w:val="18"/>
        <w:tblW w:w="9214" w:type="dxa"/>
        <w:tblInd w:w="-1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60"/>
        <w:gridCol w:w="4677"/>
        <w:gridCol w:w="1701"/>
        <w:gridCol w:w="12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5" w:hRule="atLeast"/>
        </w:trPr>
        <w:tc>
          <w:tcPr>
            <w:tcW w:w="1560" w:type="dxa"/>
            <w:shd w:val="clear" w:color="auto" w:fill="auto"/>
            <w:vAlign w:val="center"/>
          </w:tcPr>
          <w:p>
            <w:pPr>
              <w:spacing w:after="0" w:line="360" w:lineRule="auto"/>
              <w:ind w:left="0" w:right="0" w:firstLine="0"/>
              <w:jc w:val="center"/>
              <w:rPr>
                <w:b/>
                <w:bCs/>
                <w:color w:val="auto"/>
                <w:kern w:val="0"/>
                <w:szCs w:val="24"/>
                <w:highlight w:val="none"/>
              </w:rPr>
            </w:pPr>
            <w:r>
              <w:rPr>
                <w:rFonts w:hint="eastAsia"/>
                <w:b/>
                <w:bCs/>
                <w:color w:val="auto"/>
                <w:kern w:val="0"/>
                <w:szCs w:val="24"/>
                <w:highlight w:val="none"/>
              </w:rPr>
              <w:t>监控设备</w:t>
            </w:r>
          </w:p>
        </w:tc>
        <w:tc>
          <w:tcPr>
            <w:tcW w:w="4677" w:type="dxa"/>
            <w:shd w:val="clear" w:color="auto" w:fill="auto"/>
            <w:vAlign w:val="center"/>
          </w:tcPr>
          <w:p>
            <w:pPr>
              <w:spacing w:after="0" w:line="360" w:lineRule="auto"/>
              <w:ind w:left="0" w:right="0" w:firstLine="0"/>
              <w:jc w:val="center"/>
              <w:rPr>
                <w:b/>
                <w:bCs/>
                <w:color w:val="auto"/>
                <w:kern w:val="0"/>
                <w:szCs w:val="24"/>
                <w:highlight w:val="none"/>
              </w:rPr>
            </w:pPr>
            <w:r>
              <w:rPr>
                <w:rFonts w:hint="eastAsia"/>
                <w:b/>
                <w:bCs/>
                <w:color w:val="auto"/>
                <w:kern w:val="0"/>
                <w:szCs w:val="24"/>
                <w:highlight w:val="none"/>
              </w:rPr>
              <w:t>监控内容</w:t>
            </w:r>
          </w:p>
        </w:tc>
        <w:tc>
          <w:tcPr>
            <w:tcW w:w="1701" w:type="dxa"/>
            <w:shd w:val="clear" w:color="auto" w:fill="auto"/>
            <w:vAlign w:val="center"/>
          </w:tcPr>
          <w:p>
            <w:pPr>
              <w:spacing w:after="0" w:line="360" w:lineRule="auto"/>
              <w:ind w:left="0" w:right="0" w:firstLine="0"/>
              <w:jc w:val="center"/>
              <w:rPr>
                <w:b/>
                <w:bCs/>
                <w:color w:val="auto"/>
                <w:kern w:val="0"/>
                <w:szCs w:val="24"/>
                <w:highlight w:val="none"/>
              </w:rPr>
            </w:pPr>
            <w:r>
              <w:rPr>
                <w:rFonts w:hint="eastAsia"/>
                <w:b/>
                <w:bCs/>
                <w:color w:val="auto"/>
                <w:kern w:val="0"/>
                <w:szCs w:val="24"/>
                <w:highlight w:val="none"/>
              </w:rPr>
              <w:t>采集方式</w:t>
            </w:r>
          </w:p>
        </w:tc>
        <w:tc>
          <w:tcPr>
            <w:tcW w:w="1276" w:type="dxa"/>
            <w:shd w:val="clear" w:color="auto" w:fill="auto"/>
            <w:vAlign w:val="center"/>
          </w:tcPr>
          <w:p>
            <w:pPr>
              <w:spacing w:after="0" w:line="360" w:lineRule="auto"/>
              <w:ind w:left="0" w:right="0" w:firstLine="0"/>
              <w:jc w:val="center"/>
              <w:rPr>
                <w:b/>
                <w:bCs/>
                <w:color w:val="auto"/>
                <w:kern w:val="0"/>
                <w:szCs w:val="24"/>
                <w:highlight w:val="none"/>
              </w:rPr>
            </w:pPr>
            <w:r>
              <w:rPr>
                <w:rFonts w:hint="eastAsia"/>
                <w:b/>
                <w:bCs/>
                <w:color w:val="auto"/>
                <w:kern w:val="0"/>
                <w:szCs w:val="24"/>
                <w:highlight w:val="none"/>
              </w:rPr>
              <w:t>平台对接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0" w:hRule="atLeast"/>
        </w:trPr>
        <w:tc>
          <w:tcPr>
            <w:tcW w:w="1560" w:type="dxa"/>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冷水机组</w:t>
            </w:r>
          </w:p>
        </w:tc>
        <w:tc>
          <w:tcPr>
            <w:tcW w:w="4677" w:type="dxa"/>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运行/停止、故障报警、冷冻水供/回水温度、冷冻水供水流量、冷冻水供/回水压力、冷冻水供回水压力差、冷却水供/回水温度、冷却水供/回水压力、蒸发器水流状态、冷凝器水流状态、冷机电流百分比；远程启停</w:t>
            </w:r>
          </w:p>
        </w:tc>
        <w:tc>
          <w:tcPr>
            <w:tcW w:w="1701" w:type="dxa"/>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冷水机组控制器</w:t>
            </w:r>
          </w:p>
        </w:tc>
        <w:tc>
          <w:tcPr>
            <w:tcW w:w="1276" w:type="dxa"/>
            <w:vMerge w:val="restart"/>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由BA系统上传至医院后勤智慧运维平台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5" w:hRule="atLeast"/>
        </w:trPr>
        <w:tc>
          <w:tcPr>
            <w:tcW w:w="1560" w:type="dxa"/>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冷冻水泵</w:t>
            </w:r>
          </w:p>
        </w:tc>
        <w:tc>
          <w:tcPr>
            <w:tcW w:w="4677" w:type="dxa"/>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运行/停止、手动/自动、故障报警、变频反馈；远程启停、变频控制</w:t>
            </w:r>
          </w:p>
        </w:tc>
        <w:tc>
          <w:tcPr>
            <w:tcW w:w="1701" w:type="dxa"/>
            <w:vMerge w:val="restart"/>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DDC采集、控制，经Bacnet/IP网络控制器上送数据、接收控制令</w:t>
            </w:r>
          </w:p>
        </w:tc>
        <w:tc>
          <w:tcPr>
            <w:tcW w:w="1276" w:type="dxa"/>
            <w:vMerge w:val="continue"/>
            <w:vAlign w:val="center"/>
          </w:tcPr>
          <w:p>
            <w:pPr>
              <w:spacing w:after="0" w:line="360" w:lineRule="auto"/>
              <w:ind w:left="0" w:right="0" w:firstLine="0"/>
              <w:rPr>
                <w:color w:val="auto"/>
                <w:kern w:val="0"/>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5" w:hRule="atLeast"/>
        </w:trPr>
        <w:tc>
          <w:tcPr>
            <w:tcW w:w="1560" w:type="dxa"/>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冷冻水蝶阀</w:t>
            </w:r>
          </w:p>
        </w:tc>
        <w:tc>
          <w:tcPr>
            <w:tcW w:w="4677" w:type="dxa"/>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开启/关闭状态，远程开启/关闭</w:t>
            </w:r>
          </w:p>
        </w:tc>
        <w:tc>
          <w:tcPr>
            <w:tcW w:w="1701" w:type="dxa"/>
            <w:vMerge w:val="continue"/>
            <w:vAlign w:val="center"/>
          </w:tcPr>
          <w:p>
            <w:pPr>
              <w:spacing w:after="0" w:line="360" w:lineRule="auto"/>
              <w:ind w:left="0" w:right="0" w:firstLine="0"/>
              <w:rPr>
                <w:color w:val="auto"/>
                <w:kern w:val="0"/>
                <w:szCs w:val="24"/>
                <w:highlight w:val="none"/>
              </w:rPr>
            </w:pPr>
          </w:p>
        </w:tc>
        <w:tc>
          <w:tcPr>
            <w:tcW w:w="1276" w:type="dxa"/>
            <w:vMerge w:val="continue"/>
            <w:vAlign w:val="center"/>
          </w:tcPr>
          <w:p>
            <w:pPr>
              <w:spacing w:after="0" w:line="360" w:lineRule="auto"/>
              <w:ind w:left="0" w:right="0" w:firstLine="0"/>
              <w:rPr>
                <w:color w:val="auto"/>
                <w:kern w:val="0"/>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5" w:hRule="atLeast"/>
        </w:trPr>
        <w:tc>
          <w:tcPr>
            <w:tcW w:w="1560" w:type="dxa"/>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冷却水泵</w:t>
            </w:r>
          </w:p>
        </w:tc>
        <w:tc>
          <w:tcPr>
            <w:tcW w:w="4677" w:type="dxa"/>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运行/停止、手动/自动、故障报警、变频反馈；远程启停、变频控制</w:t>
            </w:r>
          </w:p>
        </w:tc>
        <w:tc>
          <w:tcPr>
            <w:tcW w:w="1701" w:type="dxa"/>
            <w:vMerge w:val="continue"/>
            <w:vAlign w:val="center"/>
          </w:tcPr>
          <w:p>
            <w:pPr>
              <w:spacing w:after="0" w:line="360" w:lineRule="auto"/>
              <w:ind w:left="0" w:right="0" w:firstLine="0"/>
              <w:rPr>
                <w:color w:val="auto"/>
                <w:kern w:val="0"/>
                <w:szCs w:val="24"/>
                <w:highlight w:val="none"/>
              </w:rPr>
            </w:pPr>
          </w:p>
        </w:tc>
        <w:tc>
          <w:tcPr>
            <w:tcW w:w="1276" w:type="dxa"/>
            <w:vMerge w:val="continue"/>
            <w:vAlign w:val="center"/>
          </w:tcPr>
          <w:p>
            <w:pPr>
              <w:spacing w:after="0" w:line="360" w:lineRule="auto"/>
              <w:ind w:left="0" w:right="0" w:firstLine="0"/>
              <w:rPr>
                <w:color w:val="auto"/>
                <w:kern w:val="0"/>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5" w:hRule="atLeast"/>
        </w:trPr>
        <w:tc>
          <w:tcPr>
            <w:tcW w:w="1560" w:type="dxa"/>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冷却水蝶阀</w:t>
            </w:r>
          </w:p>
        </w:tc>
        <w:tc>
          <w:tcPr>
            <w:tcW w:w="4677" w:type="dxa"/>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开启/关闭；远程开启/关闭</w:t>
            </w:r>
          </w:p>
        </w:tc>
        <w:tc>
          <w:tcPr>
            <w:tcW w:w="1701" w:type="dxa"/>
            <w:vMerge w:val="continue"/>
            <w:vAlign w:val="center"/>
          </w:tcPr>
          <w:p>
            <w:pPr>
              <w:spacing w:after="0" w:line="360" w:lineRule="auto"/>
              <w:ind w:left="0" w:right="0" w:firstLine="0"/>
              <w:rPr>
                <w:color w:val="auto"/>
                <w:kern w:val="0"/>
                <w:szCs w:val="24"/>
                <w:highlight w:val="none"/>
              </w:rPr>
            </w:pPr>
          </w:p>
        </w:tc>
        <w:tc>
          <w:tcPr>
            <w:tcW w:w="1276" w:type="dxa"/>
            <w:vMerge w:val="continue"/>
            <w:vAlign w:val="center"/>
          </w:tcPr>
          <w:p>
            <w:pPr>
              <w:spacing w:after="0" w:line="360" w:lineRule="auto"/>
              <w:ind w:left="0" w:right="0" w:firstLine="0"/>
              <w:rPr>
                <w:color w:val="auto"/>
                <w:kern w:val="0"/>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5" w:hRule="atLeast"/>
        </w:trPr>
        <w:tc>
          <w:tcPr>
            <w:tcW w:w="1560" w:type="dxa"/>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冷却塔风机</w:t>
            </w:r>
          </w:p>
        </w:tc>
        <w:tc>
          <w:tcPr>
            <w:tcW w:w="4677" w:type="dxa"/>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运行/停止、手动/自动、过载报警；远程启停</w:t>
            </w:r>
          </w:p>
        </w:tc>
        <w:tc>
          <w:tcPr>
            <w:tcW w:w="1701" w:type="dxa"/>
            <w:vMerge w:val="continue"/>
            <w:vAlign w:val="center"/>
          </w:tcPr>
          <w:p>
            <w:pPr>
              <w:spacing w:after="0" w:line="360" w:lineRule="auto"/>
              <w:ind w:left="0" w:right="0" w:firstLine="0"/>
              <w:rPr>
                <w:color w:val="auto"/>
                <w:kern w:val="0"/>
                <w:szCs w:val="24"/>
                <w:highlight w:val="none"/>
              </w:rPr>
            </w:pPr>
          </w:p>
        </w:tc>
        <w:tc>
          <w:tcPr>
            <w:tcW w:w="1276" w:type="dxa"/>
            <w:vMerge w:val="continue"/>
            <w:vAlign w:val="center"/>
          </w:tcPr>
          <w:p>
            <w:pPr>
              <w:spacing w:after="0" w:line="360" w:lineRule="auto"/>
              <w:ind w:left="0" w:right="0" w:firstLine="0"/>
              <w:rPr>
                <w:color w:val="auto"/>
                <w:kern w:val="0"/>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560" w:type="dxa"/>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膨胀水箱</w:t>
            </w:r>
          </w:p>
        </w:tc>
        <w:tc>
          <w:tcPr>
            <w:tcW w:w="4677" w:type="dxa"/>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水位高、水位低</w:t>
            </w:r>
          </w:p>
        </w:tc>
        <w:tc>
          <w:tcPr>
            <w:tcW w:w="1701" w:type="dxa"/>
            <w:vMerge w:val="continue"/>
            <w:vAlign w:val="center"/>
          </w:tcPr>
          <w:p>
            <w:pPr>
              <w:spacing w:after="0" w:line="360" w:lineRule="auto"/>
              <w:ind w:left="0" w:right="0" w:firstLine="0"/>
              <w:rPr>
                <w:color w:val="auto"/>
                <w:kern w:val="0"/>
                <w:szCs w:val="24"/>
                <w:highlight w:val="none"/>
              </w:rPr>
            </w:pPr>
          </w:p>
        </w:tc>
        <w:tc>
          <w:tcPr>
            <w:tcW w:w="1276" w:type="dxa"/>
            <w:vMerge w:val="continue"/>
            <w:vAlign w:val="center"/>
          </w:tcPr>
          <w:p>
            <w:pPr>
              <w:spacing w:after="0" w:line="360" w:lineRule="auto"/>
              <w:ind w:left="0" w:right="0" w:firstLine="0"/>
              <w:rPr>
                <w:color w:val="auto"/>
                <w:kern w:val="0"/>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5" w:hRule="atLeast"/>
        </w:trPr>
        <w:tc>
          <w:tcPr>
            <w:tcW w:w="1560" w:type="dxa"/>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分集水器</w:t>
            </w:r>
          </w:p>
        </w:tc>
        <w:tc>
          <w:tcPr>
            <w:tcW w:w="4677" w:type="dxa"/>
            <w:shd w:val="clear" w:color="auto" w:fill="auto"/>
            <w:vAlign w:val="center"/>
          </w:tcPr>
          <w:p>
            <w:pPr>
              <w:spacing w:after="0" w:line="360" w:lineRule="auto"/>
              <w:ind w:left="0" w:right="-115" w:rightChars="-48" w:firstLine="0"/>
              <w:rPr>
                <w:color w:val="auto"/>
                <w:kern w:val="0"/>
                <w:szCs w:val="24"/>
                <w:highlight w:val="none"/>
              </w:rPr>
            </w:pPr>
            <w:r>
              <w:rPr>
                <w:rFonts w:hint="eastAsia"/>
                <w:color w:val="auto"/>
                <w:kern w:val="0"/>
                <w:szCs w:val="24"/>
                <w:highlight w:val="none"/>
              </w:rPr>
              <w:t>冷冻水供回水温度、冷冻水供回水压力、旁通阀压差；远程旁通电动调节阀开启/关闭</w:t>
            </w:r>
          </w:p>
        </w:tc>
        <w:tc>
          <w:tcPr>
            <w:tcW w:w="1701" w:type="dxa"/>
            <w:vMerge w:val="continue"/>
            <w:vAlign w:val="center"/>
          </w:tcPr>
          <w:p>
            <w:pPr>
              <w:spacing w:after="0" w:line="360" w:lineRule="auto"/>
              <w:ind w:left="0" w:right="0" w:firstLine="0"/>
              <w:rPr>
                <w:color w:val="auto"/>
                <w:kern w:val="0"/>
                <w:szCs w:val="24"/>
                <w:highlight w:val="none"/>
              </w:rPr>
            </w:pPr>
          </w:p>
        </w:tc>
        <w:tc>
          <w:tcPr>
            <w:tcW w:w="1276" w:type="dxa"/>
            <w:vMerge w:val="continue"/>
            <w:vAlign w:val="center"/>
          </w:tcPr>
          <w:p>
            <w:pPr>
              <w:spacing w:after="0" w:line="360" w:lineRule="auto"/>
              <w:ind w:left="0" w:right="0" w:firstLine="0"/>
              <w:rPr>
                <w:color w:val="auto"/>
                <w:kern w:val="0"/>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560" w:type="dxa"/>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冷水机组</w:t>
            </w:r>
          </w:p>
        </w:tc>
        <w:tc>
          <w:tcPr>
            <w:tcW w:w="4677" w:type="dxa"/>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运行电参数：电流、电压、功率、有功无功电度</w:t>
            </w:r>
          </w:p>
        </w:tc>
        <w:tc>
          <w:tcPr>
            <w:tcW w:w="1701" w:type="dxa"/>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智能电表</w:t>
            </w:r>
          </w:p>
        </w:tc>
        <w:tc>
          <w:tcPr>
            <w:tcW w:w="1276" w:type="dxa"/>
            <w:vMerge w:val="restart"/>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由能源管理系统上传至医院后勤智慧运维平台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560" w:type="dxa"/>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冷却泵</w:t>
            </w:r>
          </w:p>
        </w:tc>
        <w:tc>
          <w:tcPr>
            <w:tcW w:w="4677" w:type="dxa"/>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运行电参数：电流、电压、功率、有功无功电度</w:t>
            </w:r>
          </w:p>
        </w:tc>
        <w:tc>
          <w:tcPr>
            <w:tcW w:w="1701" w:type="dxa"/>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智能电表</w:t>
            </w:r>
          </w:p>
        </w:tc>
        <w:tc>
          <w:tcPr>
            <w:tcW w:w="1276" w:type="dxa"/>
            <w:vMerge w:val="continue"/>
            <w:vAlign w:val="center"/>
          </w:tcPr>
          <w:p>
            <w:pPr>
              <w:spacing w:after="0" w:line="360" w:lineRule="auto"/>
              <w:ind w:left="0" w:right="0" w:firstLine="0"/>
              <w:rPr>
                <w:color w:val="auto"/>
                <w:kern w:val="0"/>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560" w:type="dxa"/>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冷冻泵</w:t>
            </w:r>
          </w:p>
        </w:tc>
        <w:tc>
          <w:tcPr>
            <w:tcW w:w="4677" w:type="dxa"/>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运行电参数：电流、电压、功率、有功无功电度</w:t>
            </w:r>
          </w:p>
        </w:tc>
        <w:tc>
          <w:tcPr>
            <w:tcW w:w="1701" w:type="dxa"/>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智能电表</w:t>
            </w:r>
          </w:p>
        </w:tc>
        <w:tc>
          <w:tcPr>
            <w:tcW w:w="1276" w:type="dxa"/>
            <w:vMerge w:val="continue"/>
            <w:vAlign w:val="center"/>
          </w:tcPr>
          <w:p>
            <w:pPr>
              <w:spacing w:after="0" w:line="360" w:lineRule="auto"/>
              <w:ind w:left="0" w:right="0" w:firstLine="0"/>
              <w:rPr>
                <w:color w:val="auto"/>
                <w:kern w:val="0"/>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560" w:type="dxa"/>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冷却塔</w:t>
            </w:r>
          </w:p>
        </w:tc>
        <w:tc>
          <w:tcPr>
            <w:tcW w:w="4677" w:type="dxa"/>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运行电参数：电流、电压、功率、有功无功电度</w:t>
            </w:r>
          </w:p>
        </w:tc>
        <w:tc>
          <w:tcPr>
            <w:tcW w:w="1701" w:type="dxa"/>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智能电表</w:t>
            </w:r>
          </w:p>
        </w:tc>
        <w:tc>
          <w:tcPr>
            <w:tcW w:w="1276" w:type="dxa"/>
            <w:vMerge w:val="continue"/>
            <w:vAlign w:val="center"/>
          </w:tcPr>
          <w:p>
            <w:pPr>
              <w:spacing w:after="0" w:line="360" w:lineRule="auto"/>
              <w:ind w:left="0" w:right="0" w:firstLine="0"/>
              <w:rPr>
                <w:color w:val="auto"/>
                <w:kern w:val="0"/>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560" w:type="dxa"/>
            <w:vMerge w:val="restart"/>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分水器</w:t>
            </w:r>
          </w:p>
        </w:tc>
        <w:tc>
          <w:tcPr>
            <w:tcW w:w="4677" w:type="dxa"/>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区域用量</w:t>
            </w:r>
          </w:p>
        </w:tc>
        <w:tc>
          <w:tcPr>
            <w:tcW w:w="1701" w:type="dxa"/>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冷热量表</w:t>
            </w:r>
          </w:p>
        </w:tc>
        <w:tc>
          <w:tcPr>
            <w:tcW w:w="1276" w:type="dxa"/>
            <w:vMerge w:val="continue"/>
            <w:vAlign w:val="center"/>
          </w:tcPr>
          <w:p>
            <w:pPr>
              <w:spacing w:after="0" w:line="360" w:lineRule="auto"/>
              <w:ind w:left="0" w:right="0" w:firstLine="0"/>
              <w:rPr>
                <w:color w:val="auto"/>
                <w:kern w:val="0"/>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560" w:type="dxa"/>
            <w:vMerge w:val="continue"/>
            <w:vAlign w:val="center"/>
          </w:tcPr>
          <w:p>
            <w:pPr>
              <w:spacing w:after="0" w:line="360" w:lineRule="auto"/>
              <w:ind w:left="0" w:right="0" w:firstLine="0"/>
              <w:rPr>
                <w:color w:val="auto"/>
                <w:kern w:val="0"/>
                <w:szCs w:val="24"/>
                <w:highlight w:val="none"/>
              </w:rPr>
            </w:pPr>
          </w:p>
        </w:tc>
        <w:tc>
          <w:tcPr>
            <w:tcW w:w="4677" w:type="dxa"/>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科室用量</w:t>
            </w:r>
          </w:p>
        </w:tc>
        <w:tc>
          <w:tcPr>
            <w:tcW w:w="1701" w:type="dxa"/>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冷热量表</w:t>
            </w:r>
          </w:p>
        </w:tc>
        <w:tc>
          <w:tcPr>
            <w:tcW w:w="1276" w:type="dxa"/>
            <w:vMerge w:val="continue"/>
            <w:vAlign w:val="center"/>
          </w:tcPr>
          <w:p>
            <w:pPr>
              <w:spacing w:after="0" w:line="360" w:lineRule="auto"/>
              <w:ind w:left="0" w:right="0" w:firstLine="0"/>
              <w:rPr>
                <w:color w:val="auto"/>
                <w:kern w:val="0"/>
                <w:szCs w:val="24"/>
                <w:highlight w:val="none"/>
              </w:rPr>
            </w:pPr>
          </w:p>
        </w:tc>
      </w:tr>
    </w:tbl>
    <w:p>
      <w:pPr>
        <w:spacing w:after="0" w:line="360" w:lineRule="auto"/>
        <w:ind w:left="-142" w:leftChars="-59" w:right="39" w:firstLine="480" w:firstLineChars="200"/>
        <w:rPr>
          <w:rFonts w:cs="Arial Unicode MS"/>
          <w:color w:val="auto"/>
          <w:kern w:val="0"/>
          <w:highlight w:val="none"/>
          <w:lang w:val="zh-CN"/>
        </w:rPr>
      </w:pPr>
    </w:p>
    <w:p>
      <w:pPr>
        <w:spacing w:after="0" w:line="360" w:lineRule="auto"/>
        <w:rPr>
          <w:b/>
          <w:color w:val="auto"/>
          <w:szCs w:val="24"/>
          <w:highlight w:val="none"/>
        </w:rPr>
      </w:pPr>
      <w:bookmarkStart w:id="247" w:name="_Toc16156"/>
      <w:r>
        <w:rPr>
          <w:rFonts w:hint="eastAsia"/>
          <w:b/>
          <w:color w:val="auto"/>
          <w:szCs w:val="24"/>
          <w:highlight w:val="none"/>
        </w:rPr>
        <w:t>监视要点：</w:t>
      </w:r>
      <w:bookmarkEnd w:id="247"/>
    </w:p>
    <w:p>
      <w:pPr>
        <w:numPr>
          <w:ilvl w:val="0"/>
          <w:numId w:val="120"/>
        </w:numPr>
        <w:spacing w:after="0" w:line="360" w:lineRule="auto"/>
        <w:ind w:right="471"/>
        <w:rPr>
          <w:color w:val="auto"/>
          <w:szCs w:val="24"/>
          <w:highlight w:val="none"/>
        </w:rPr>
      </w:pPr>
      <w:r>
        <w:rPr>
          <w:rFonts w:hint="eastAsia"/>
          <w:color w:val="auto"/>
          <w:szCs w:val="24"/>
          <w:highlight w:val="none"/>
        </w:rPr>
        <w:t>监测冷冻水供回水温度，以了解冷冻水温度是否在合理范围之内；</w:t>
      </w:r>
    </w:p>
    <w:p>
      <w:pPr>
        <w:numPr>
          <w:ilvl w:val="0"/>
          <w:numId w:val="120"/>
        </w:numPr>
        <w:spacing w:after="0" w:line="360" w:lineRule="auto"/>
        <w:ind w:right="471"/>
        <w:rPr>
          <w:color w:val="auto"/>
          <w:szCs w:val="24"/>
          <w:highlight w:val="none"/>
        </w:rPr>
      </w:pPr>
      <w:r>
        <w:rPr>
          <w:rFonts w:hint="eastAsia"/>
          <w:color w:val="auto"/>
          <w:szCs w:val="24"/>
          <w:highlight w:val="none"/>
        </w:rPr>
        <w:t>监测冷冻水供回水压差，根据供回水压差，调节压差旁通阀开度；</w:t>
      </w:r>
    </w:p>
    <w:p>
      <w:pPr>
        <w:numPr>
          <w:ilvl w:val="0"/>
          <w:numId w:val="120"/>
        </w:numPr>
        <w:spacing w:after="0" w:line="360" w:lineRule="auto"/>
        <w:ind w:right="471"/>
        <w:rPr>
          <w:color w:val="auto"/>
          <w:szCs w:val="24"/>
          <w:highlight w:val="none"/>
        </w:rPr>
      </w:pPr>
      <w:r>
        <w:rPr>
          <w:rFonts w:hint="eastAsia"/>
          <w:color w:val="auto"/>
          <w:szCs w:val="24"/>
          <w:highlight w:val="none"/>
        </w:rPr>
        <w:t>监测冷冻水流量，与冷冻水供回水温差结合，计算出冷量，以此作为能源消耗计量的依据；</w:t>
      </w:r>
    </w:p>
    <w:p>
      <w:pPr>
        <w:numPr>
          <w:ilvl w:val="0"/>
          <w:numId w:val="120"/>
        </w:numPr>
        <w:spacing w:after="0" w:line="360" w:lineRule="auto"/>
        <w:ind w:right="471"/>
        <w:rPr>
          <w:color w:val="auto"/>
          <w:szCs w:val="24"/>
          <w:highlight w:val="none"/>
        </w:rPr>
      </w:pPr>
      <w:r>
        <w:rPr>
          <w:rFonts w:hint="eastAsia"/>
          <w:color w:val="auto"/>
          <w:szCs w:val="24"/>
          <w:highlight w:val="none"/>
        </w:rPr>
        <w:t>监测冷却水供回水温度，以了解冷却水温度是否在合理范围之内；</w:t>
      </w:r>
    </w:p>
    <w:p>
      <w:pPr>
        <w:numPr>
          <w:ilvl w:val="0"/>
          <w:numId w:val="120"/>
        </w:numPr>
        <w:spacing w:after="0" w:line="360" w:lineRule="auto"/>
        <w:ind w:right="471"/>
        <w:rPr>
          <w:color w:val="auto"/>
          <w:szCs w:val="24"/>
          <w:highlight w:val="none"/>
        </w:rPr>
      </w:pPr>
      <w:r>
        <w:rPr>
          <w:rFonts w:hint="eastAsia"/>
          <w:color w:val="auto"/>
          <w:szCs w:val="24"/>
          <w:highlight w:val="none"/>
        </w:rPr>
        <w:t>监测机组、冷冻水泵、冷却水泵、冷却塔风机运行状态异常；</w:t>
      </w:r>
    </w:p>
    <w:p>
      <w:pPr>
        <w:numPr>
          <w:ilvl w:val="0"/>
          <w:numId w:val="120"/>
        </w:numPr>
        <w:spacing w:after="0" w:line="360" w:lineRule="auto"/>
        <w:ind w:right="471"/>
        <w:rPr>
          <w:color w:val="auto"/>
          <w:szCs w:val="24"/>
          <w:highlight w:val="none"/>
        </w:rPr>
      </w:pPr>
      <w:r>
        <w:rPr>
          <w:rFonts w:hint="eastAsia"/>
          <w:color w:val="auto"/>
          <w:szCs w:val="24"/>
          <w:highlight w:val="none"/>
        </w:rPr>
        <w:t>膨胀水箱水位超限报警，使水箱水位维持在允许范围内；</w:t>
      </w:r>
    </w:p>
    <w:p>
      <w:pPr>
        <w:numPr>
          <w:ilvl w:val="0"/>
          <w:numId w:val="120"/>
        </w:numPr>
        <w:spacing w:after="0" w:line="360" w:lineRule="auto"/>
        <w:ind w:right="471"/>
        <w:rPr>
          <w:color w:val="auto"/>
          <w:szCs w:val="24"/>
          <w:highlight w:val="none"/>
        </w:rPr>
      </w:pPr>
      <w:r>
        <w:rPr>
          <w:rFonts w:hint="eastAsia"/>
          <w:color w:val="auto"/>
          <w:szCs w:val="24"/>
          <w:highlight w:val="none"/>
        </w:rPr>
        <w:t>冷冻站能效比，如：冷冻站能效比、冷冻水输送系数、冷却水输送系数、总耗电量、总制冷量等；</w:t>
      </w:r>
    </w:p>
    <w:p>
      <w:pPr>
        <w:numPr>
          <w:ilvl w:val="0"/>
          <w:numId w:val="120"/>
        </w:numPr>
        <w:spacing w:after="0" w:line="360" w:lineRule="auto"/>
        <w:ind w:right="471"/>
        <w:rPr>
          <w:color w:val="auto"/>
          <w:szCs w:val="24"/>
          <w:highlight w:val="none"/>
        </w:rPr>
      </w:pPr>
      <w:r>
        <w:rPr>
          <w:rFonts w:hint="eastAsia"/>
          <w:color w:val="auto"/>
          <w:szCs w:val="24"/>
          <w:highlight w:val="none"/>
        </w:rPr>
        <w:t>冷冻站运行环境安全监视，监视信号如：温湿度传感器、水浸传感器、智能摄像头采集的淹水、非法闯入等告警信号和实时画面。</w:t>
      </w:r>
    </w:p>
    <w:p>
      <w:pPr>
        <w:spacing w:after="0" w:line="360" w:lineRule="auto"/>
        <w:rPr>
          <w:b/>
          <w:color w:val="auto"/>
          <w:szCs w:val="24"/>
          <w:highlight w:val="none"/>
        </w:rPr>
      </w:pPr>
      <w:bookmarkStart w:id="248" w:name="_Toc19704"/>
      <w:r>
        <w:rPr>
          <w:rFonts w:hint="eastAsia"/>
          <w:b/>
          <w:color w:val="auto"/>
          <w:szCs w:val="24"/>
          <w:highlight w:val="none"/>
        </w:rPr>
        <w:t>系统控制：</w:t>
      </w:r>
      <w:bookmarkEnd w:id="248"/>
    </w:p>
    <w:p>
      <w:pPr>
        <w:numPr>
          <w:ilvl w:val="0"/>
          <w:numId w:val="120"/>
        </w:numPr>
        <w:spacing w:after="0" w:line="360" w:lineRule="auto"/>
        <w:ind w:right="711"/>
        <w:rPr>
          <w:color w:val="auto"/>
          <w:szCs w:val="24"/>
          <w:highlight w:val="none"/>
        </w:rPr>
      </w:pPr>
      <w:r>
        <w:rPr>
          <w:rFonts w:hint="eastAsia"/>
          <w:color w:val="auto"/>
          <w:szCs w:val="24"/>
          <w:highlight w:val="none"/>
        </w:rPr>
        <w:t>冷却塔停止运行时，应关闭冷却塔进水管蝶阀，以防水流短路。</w:t>
      </w:r>
    </w:p>
    <w:p>
      <w:pPr>
        <w:numPr>
          <w:ilvl w:val="0"/>
          <w:numId w:val="120"/>
        </w:numPr>
        <w:spacing w:after="0" w:line="360" w:lineRule="auto"/>
        <w:ind w:right="711"/>
        <w:rPr>
          <w:color w:val="auto"/>
          <w:szCs w:val="24"/>
          <w:highlight w:val="none"/>
        </w:rPr>
      </w:pPr>
      <w:r>
        <w:rPr>
          <w:rFonts w:hint="eastAsia"/>
          <w:color w:val="auto"/>
          <w:szCs w:val="24"/>
          <w:highlight w:val="none"/>
        </w:rPr>
        <w:t>冷水机组停止运行时，应关闭冷冻水蝶阀，以防水流短路。</w:t>
      </w:r>
    </w:p>
    <w:p>
      <w:pPr>
        <w:numPr>
          <w:ilvl w:val="0"/>
          <w:numId w:val="120"/>
        </w:numPr>
        <w:spacing w:after="0" w:line="360" w:lineRule="auto"/>
        <w:ind w:right="711"/>
        <w:rPr>
          <w:color w:val="auto"/>
          <w:kern w:val="0"/>
          <w:szCs w:val="24"/>
          <w:highlight w:val="none"/>
        </w:rPr>
      </w:pPr>
      <w:r>
        <w:rPr>
          <w:rFonts w:hint="eastAsia"/>
          <w:color w:val="auto"/>
          <w:kern w:val="0"/>
          <w:szCs w:val="24"/>
          <w:highlight w:val="none"/>
        </w:rPr>
        <w:t>机组的台数控制：系统自动计算用户端实际负荷Q=F*（T回水-T出水），自动选择投入运行的机组及水泵数量。</w:t>
      </w:r>
    </w:p>
    <w:p>
      <w:pPr>
        <w:numPr>
          <w:ilvl w:val="0"/>
          <w:numId w:val="120"/>
        </w:numPr>
        <w:spacing w:after="0" w:line="360" w:lineRule="auto"/>
        <w:ind w:right="711"/>
        <w:rPr>
          <w:color w:val="auto"/>
          <w:kern w:val="0"/>
          <w:szCs w:val="24"/>
          <w:highlight w:val="none"/>
        </w:rPr>
      </w:pPr>
      <w:r>
        <w:rPr>
          <w:rFonts w:hint="eastAsia"/>
          <w:color w:val="auto"/>
          <w:kern w:val="0"/>
          <w:szCs w:val="24"/>
          <w:highlight w:val="none"/>
        </w:rPr>
        <w:t>冷冻系统的联锁控制：机组的投入或退出运行的过程是按预先编制的控制程序进行的。当机组需要投入时，控制程序首先打开该机组对应的冷冻水蝶阀、冷却水蝶阀、冷却塔进出水蝶阀。在得到各蝶阀打开状态信号后，延时30秒启动相应的冷却水泵，延时30秒启动相应的冷冻水泵，在得到相应的水流状态信号后，延时5分钟启动冷冻机组。</w:t>
      </w:r>
    </w:p>
    <w:p>
      <w:pPr>
        <w:numPr>
          <w:ilvl w:val="0"/>
          <w:numId w:val="120"/>
        </w:numPr>
        <w:spacing w:after="0" w:line="360" w:lineRule="auto"/>
        <w:ind w:right="711"/>
        <w:rPr>
          <w:color w:val="auto"/>
          <w:kern w:val="0"/>
          <w:szCs w:val="24"/>
          <w:highlight w:val="none"/>
        </w:rPr>
      </w:pPr>
      <w:r>
        <w:rPr>
          <w:rFonts w:hint="eastAsia"/>
          <w:color w:val="auto"/>
          <w:kern w:val="0"/>
          <w:szCs w:val="24"/>
          <w:highlight w:val="none"/>
        </w:rPr>
        <w:t>设备的自动切换及故障设备的自动锁定：为了保护冷源设备，延长设备的使用寿命，因此需要累计每台设备的运行时间，使同类设备进行交替运行，并在发生故障时自动切换。</w:t>
      </w:r>
    </w:p>
    <w:p>
      <w:pPr>
        <w:pStyle w:val="4"/>
        <w:spacing w:before="0" w:after="0" w:line="360" w:lineRule="auto"/>
        <w:ind w:left="0" w:firstLine="0"/>
        <w:rPr>
          <w:color w:val="auto"/>
          <w:sz w:val="24"/>
          <w:szCs w:val="24"/>
          <w:highlight w:val="none"/>
        </w:rPr>
      </w:pPr>
      <w:bookmarkStart w:id="249" w:name="_Toc467747757"/>
      <w:bookmarkStart w:id="250" w:name="_Toc20408815"/>
      <w:bookmarkStart w:id="251" w:name="_Toc11319"/>
      <w:r>
        <w:rPr>
          <w:rFonts w:hint="eastAsia"/>
          <w:color w:val="auto"/>
          <w:sz w:val="24"/>
          <w:szCs w:val="24"/>
          <w:highlight w:val="none"/>
        </w:rPr>
        <w:t>1.</w:t>
      </w:r>
      <w:r>
        <w:rPr>
          <w:color w:val="auto"/>
          <w:sz w:val="24"/>
          <w:szCs w:val="24"/>
          <w:highlight w:val="none"/>
        </w:rPr>
        <w:t>3</w:t>
      </w:r>
      <w:r>
        <w:rPr>
          <w:rFonts w:hint="eastAsia"/>
          <w:color w:val="auto"/>
          <w:sz w:val="24"/>
          <w:szCs w:val="24"/>
          <w:highlight w:val="none"/>
        </w:rPr>
        <w:t>.</w:t>
      </w:r>
      <w:r>
        <w:rPr>
          <w:color w:val="auto"/>
          <w:sz w:val="24"/>
          <w:szCs w:val="24"/>
          <w:highlight w:val="none"/>
        </w:rPr>
        <w:t>4</w:t>
      </w:r>
      <w:r>
        <w:rPr>
          <w:rFonts w:hint="eastAsia"/>
          <w:color w:val="auto"/>
          <w:sz w:val="24"/>
          <w:szCs w:val="24"/>
          <w:highlight w:val="none"/>
        </w:rPr>
        <w:t>给排水系统</w:t>
      </w:r>
      <w:bookmarkEnd w:id="249"/>
      <w:bookmarkEnd w:id="250"/>
      <w:bookmarkEnd w:id="251"/>
    </w:p>
    <w:p>
      <w:pPr>
        <w:spacing w:after="0" w:line="360" w:lineRule="auto"/>
        <w:ind w:firstLine="480" w:firstLineChars="200"/>
        <w:rPr>
          <w:color w:val="auto"/>
          <w:szCs w:val="24"/>
          <w:highlight w:val="none"/>
        </w:rPr>
      </w:pPr>
      <w:r>
        <w:rPr>
          <w:rFonts w:hint="eastAsia"/>
          <w:color w:val="auto"/>
          <w:szCs w:val="24"/>
          <w:highlight w:val="none"/>
        </w:rPr>
        <w:t>给排水系统监控点位及监控内容：</w:t>
      </w:r>
    </w:p>
    <w:tbl>
      <w:tblPr>
        <w:tblStyle w:val="18"/>
        <w:tblW w:w="9214" w:type="dxa"/>
        <w:tblInd w:w="-1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22"/>
        <w:gridCol w:w="4715"/>
        <w:gridCol w:w="1701"/>
        <w:gridCol w:w="12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5" w:hRule="atLeast"/>
        </w:trPr>
        <w:tc>
          <w:tcPr>
            <w:tcW w:w="1522" w:type="dxa"/>
            <w:shd w:val="clear" w:color="auto" w:fill="auto"/>
            <w:vAlign w:val="center"/>
          </w:tcPr>
          <w:p>
            <w:pPr>
              <w:spacing w:after="0" w:line="360" w:lineRule="auto"/>
              <w:ind w:left="0" w:right="0" w:firstLine="0"/>
              <w:jc w:val="center"/>
              <w:rPr>
                <w:b/>
                <w:bCs/>
                <w:color w:val="auto"/>
                <w:kern w:val="0"/>
                <w:szCs w:val="24"/>
                <w:highlight w:val="none"/>
              </w:rPr>
            </w:pPr>
            <w:r>
              <w:rPr>
                <w:rFonts w:hint="eastAsia"/>
                <w:b/>
                <w:bCs/>
                <w:color w:val="auto"/>
                <w:kern w:val="0"/>
                <w:szCs w:val="24"/>
                <w:highlight w:val="none"/>
              </w:rPr>
              <w:t>监控设备</w:t>
            </w:r>
          </w:p>
        </w:tc>
        <w:tc>
          <w:tcPr>
            <w:tcW w:w="4715" w:type="dxa"/>
            <w:shd w:val="clear" w:color="auto" w:fill="auto"/>
            <w:vAlign w:val="center"/>
          </w:tcPr>
          <w:p>
            <w:pPr>
              <w:spacing w:after="0" w:line="360" w:lineRule="auto"/>
              <w:ind w:left="0" w:right="0" w:firstLine="0"/>
              <w:jc w:val="center"/>
              <w:rPr>
                <w:b/>
                <w:bCs/>
                <w:color w:val="auto"/>
                <w:kern w:val="0"/>
                <w:szCs w:val="24"/>
                <w:highlight w:val="none"/>
              </w:rPr>
            </w:pPr>
            <w:r>
              <w:rPr>
                <w:rFonts w:hint="eastAsia"/>
                <w:b/>
                <w:bCs/>
                <w:color w:val="auto"/>
                <w:kern w:val="0"/>
                <w:szCs w:val="24"/>
                <w:highlight w:val="none"/>
              </w:rPr>
              <w:t>监控内容</w:t>
            </w:r>
          </w:p>
        </w:tc>
        <w:tc>
          <w:tcPr>
            <w:tcW w:w="1701" w:type="dxa"/>
            <w:shd w:val="clear" w:color="auto" w:fill="auto"/>
            <w:vAlign w:val="center"/>
          </w:tcPr>
          <w:p>
            <w:pPr>
              <w:spacing w:after="0" w:line="360" w:lineRule="auto"/>
              <w:ind w:left="0" w:right="0" w:firstLine="0"/>
              <w:jc w:val="center"/>
              <w:rPr>
                <w:b/>
                <w:bCs/>
                <w:color w:val="auto"/>
                <w:kern w:val="0"/>
                <w:szCs w:val="24"/>
                <w:highlight w:val="none"/>
              </w:rPr>
            </w:pPr>
            <w:r>
              <w:rPr>
                <w:rFonts w:hint="eastAsia"/>
                <w:b/>
                <w:bCs/>
                <w:color w:val="auto"/>
                <w:kern w:val="0"/>
                <w:szCs w:val="24"/>
                <w:highlight w:val="none"/>
              </w:rPr>
              <w:t>采集方式</w:t>
            </w:r>
          </w:p>
        </w:tc>
        <w:tc>
          <w:tcPr>
            <w:tcW w:w="1276" w:type="dxa"/>
            <w:shd w:val="clear" w:color="auto" w:fill="auto"/>
            <w:vAlign w:val="center"/>
          </w:tcPr>
          <w:p>
            <w:pPr>
              <w:spacing w:after="0" w:line="360" w:lineRule="auto"/>
              <w:ind w:left="0" w:right="0" w:firstLine="0"/>
              <w:jc w:val="center"/>
              <w:rPr>
                <w:b/>
                <w:bCs/>
                <w:color w:val="auto"/>
                <w:kern w:val="0"/>
                <w:szCs w:val="24"/>
                <w:highlight w:val="none"/>
              </w:rPr>
            </w:pPr>
            <w:r>
              <w:rPr>
                <w:rFonts w:hint="eastAsia"/>
                <w:b/>
                <w:bCs/>
                <w:color w:val="auto"/>
                <w:kern w:val="0"/>
                <w:szCs w:val="24"/>
                <w:highlight w:val="none"/>
              </w:rPr>
              <w:t>平台对接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4" w:hRule="atLeast"/>
        </w:trPr>
        <w:tc>
          <w:tcPr>
            <w:tcW w:w="1522" w:type="dxa"/>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生活水泵</w:t>
            </w:r>
          </w:p>
        </w:tc>
        <w:tc>
          <w:tcPr>
            <w:tcW w:w="4715" w:type="dxa"/>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运行/停止、手动/自动、变频/工频运行、故障；远程启停控制</w:t>
            </w:r>
          </w:p>
        </w:tc>
        <w:tc>
          <w:tcPr>
            <w:tcW w:w="1701" w:type="dxa"/>
            <w:vMerge w:val="restart"/>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DDC采集、控制，经Bacnet/IP网络控制器上送数据、接收控制令。</w:t>
            </w:r>
          </w:p>
        </w:tc>
        <w:tc>
          <w:tcPr>
            <w:tcW w:w="1276" w:type="dxa"/>
            <w:vMerge w:val="restart"/>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由BA系统上传至医院后勤智慧运维平台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522" w:type="dxa"/>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生活水箱</w:t>
            </w:r>
          </w:p>
        </w:tc>
        <w:tc>
          <w:tcPr>
            <w:tcW w:w="4715" w:type="dxa"/>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水位高、水位低</w:t>
            </w:r>
          </w:p>
        </w:tc>
        <w:tc>
          <w:tcPr>
            <w:tcW w:w="1701" w:type="dxa"/>
            <w:vMerge w:val="continue"/>
            <w:vAlign w:val="center"/>
          </w:tcPr>
          <w:p>
            <w:pPr>
              <w:spacing w:after="0" w:line="360" w:lineRule="auto"/>
              <w:ind w:left="0" w:right="0" w:firstLine="0"/>
              <w:rPr>
                <w:color w:val="auto"/>
                <w:kern w:val="0"/>
                <w:szCs w:val="24"/>
                <w:highlight w:val="none"/>
              </w:rPr>
            </w:pPr>
          </w:p>
        </w:tc>
        <w:tc>
          <w:tcPr>
            <w:tcW w:w="1276" w:type="dxa"/>
            <w:vMerge w:val="continue"/>
            <w:vAlign w:val="center"/>
          </w:tcPr>
          <w:p>
            <w:pPr>
              <w:spacing w:after="0" w:line="360" w:lineRule="auto"/>
              <w:ind w:left="0" w:right="0" w:firstLine="0"/>
              <w:rPr>
                <w:color w:val="auto"/>
                <w:kern w:val="0"/>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522" w:type="dxa"/>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供水管网</w:t>
            </w:r>
          </w:p>
        </w:tc>
        <w:tc>
          <w:tcPr>
            <w:tcW w:w="4715" w:type="dxa"/>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供水管压力</w:t>
            </w:r>
          </w:p>
        </w:tc>
        <w:tc>
          <w:tcPr>
            <w:tcW w:w="1701" w:type="dxa"/>
            <w:vMerge w:val="continue"/>
            <w:vAlign w:val="center"/>
          </w:tcPr>
          <w:p>
            <w:pPr>
              <w:spacing w:after="0" w:line="360" w:lineRule="auto"/>
              <w:ind w:left="0" w:right="0" w:firstLine="0"/>
              <w:rPr>
                <w:color w:val="auto"/>
                <w:kern w:val="0"/>
                <w:szCs w:val="24"/>
                <w:highlight w:val="none"/>
              </w:rPr>
            </w:pPr>
          </w:p>
        </w:tc>
        <w:tc>
          <w:tcPr>
            <w:tcW w:w="1276" w:type="dxa"/>
            <w:vMerge w:val="continue"/>
            <w:vAlign w:val="center"/>
          </w:tcPr>
          <w:p>
            <w:pPr>
              <w:spacing w:after="0" w:line="360" w:lineRule="auto"/>
              <w:ind w:left="0" w:right="0" w:firstLine="0"/>
              <w:rPr>
                <w:color w:val="auto"/>
                <w:kern w:val="0"/>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522" w:type="dxa"/>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集水井</w:t>
            </w:r>
          </w:p>
        </w:tc>
        <w:tc>
          <w:tcPr>
            <w:tcW w:w="4715" w:type="dxa"/>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水位高、水位超高</w:t>
            </w:r>
          </w:p>
        </w:tc>
        <w:tc>
          <w:tcPr>
            <w:tcW w:w="1701" w:type="dxa"/>
            <w:vMerge w:val="continue"/>
            <w:vAlign w:val="center"/>
          </w:tcPr>
          <w:p>
            <w:pPr>
              <w:spacing w:after="0" w:line="360" w:lineRule="auto"/>
              <w:ind w:left="0" w:right="0" w:firstLine="0"/>
              <w:rPr>
                <w:color w:val="auto"/>
                <w:kern w:val="0"/>
                <w:szCs w:val="24"/>
                <w:highlight w:val="none"/>
              </w:rPr>
            </w:pPr>
          </w:p>
        </w:tc>
        <w:tc>
          <w:tcPr>
            <w:tcW w:w="1276" w:type="dxa"/>
            <w:vMerge w:val="continue"/>
            <w:vAlign w:val="center"/>
          </w:tcPr>
          <w:p>
            <w:pPr>
              <w:spacing w:after="0" w:line="360" w:lineRule="auto"/>
              <w:ind w:left="0" w:right="0" w:firstLine="0"/>
              <w:rPr>
                <w:color w:val="auto"/>
                <w:kern w:val="0"/>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5" w:hRule="atLeast"/>
        </w:trPr>
        <w:tc>
          <w:tcPr>
            <w:tcW w:w="1522" w:type="dxa"/>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潜污泵</w:t>
            </w:r>
          </w:p>
        </w:tc>
        <w:tc>
          <w:tcPr>
            <w:tcW w:w="4715" w:type="dxa"/>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运行/停止、手动/自动、故障报警；远程启停控制</w:t>
            </w:r>
          </w:p>
        </w:tc>
        <w:tc>
          <w:tcPr>
            <w:tcW w:w="1701" w:type="dxa"/>
            <w:vMerge w:val="continue"/>
            <w:vAlign w:val="center"/>
          </w:tcPr>
          <w:p>
            <w:pPr>
              <w:spacing w:after="0" w:line="360" w:lineRule="auto"/>
              <w:ind w:left="0" w:right="0" w:firstLine="0"/>
              <w:rPr>
                <w:color w:val="auto"/>
                <w:kern w:val="0"/>
                <w:szCs w:val="24"/>
                <w:highlight w:val="none"/>
              </w:rPr>
            </w:pPr>
          </w:p>
        </w:tc>
        <w:tc>
          <w:tcPr>
            <w:tcW w:w="1276" w:type="dxa"/>
            <w:vMerge w:val="continue"/>
            <w:vAlign w:val="center"/>
          </w:tcPr>
          <w:p>
            <w:pPr>
              <w:spacing w:after="0" w:line="360" w:lineRule="auto"/>
              <w:ind w:left="0" w:right="0" w:firstLine="0"/>
              <w:rPr>
                <w:color w:val="auto"/>
                <w:kern w:val="0"/>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5" w:hRule="atLeast"/>
        </w:trPr>
        <w:tc>
          <w:tcPr>
            <w:tcW w:w="1522" w:type="dxa"/>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生活水泵</w:t>
            </w:r>
          </w:p>
        </w:tc>
        <w:tc>
          <w:tcPr>
            <w:tcW w:w="4715" w:type="dxa"/>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运行电参数：电流、电压、功率、有功无功电度</w:t>
            </w:r>
          </w:p>
        </w:tc>
        <w:tc>
          <w:tcPr>
            <w:tcW w:w="1701" w:type="dxa"/>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智能电表</w:t>
            </w:r>
          </w:p>
        </w:tc>
        <w:tc>
          <w:tcPr>
            <w:tcW w:w="1276" w:type="dxa"/>
            <w:vMerge w:val="restart"/>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由能源管理系统上传至医院后勤智慧运维平台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522" w:type="dxa"/>
            <w:vMerge w:val="restart"/>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供水管网</w:t>
            </w:r>
          </w:p>
        </w:tc>
        <w:tc>
          <w:tcPr>
            <w:tcW w:w="4715" w:type="dxa"/>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总用水量</w:t>
            </w:r>
          </w:p>
        </w:tc>
        <w:tc>
          <w:tcPr>
            <w:tcW w:w="1701" w:type="dxa"/>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远传水表</w:t>
            </w:r>
          </w:p>
        </w:tc>
        <w:tc>
          <w:tcPr>
            <w:tcW w:w="1276" w:type="dxa"/>
            <w:vMerge w:val="continue"/>
            <w:vAlign w:val="center"/>
          </w:tcPr>
          <w:p>
            <w:pPr>
              <w:spacing w:after="0" w:line="360" w:lineRule="auto"/>
              <w:ind w:left="0" w:right="0" w:firstLine="0"/>
              <w:rPr>
                <w:color w:val="auto"/>
                <w:kern w:val="0"/>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522" w:type="dxa"/>
            <w:vMerge w:val="continue"/>
            <w:vAlign w:val="center"/>
          </w:tcPr>
          <w:p>
            <w:pPr>
              <w:spacing w:after="0" w:line="360" w:lineRule="auto"/>
              <w:ind w:left="0" w:right="0" w:firstLine="0"/>
              <w:rPr>
                <w:color w:val="auto"/>
                <w:kern w:val="0"/>
                <w:szCs w:val="24"/>
                <w:highlight w:val="none"/>
              </w:rPr>
            </w:pPr>
          </w:p>
        </w:tc>
        <w:tc>
          <w:tcPr>
            <w:tcW w:w="4715" w:type="dxa"/>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科室用水量</w:t>
            </w:r>
          </w:p>
        </w:tc>
        <w:tc>
          <w:tcPr>
            <w:tcW w:w="1701" w:type="dxa"/>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远传水表</w:t>
            </w:r>
          </w:p>
        </w:tc>
        <w:tc>
          <w:tcPr>
            <w:tcW w:w="1276" w:type="dxa"/>
            <w:vMerge w:val="continue"/>
            <w:vAlign w:val="center"/>
          </w:tcPr>
          <w:p>
            <w:pPr>
              <w:spacing w:after="0" w:line="360" w:lineRule="auto"/>
              <w:ind w:left="0" w:right="0" w:firstLine="0"/>
              <w:rPr>
                <w:color w:val="auto"/>
                <w:kern w:val="0"/>
                <w:szCs w:val="24"/>
                <w:highlight w:val="none"/>
              </w:rPr>
            </w:pPr>
          </w:p>
        </w:tc>
      </w:tr>
    </w:tbl>
    <w:p>
      <w:pPr>
        <w:spacing w:after="0" w:line="360" w:lineRule="auto"/>
        <w:ind w:firstLine="480" w:firstLineChars="200"/>
        <w:rPr>
          <w:color w:val="auto"/>
          <w:szCs w:val="24"/>
          <w:highlight w:val="none"/>
        </w:rPr>
      </w:pPr>
    </w:p>
    <w:p>
      <w:pPr>
        <w:spacing w:after="0" w:line="360" w:lineRule="auto"/>
        <w:rPr>
          <w:b/>
          <w:color w:val="auto"/>
          <w:szCs w:val="24"/>
          <w:highlight w:val="none"/>
        </w:rPr>
      </w:pPr>
      <w:bookmarkStart w:id="252" w:name="_Toc4660"/>
      <w:r>
        <w:rPr>
          <w:rFonts w:hint="eastAsia"/>
          <w:b/>
          <w:color w:val="auto"/>
          <w:szCs w:val="24"/>
          <w:highlight w:val="none"/>
        </w:rPr>
        <w:t>监视要点：</w:t>
      </w:r>
      <w:bookmarkEnd w:id="252"/>
    </w:p>
    <w:p>
      <w:pPr>
        <w:numPr>
          <w:ilvl w:val="0"/>
          <w:numId w:val="121"/>
        </w:numPr>
        <w:spacing w:after="0" w:line="360" w:lineRule="auto"/>
        <w:ind w:right="231"/>
        <w:rPr>
          <w:color w:val="auto"/>
          <w:szCs w:val="24"/>
          <w:highlight w:val="none"/>
        </w:rPr>
      </w:pPr>
      <w:r>
        <w:rPr>
          <w:rFonts w:hint="eastAsia"/>
          <w:color w:val="auto"/>
          <w:szCs w:val="24"/>
          <w:highlight w:val="none"/>
        </w:rPr>
        <w:t>水泵运行异常告警；</w:t>
      </w:r>
    </w:p>
    <w:p>
      <w:pPr>
        <w:numPr>
          <w:ilvl w:val="0"/>
          <w:numId w:val="121"/>
        </w:numPr>
        <w:spacing w:after="0" w:line="360" w:lineRule="auto"/>
        <w:ind w:right="231"/>
        <w:rPr>
          <w:color w:val="auto"/>
          <w:szCs w:val="24"/>
          <w:highlight w:val="none"/>
        </w:rPr>
      </w:pPr>
      <w:r>
        <w:rPr>
          <w:rFonts w:hint="eastAsia"/>
          <w:color w:val="auto"/>
          <w:szCs w:val="24"/>
          <w:highlight w:val="none"/>
        </w:rPr>
        <w:t>水箱水位异常告警；</w:t>
      </w:r>
    </w:p>
    <w:p>
      <w:pPr>
        <w:numPr>
          <w:ilvl w:val="0"/>
          <w:numId w:val="121"/>
        </w:numPr>
        <w:spacing w:after="0" w:line="360" w:lineRule="auto"/>
        <w:ind w:right="231"/>
        <w:rPr>
          <w:color w:val="auto"/>
          <w:szCs w:val="24"/>
          <w:highlight w:val="none"/>
        </w:rPr>
      </w:pPr>
      <w:r>
        <w:rPr>
          <w:rFonts w:hint="eastAsia"/>
          <w:color w:val="auto"/>
          <w:szCs w:val="24"/>
          <w:highlight w:val="none"/>
        </w:rPr>
        <w:t>集水井水位高告警；</w:t>
      </w:r>
    </w:p>
    <w:p>
      <w:pPr>
        <w:numPr>
          <w:ilvl w:val="0"/>
          <w:numId w:val="121"/>
        </w:numPr>
        <w:spacing w:after="0" w:line="360" w:lineRule="auto"/>
        <w:ind w:right="231"/>
        <w:rPr>
          <w:color w:val="auto"/>
          <w:szCs w:val="24"/>
          <w:highlight w:val="none"/>
        </w:rPr>
      </w:pPr>
      <w:r>
        <w:rPr>
          <w:rFonts w:hint="eastAsia"/>
          <w:color w:val="auto"/>
          <w:szCs w:val="24"/>
          <w:highlight w:val="none"/>
        </w:rPr>
        <w:t>供水管网首端、末端压力、流量差异常告警；</w:t>
      </w:r>
    </w:p>
    <w:p>
      <w:pPr>
        <w:numPr>
          <w:ilvl w:val="0"/>
          <w:numId w:val="121"/>
        </w:numPr>
        <w:spacing w:after="0" w:line="360" w:lineRule="auto"/>
        <w:ind w:right="231"/>
        <w:rPr>
          <w:color w:val="auto"/>
          <w:szCs w:val="24"/>
          <w:highlight w:val="none"/>
        </w:rPr>
      </w:pPr>
      <w:r>
        <w:rPr>
          <w:rFonts w:hint="eastAsia"/>
          <w:color w:val="auto"/>
          <w:szCs w:val="24"/>
          <w:highlight w:val="none"/>
        </w:rPr>
        <w:t>生活水箱、供水泵房运行环境安全监视，监视信号如：水浸传感器、智能摄像头采集的漫水、非法闯入等告警信号和实时画面。</w:t>
      </w:r>
    </w:p>
    <w:p>
      <w:pPr>
        <w:spacing w:after="0" w:line="360" w:lineRule="auto"/>
        <w:rPr>
          <w:b/>
          <w:color w:val="auto"/>
          <w:szCs w:val="24"/>
          <w:highlight w:val="none"/>
        </w:rPr>
      </w:pPr>
      <w:bookmarkStart w:id="253" w:name="_Toc14973"/>
      <w:r>
        <w:rPr>
          <w:rFonts w:hint="eastAsia"/>
          <w:b/>
          <w:color w:val="auto"/>
          <w:szCs w:val="24"/>
          <w:highlight w:val="none"/>
        </w:rPr>
        <w:t>系统控制：</w:t>
      </w:r>
      <w:bookmarkEnd w:id="253"/>
    </w:p>
    <w:p>
      <w:pPr>
        <w:numPr>
          <w:ilvl w:val="0"/>
          <w:numId w:val="121"/>
        </w:numPr>
        <w:spacing w:after="0" w:line="360" w:lineRule="auto"/>
        <w:ind w:right="231"/>
        <w:rPr>
          <w:color w:val="auto"/>
          <w:szCs w:val="24"/>
          <w:highlight w:val="none"/>
        </w:rPr>
      </w:pPr>
      <w:r>
        <w:rPr>
          <w:rFonts w:hint="eastAsia"/>
          <w:color w:val="auto"/>
          <w:szCs w:val="24"/>
          <w:highlight w:val="none"/>
        </w:rPr>
        <w:t>生活水泵变频运行，保持供水管网压力恒定；</w:t>
      </w:r>
    </w:p>
    <w:p>
      <w:pPr>
        <w:numPr>
          <w:ilvl w:val="0"/>
          <w:numId w:val="121"/>
        </w:numPr>
        <w:spacing w:after="0" w:line="360" w:lineRule="auto"/>
        <w:ind w:right="231"/>
        <w:rPr>
          <w:color w:val="auto"/>
          <w:szCs w:val="24"/>
          <w:highlight w:val="none"/>
        </w:rPr>
      </w:pPr>
      <w:r>
        <w:rPr>
          <w:rFonts w:hint="eastAsia"/>
          <w:color w:val="auto"/>
          <w:szCs w:val="24"/>
          <w:highlight w:val="none"/>
        </w:rPr>
        <w:t>水箱水位低时停止水泵运行；</w:t>
      </w:r>
    </w:p>
    <w:p>
      <w:pPr>
        <w:numPr>
          <w:ilvl w:val="0"/>
          <w:numId w:val="121"/>
        </w:numPr>
        <w:spacing w:after="0" w:line="360" w:lineRule="auto"/>
        <w:ind w:right="231"/>
        <w:rPr>
          <w:color w:val="auto"/>
          <w:szCs w:val="24"/>
          <w:highlight w:val="none"/>
        </w:rPr>
      </w:pPr>
      <w:r>
        <w:rPr>
          <w:rFonts w:hint="eastAsia"/>
          <w:color w:val="auto"/>
          <w:szCs w:val="24"/>
          <w:highlight w:val="none"/>
        </w:rPr>
        <w:t>集水井水位高时，启动潜污泵运行，超高时，启动备用泵运行，延时水位仍未下降时，运维人员需到现场排除故障；</w:t>
      </w:r>
    </w:p>
    <w:p>
      <w:pPr>
        <w:numPr>
          <w:ilvl w:val="0"/>
          <w:numId w:val="121"/>
        </w:numPr>
        <w:spacing w:after="0" w:line="360" w:lineRule="auto"/>
        <w:ind w:right="231"/>
        <w:rPr>
          <w:color w:val="auto"/>
          <w:szCs w:val="24"/>
          <w:highlight w:val="none"/>
        </w:rPr>
      </w:pPr>
      <w:r>
        <w:rPr>
          <w:rFonts w:hint="eastAsia"/>
          <w:color w:val="auto"/>
          <w:szCs w:val="24"/>
          <w:highlight w:val="none"/>
        </w:rPr>
        <w:t>可以累计设备的运行时间，自动切换运行泵与备用泵，延长设备使用寿命。</w:t>
      </w:r>
    </w:p>
    <w:p>
      <w:pPr>
        <w:pStyle w:val="4"/>
        <w:spacing w:before="0" w:after="0" w:line="360" w:lineRule="auto"/>
        <w:ind w:left="0" w:firstLine="0"/>
        <w:rPr>
          <w:color w:val="auto"/>
          <w:sz w:val="24"/>
          <w:szCs w:val="24"/>
          <w:highlight w:val="none"/>
        </w:rPr>
      </w:pPr>
      <w:bookmarkStart w:id="254" w:name="_Toc17044"/>
      <w:r>
        <w:rPr>
          <w:rFonts w:hint="eastAsia"/>
          <w:color w:val="auto"/>
          <w:sz w:val="24"/>
          <w:szCs w:val="24"/>
          <w:highlight w:val="none"/>
        </w:rPr>
        <w:t>1</w:t>
      </w:r>
      <w:r>
        <w:rPr>
          <w:color w:val="auto"/>
          <w:sz w:val="24"/>
          <w:szCs w:val="24"/>
          <w:highlight w:val="none"/>
        </w:rPr>
        <w:t>.3.5</w:t>
      </w:r>
      <w:r>
        <w:rPr>
          <w:rFonts w:hint="eastAsia"/>
          <w:color w:val="auto"/>
          <w:sz w:val="24"/>
          <w:szCs w:val="24"/>
          <w:highlight w:val="none"/>
        </w:rPr>
        <w:t>变配电系统</w:t>
      </w:r>
      <w:bookmarkEnd w:id="239"/>
      <w:bookmarkEnd w:id="254"/>
    </w:p>
    <w:p>
      <w:pPr>
        <w:spacing w:after="0" w:line="360" w:lineRule="auto"/>
        <w:ind w:right="231" w:firstLine="480" w:firstLineChars="200"/>
        <w:rPr>
          <w:color w:val="auto"/>
          <w:szCs w:val="24"/>
          <w:highlight w:val="none"/>
        </w:rPr>
      </w:pPr>
      <w:r>
        <w:rPr>
          <w:rFonts w:hint="eastAsia"/>
          <w:color w:val="auto"/>
          <w:szCs w:val="24"/>
          <w:highlight w:val="none"/>
        </w:rPr>
        <w:t>通过现场智能仪表、传感器、通讯管理机、摄像头等传感、采集单元，实时采集变配电系统的运行状态以及运行参数和周边环境信息，通过上层应用系统分析、诊断、告警等功能，快速、准确掌握系统运行安全问题，保障变配电系统的可靠运行，实现配电室远程监视、无人值守。</w:t>
      </w:r>
    </w:p>
    <w:p>
      <w:pPr>
        <w:spacing w:after="0" w:line="360" w:lineRule="auto"/>
        <w:ind w:firstLine="480" w:firstLineChars="200"/>
        <w:rPr>
          <w:color w:val="auto"/>
          <w:szCs w:val="24"/>
          <w:highlight w:val="none"/>
        </w:rPr>
      </w:pPr>
      <w:r>
        <w:rPr>
          <w:rFonts w:hint="eastAsia"/>
          <w:color w:val="auto"/>
          <w:szCs w:val="24"/>
          <w:highlight w:val="none"/>
        </w:rPr>
        <w:t>变配电系统监测点位及监测内容：</w:t>
      </w:r>
    </w:p>
    <w:tbl>
      <w:tblPr>
        <w:tblStyle w:val="18"/>
        <w:tblW w:w="9214" w:type="dxa"/>
        <w:tblInd w:w="-1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20"/>
        <w:gridCol w:w="4959"/>
        <w:gridCol w:w="1418"/>
        <w:gridCol w:w="141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420" w:type="dxa"/>
            <w:shd w:val="clear" w:color="auto" w:fill="auto"/>
            <w:vAlign w:val="center"/>
          </w:tcPr>
          <w:p>
            <w:pPr>
              <w:spacing w:after="0" w:line="360" w:lineRule="auto"/>
              <w:ind w:left="0" w:right="0" w:firstLine="0"/>
              <w:jc w:val="center"/>
              <w:rPr>
                <w:b/>
                <w:bCs/>
                <w:color w:val="auto"/>
                <w:kern w:val="0"/>
                <w:szCs w:val="24"/>
                <w:highlight w:val="none"/>
              </w:rPr>
            </w:pPr>
            <w:r>
              <w:rPr>
                <w:rFonts w:hint="eastAsia"/>
                <w:b/>
                <w:bCs/>
                <w:color w:val="auto"/>
                <w:kern w:val="0"/>
                <w:szCs w:val="24"/>
                <w:highlight w:val="none"/>
              </w:rPr>
              <w:t>监控设备</w:t>
            </w:r>
          </w:p>
        </w:tc>
        <w:tc>
          <w:tcPr>
            <w:tcW w:w="4959" w:type="dxa"/>
            <w:shd w:val="clear" w:color="auto" w:fill="auto"/>
            <w:vAlign w:val="center"/>
          </w:tcPr>
          <w:p>
            <w:pPr>
              <w:spacing w:after="0" w:line="360" w:lineRule="auto"/>
              <w:ind w:left="0" w:right="0" w:firstLine="0"/>
              <w:jc w:val="center"/>
              <w:rPr>
                <w:b/>
                <w:bCs/>
                <w:color w:val="auto"/>
                <w:kern w:val="0"/>
                <w:szCs w:val="24"/>
                <w:highlight w:val="none"/>
              </w:rPr>
            </w:pPr>
            <w:r>
              <w:rPr>
                <w:rFonts w:hint="eastAsia"/>
                <w:b/>
                <w:bCs/>
                <w:color w:val="auto"/>
                <w:kern w:val="0"/>
                <w:szCs w:val="24"/>
                <w:highlight w:val="none"/>
              </w:rPr>
              <w:t>监测内容</w:t>
            </w:r>
          </w:p>
        </w:tc>
        <w:tc>
          <w:tcPr>
            <w:tcW w:w="1418" w:type="dxa"/>
            <w:shd w:val="clear" w:color="auto" w:fill="auto"/>
            <w:vAlign w:val="center"/>
          </w:tcPr>
          <w:p>
            <w:pPr>
              <w:spacing w:after="0" w:line="360" w:lineRule="auto"/>
              <w:ind w:left="0" w:right="0" w:firstLine="0"/>
              <w:jc w:val="center"/>
              <w:rPr>
                <w:b/>
                <w:bCs/>
                <w:color w:val="auto"/>
                <w:kern w:val="0"/>
                <w:szCs w:val="24"/>
                <w:highlight w:val="none"/>
              </w:rPr>
            </w:pPr>
            <w:r>
              <w:rPr>
                <w:rFonts w:hint="eastAsia"/>
                <w:b/>
                <w:bCs/>
                <w:color w:val="auto"/>
                <w:kern w:val="0"/>
                <w:szCs w:val="24"/>
                <w:highlight w:val="none"/>
              </w:rPr>
              <w:t>采集方式</w:t>
            </w:r>
          </w:p>
        </w:tc>
        <w:tc>
          <w:tcPr>
            <w:tcW w:w="1417" w:type="dxa"/>
            <w:shd w:val="clear" w:color="auto" w:fill="auto"/>
            <w:vAlign w:val="center"/>
          </w:tcPr>
          <w:p>
            <w:pPr>
              <w:spacing w:after="0" w:line="360" w:lineRule="auto"/>
              <w:ind w:left="0" w:right="0" w:firstLine="0"/>
              <w:jc w:val="center"/>
              <w:rPr>
                <w:b/>
                <w:bCs/>
                <w:color w:val="auto"/>
                <w:kern w:val="0"/>
                <w:szCs w:val="24"/>
                <w:highlight w:val="none"/>
              </w:rPr>
            </w:pPr>
            <w:r>
              <w:rPr>
                <w:rFonts w:hint="eastAsia"/>
                <w:b/>
                <w:bCs/>
                <w:color w:val="auto"/>
                <w:kern w:val="0"/>
                <w:szCs w:val="24"/>
                <w:highlight w:val="none"/>
              </w:rPr>
              <w:t>平台对接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5" w:hRule="atLeast"/>
        </w:trPr>
        <w:tc>
          <w:tcPr>
            <w:tcW w:w="1420" w:type="dxa"/>
            <w:vMerge w:val="restart"/>
            <w:shd w:val="clear" w:color="auto" w:fill="auto"/>
            <w:vAlign w:val="center"/>
          </w:tcPr>
          <w:p>
            <w:pPr>
              <w:spacing w:after="0" w:line="360" w:lineRule="auto"/>
              <w:ind w:left="0" w:right="0" w:firstLine="0"/>
              <w:jc w:val="center"/>
              <w:rPr>
                <w:color w:val="auto"/>
                <w:kern w:val="0"/>
                <w:szCs w:val="24"/>
                <w:highlight w:val="none"/>
              </w:rPr>
            </w:pPr>
            <w:r>
              <w:rPr>
                <w:rFonts w:hint="eastAsia"/>
                <w:color w:val="auto"/>
                <w:kern w:val="0"/>
                <w:szCs w:val="24"/>
                <w:highlight w:val="none"/>
              </w:rPr>
              <w:t>高压开关柜</w:t>
            </w:r>
          </w:p>
        </w:tc>
        <w:tc>
          <w:tcPr>
            <w:tcW w:w="4959" w:type="dxa"/>
            <w:shd w:val="clear" w:color="auto" w:fill="auto"/>
            <w:vAlign w:val="center"/>
          </w:tcPr>
          <w:p>
            <w:pPr>
              <w:spacing w:after="0" w:line="360" w:lineRule="auto"/>
              <w:ind w:left="0" w:right="-108" w:rightChars="-45" w:firstLine="0"/>
              <w:rPr>
                <w:color w:val="auto"/>
                <w:kern w:val="0"/>
                <w:szCs w:val="24"/>
                <w:highlight w:val="none"/>
              </w:rPr>
            </w:pPr>
            <w:r>
              <w:rPr>
                <w:rFonts w:hint="eastAsia"/>
                <w:color w:val="auto"/>
                <w:kern w:val="0"/>
                <w:szCs w:val="24"/>
                <w:highlight w:val="none"/>
              </w:rPr>
              <w:t>电压、电流、频率、有功、无功、功率因数、有功电能、无功电能</w:t>
            </w:r>
          </w:p>
        </w:tc>
        <w:tc>
          <w:tcPr>
            <w:tcW w:w="1418" w:type="dxa"/>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智能电表</w:t>
            </w:r>
          </w:p>
        </w:tc>
        <w:tc>
          <w:tcPr>
            <w:tcW w:w="1417" w:type="dxa"/>
            <w:vMerge w:val="restart"/>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由电力监控系统上传至医院后勤智慧运维平台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420" w:type="dxa"/>
            <w:vMerge w:val="continue"/>
            <w:vAlign w:val="center"/>
          </w:tcPr>
          <w:p>
            <w:pPr>
              <w:spacing w:after="0" w:line="360" w:lineRule="auto"/>
              <w:ind w:left="0" w:right="0" w:firstLine="0"/>
              <w:jc w:val="center"/>
              <w:rPr>
                <w:color w:val="auto"/>
                <w:kern w:val="0"/>
                <w:szCs w:val="24"/>
                <w:highlight w:val="none"/>
              </w:rPr>
            </w:pPr>
          </w:p>
        </w:tc>
        <w:tc>
          <w:tcPr>
            <w:tcW w:w="4959" w:type="dxa"/>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真空断路器分/合、弹簧储能/未储能</w:t>
            </w:r>
          </w:p>
        </w:tc>
        <w:tc>
          <w:tcPr>
            <w:tcW w:w="1418" w:type="dxa"/>
            <w:vMerge w:val="restart"/>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微机保护装置</w:t>
            </w:r>
          </w:p>
        </w:tc>
        <w:tc>
          <w:tcPr>
            <w:tcW w:w="1417" w:type="dxa"/>
            <w:vMerge w:val="continue"/>
            <w:vAlign w:val="center"/>
          </w:tcPr>
          <w:p>
            <w:pPr>
              <w:spacing w:after="0" w:line="360" w:lineRule="auto"/>
              <w:ind w:left="0" w:right="0" w:firstLine="0"/>
              <w:rPr>
                <w:color w:val="auto"/>
                <w:kern w:val="0"/>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420" w:type="dxa"/>
            <w:vMerge w:val="continue"/>
            <w:vAlign w:val="center"/>
          </w:tcPr>
          <w:p>
            <w:pPr>
              <w:spacing w:after="0" w:line="360" w:lineRule="auto"/>
              <w:ind w:left="0" w:right="0" w:firstLine="0"/>
              <w:jc w:val="center"/>
              <w:rPr>
                <w:color w:val="auto"/>
                <w:kern w:val="0"/>
                <w:szCs w:val="24"/>
                <w:highlight w:val="none"/>
              </w:rPr>
            </w:pPr>
          </w:p>
        </w:tc>
        <w:tc>
          <w:tcPr>
            <w:tcW w:w="4959" w:type="dxa"/>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手车位置</w:t>
            </w:r>
          </w:p>
        </w:tc>
        <w:tc>
          <w:tcPr>
            <w:tcW w:w="1418" w:type="dxa"/>
            <w:vMerge w:val="continue"/>
            <w:vAlign w:val="center"/>
          </w:tcPr>
          <w:p>
            <w:pPr>
              <w:spacing w:after="0" w:line="360" w:lineRule="auto"/>
              <w:ind w:left="0" w:right="0" w:firstLine="0"/>
              <w:rPr>
                <w:color w:val="auto"/>
                <w:kern w:val="0"/>
                <w:szCs w:val="24"/>
                <w:highlight w:val="none"/>
              </w:rPr>
            </w:pPr>
          </w:p>
        </w:tc>
        <w:tc>
          <w:tcPr>
            <w:tcW w:w="1417" w:type="dxa"/>
            <w:vMerge w:val="continue"/>
            <w:vAlign w:val="center"/>
          </w:tcPr>
          <w:p>
            <w:pPr>
              <w:spacing w:after="0" w:line="360" w:lineRule="auto"/>
              <w:ind w:left="0" w:right="0" w:firstLine="0"/>
              <w:rPr>
                <w:color w:val="auto"/>
                <w:kern w:val="0"/>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420" w:type="dxa"/>
            <w:vMerge w:val="continue"/>
            <w:vAlign w:val="center"/>
          </w:tcPr>
          <w:p>
            <w:pPr>
              <w:spacing w:after="0" w:line="360" w:lineRule="auto"/>
              <w:ind w:left="0" w:right="0" w:firstLine="0"/>
              <w:jc w:val="center"/>
              <w:rPr>
                <w:color w:val="auto"/>
                <w:kern w:val="0"/>
                <w:szCs w:val="24"/>
                <w:highlight w:val="none"/>
              </w:rPr>
            </w:pPr>
          </w:p>
        </w:tc>
        <w:tc>
          <w:tcPr>
            <w:tcW w:w="4959" w:type="dxa"/>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接地开关分/合状态</w:t>
            </w:r>
          </w:p>
        </w:tc>
        <w:tc>
          <w:tcPr>
            <w:tcW w:w="1418" w:type="dxa"/>
            <w:vMerge w:val="continue"/>
            <w:vAlign w:val="center"/>
          </w:tcPr>
          <w:p>
            <w:pPr>
              <w:spacing w:after="0" w:line="360" w:lineRule="auto"/>
              <w:ind w:left="0" w:right="0" w:firstLine="0"/>
              <w:rPr>
                <w:color w:val="auto"/>
                <w:kern w:val="0"/>
                <w:szCs w:val="24"/>
                <w:highlight w:val="none"/>
              </w:rPr>
            </w:pPr>
          </w:p>
        </w:tc>
        <w:tc>
          <w:tcPr>
            <w:tcW w:w="1417" w:type="dxa"/>
            <w:vMerge w:val="continue"/>
            <w:vAlign w:val="center"/>
          </w:tcPr>
          <w:p>
            <w:pPr>
              <w:spacing w:after="0" w:line="360" w:lineRule="auto"/>
              <w:ind w:left="0" w:right="0" w:firstLine="0"/>
              <w:rPr>
                <w:color w:val="auto"/>
                <w:kern w:val="0"/>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420" w:type="dxa"/>
            <w:vMerge w:val="continue"/>
            <w:vAlign w:val="center"/>
          </w:tcPr>
          <w:p>
            <w:pPr>
              <w:spacing w:after="0" w:line="360" w:lineRule="auto"/>
              <w:ind w:left="0" w:right="0" w:firstLine="0"/>
              <w:jc w:val="center"/>
              <w:rPr>
                <w:color w:val="auto"/>
                <w:kern w:val="0"/>
                <w:szCs w:val="24"/>
                <w:highlight w:val="none"/>
              </w:rPr>
            </w:pPr>
          </w:p>
        </w:tc>
        <w:tc>
          <w:tcPr>
            <w:tcW w:w="4959" w:type="dxa"/>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保护动作信号</w:t>
            </w:r>
          </w:p>
        </w:tc>
        <w:tc>
          <w:tcPr>
            <w:tcW w:w="1418" w:type="dxa"/>
            <w:vMerge w:val="continue"/>
            <w:vAlign w:val="center"/>
          </w:tcPr>
          <w:p>
            <w:pPr>
              <w:spacing w:after="0" w:line="360" w:lineRule="auto"/>
              <w:ind w:left="0" w:right="0" w:firstLine="0"/>
              <w:rPr>
                <w:color w:val="auto"/>
                <w:kern w:val="0"/>
                <w:szCs w:val="24"/>
                <w:highlight w:val="none"/>
              </w:rPr>
            </w:pPr>
          </w:p>
        </w:tc>
        <w:tc>
          <w:tcPr>
            <w:tcW w:w="1417" w:type="dxa"/>
            <w:vMerge w:val="continue"/>
            <w:vAlign w:val="center"/>
          </w:tcPr>
          <w:p>
            <w:pPr>
              <w:spacing w:after="0" w:line="360" w:lineRule="auto"/>
              <w:ind w:left="0" w:right="0" w:firstLine="0"/>
              <w:rPr>
                <w:color w:val="auto"/>
                <w:kern w:val="0"/>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70" w:hRule="atLeast"/>
        </w:trPr>
        <w:tc>
          <w:tcPr>
            <w:tcW w:w="1420" w:type="dxa"/>
            <w:shd w:val="clear" w:color="auto" w:fill="auto"/>
            <w:vAlign w:val="center"/>
          </w:tcPr>
          <w:p>
            <w:pPr>
              <w:spacing w:after="0" w:line="360" w:lineRule="auto"/>
              <w:ind w:left="0" w:right="0" w:firstLine="0"/>
              <w:jc w:val="center"/>
              <w:rPr>
                <w:color w:val="auto"/>
                <w:kern w:val="0"/>
                <w:szCs w:val="24"/>
                <w:highlight w:val="none"/>
              </w:rPr>
            </w:pPr>
            <w:r>
              <w:rPr>
                <w:rFonts w:hint="eastAsia"/>
                <w:color w:val="auto"/>
                <w:kern w:val="0"/>
                <w:szCs w:val="24"/>
                <w:highlight w:val="none"/>
              </w:rPr>
              <w:t>直流屏</w:t>
            </w:r>
          </w:p>
        </w:tc>
        <w:tc>
          <w:tcPr>
            <w:tcW w:w="4959" w:type="dxa"/>
            <w:shd w:val="clear" w:color="auto" w:fill="auto"/>
            <w:vAlign w:val="center"/>
          </w:tcPr>
          <w:p>
            <w:pPr>
              <w:spacing w:after="0" w:line="360" w:lineRule="auto"/>
              <w:ind w:left="0" w:right="-108" w:rightChars="-45" w:firstLine="0"/>
              <w:rPr>
                <w:color w:val="auto"/>
                <w:kern w:val="0"/>
                <w:szCs w:val="24"/>
                <w:highlight w:val="none"/>
              </w:rPr>
            </w:pPr>
            <w:r>
              <w:rPr>
                <w:rFonts w:hint="eastAsia"/>
                <w:color w:val="auto"/>
                <w:kern w:val="0"/>
                <w:szCs w:val="24"/>
                <w:highlight w:val="none"/>
              </w:rPr>
              <w:t>输入电压、合闸母线电压、控制母线电压、负载电流、电池组电压及电流、电池充电状态、告警信息</w:t>
            </w:r>
          </w:p>
        </w:tc>
        <w:tc>
          <w:tcPr>
            <w:tcW w:w="1418" w:type="dxa"/>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直流屏控制器</w:t>
            </w:r>
          </w:p>
        </w:tc>
        <w:tc>
          <w:tcPr>
            <w:tcW w:w="1417" w:type="dxa"/>
            <w:vMerge w:val="continue"/>
            <w:vAlign w:val="center"/>
          </w:tcPr>
          <w:p>
            <w:pPr>
              <w:spacing w:after="0" w:line="360" w:lineRule="auto"/>
              <w:ind w:left="0" w:right="0" w:firstLine="0"/>
              <w:rPr>
                <w:color w:val="auto"/>
                <w:kern w:val="0"/>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5" w:hRule="atLeast"/>
        </w:trPr>
        <w:tc>
          <w:tcPr>
            <w:tcW w:w="1420" w:type="dxa"/>
            <w:vMerge w:val="restart"/>
            <w:shd w:val="clear" w:color="auto" w:fill="auto"/>
            <w:vAlign w:val="center"/>
          </w:tcPr>
          <w:p>
            <w:pPr>
              <w:spacing w:after="0" w:line="360" w:lineRule="auto"/>
              <w:ind w:left="0" w:right="0" w:firstLine="0"/>
              <w:jc w:val="center"/>
              <w:rPr>
                <w:color w:val="auto"/>
                <w:kern w:val="0"/>
                <w:szCs w:val="24"/>
                <w:highlight w:val="none"/>
              </w:rPr>
            </w:pPr>
            <w:r>
              <w:rPr>
                <w:rFonts w:hint="eastAsia"/>
                <w:color w:val="auto"/>
                <w:kern w:val="0"/>
                <w:szCs w:val="24"/>
                <w:highlight w:val="none"/>
              </w:rPr>
              <w:t>变压器</w:t>
            </w:r>
          </w:p>
        </w:tc>
        <w:tc>
          <w:tcPr>
            <w:tcW w:w="4959" w:type="dxa"/>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变压器运行状态、变压器温度、温度报警、变压器风机启/停、风机故障报警</w:t>
            </w:r>
          </w:p>
        </w:tc>
        <w:tc>
          <w:tcPr>
            <w:tcW w:w="1418" w:type="dxa"/>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变压器温控器</w:t>
            </w:r>
          </w:p>
        </w:tc>
        <w:tc>
          <w:tcPr>
            <w:tcW w:w="1417" w:type="dxa"/>
            <w:vMerge w:val="continue"/>
            <w:vAlign w:val="center"/>
          </w:tcPr>
          <w:p>
            <w:pPr>
              <w:spacing w:after="0" w:line="360" w:lineRule="auto"/>
              <w:ind w:left="0" w:right="0" w:firstLine="0"/>
              <w:rPr>
                <w:color w:val="auto"/>
                <w:kern w:val="0"/>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70" w:hRule="atLeast"/>
        </w:trPr>
        <w:tc>
          <w:tcPr>
            <w:tcW w:w="1420" w:type="dxa"/>
            <w:vMerge w:val="continue"/>
            <w:vAlign w:val="center"/>
          </w:tcPr>
          <w:p>
            <w:pPr>
              <w:spacing w:after="0" w:line="360" w:lineRule="auto"/>
              <w:ind w:left="0" w:right="0" w:firstLine="0"/>
              <w:jc w:val="center"/>
              <w:rPr>
                <w:color w:val="auto"/>
                <w:kern w:val="0"/>
                <w:szCs w:val="24"/>
                <w:highlight w:val="none"/>
              </w:rPr>
            </w:pPr>
          </w:p>
        </w:tc>
        <w:tc>
          <w:tcPr>
            <w:tcW w:w="4959" w:type="dxa"/>
            <w:shd w:val="clear" w:color="auto" w:fill="auto"/>
            <w:vAlign w:val="center"/>
          </w:tcPr>
          <w:p>
            <w:pPr>
              <w:spacing w:after="0" w:line="360" w:lineRule="auto"/>
              <w:ind w:left="0" w:right="-108" w:rightChars="-45" w:firstLine="0"/>
              <w:rPr>
                <w:color w:val="auto"/>
                <w:kern w:val="0"/>
                <w:szCs w:val="24"/>
                <w:highlight w:val="none"/>
              </w:rPr>
            </w:pPr>
            <w:r>
              <w:rPr>
                <w:rFonts w:hint="eastAsia"/>
                <w:color w:val="auto"/>
                <w:kern w:val="0"/>
                <w:szCs w:val="24"/>
                <w:highlight w:val="none"/>
              </w:rPr>
              <w:t>电压、电流、频率、有功、无功、功率因数、有功电能、无功电能、2~31次谐波</w:t>
            </w:r>
          </w:p>
        </w:tc>
        <w:tc>
          <w:tcPr>
            <w:tcW w:w="1418" w:type="dxa"/>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低压进线柜智能电表</w:t>
            </w:r>
          </w:p>
        </w:tc>
        <w:tc>
          <w:tcPr>
            <w:tcW w:w="1417" w:type="dxa"/>
            <w:vMerge w:val="continue"/>
            <w:vAlign w:val="center"/>
          </w:tcPr>
          <w:p>
            <w:pPr>
              <w:spacing w:after="0" w:line="360" w:lineRule="auto"/>
              <w:ind w:left="0" w:right="0" w:firstLine="0"/>
              <w:rPr>
                <w:color w:val="auto"/>
                <w:kern w:val="0"/>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70" w:hRule="atLeast"/>
        </w:trPr>
        <w:tc>
          <w:tcPr>
            <w:tcW w:w="1420" w:type="dxa"/>
            <w:shd w:val="clear" w:color="auto" w:fill="auto"/>
            <w:vAlign w:val="center"/>
          </w:tcPr>
          <w:p>
            <w:pPr>
              <w:spacing w:after="0" w:line="360" w:lineRule="auto"/>
              <w:ind w:left="0" w:right="0" w:firstLine="0"/>
              <w:jc w:val="center"/>
              <w:rPr>
                <w:color w:val="auto"/>
                <w:kern w:val="0"/>
                <w:szCs w:val="24"/>
                <w:highlight w:val="none"/>
              </w:rPr>
            </w:pPr>
            <w:r>
              <w:rPr>
                <w:rFonts w:hint="eastAsia"/>
                <w:color w:val="auto"/>
                <w:kern w:val="0"/>
                <w:szCs w:val="24"/>
                <w:highlight w:val="none"/>
              </w:rPr>
              <w:t>低压开关柜</w:t>
            </w:r>
          </w:p>
        </w:tc>
        <w:tc>
          <w:tcPr>
            <w:tcW w:w="4959" w:type="dxa"/>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开关状态、故障、电压、电流、频率、有功、无功、功率因数、有功电能、无功电能</w:t>
            </w:r>
          </w:p>
        </w:tc>
        <w:tc>
          <w:tcPr>
            <w:tcW w:w="1418" w:type="dxa"/>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智能电表</w:t>
            </w:r>
          </w:p>
        </w:tc>
        <w:tc>
          <w:tcPr>
            <w:tcW w:w="1417" w:type="dxa"/>
            <w:vMerge w:val="continue"/>
            <w:vAlign w:val="center"/>
          </w:tcPr>
          <w:p>
            <w:pPr>
              <w:spacing w:after="0" w:line="360" w:lineRule="auto"/>
              <w:ind w:left="0" w:right="0" w:firstLine="0"/>
              <w:rPr>
                <w:color w:val="auto"/>
                <w:kern w:val="0"/>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5" w:hRule="atLeast"/>
        </w:trPr>
        <w:tc>
          <w:tcPr>
            <w:tcW w:w="1420" w:type="dxa"/>
            <w:shd w:val="clear" w:color="auto" w:fill="auto"/>
            <w:vAlign w:val="center"/>
          </w:tcPr>
          <w:p>
            <w:pPr>
              <w:spacing w:after="0" w:line="360" w:lineRule="auto"/>
              <w:ind w:left="0" w:right="0" w:firstLine="0"/>
              <w:jc w:val="center"/>
              <w:rPr>
                <w:color w:val="auto"/>
                <w:kern w:val="0"/>
                <w:szCs w:val="24"/>
                <w:highlight w:val="none"/>
              </w:rPr>
            </w:pPr>
            <w:r>
              <w:rPr>
                <w:rFonts w:hint="eastAsia"/>
                <w:color w:val="auto"/>
                <w:kern w:val="0"/>
                <w:szCs w:val="24"/>
                <w:highlight w:val="none"/>
              </w:rPr>
              <w:t>楼层配电箱</w:t>
            </w:r>
          </w:p>
        </w:tc>
        <w:tc>
          <w:tcPr>
            <w:tcW w:w="4959" w:type="dxa"/>
            <w:shd w:val="clear" w:color="auto" w:fill="auto"/>
            <w:vAlign w:val="center"/>
          </w:tcPr>
          <w:p>
            <w:pPr>
              <w:spacing w:after="0" w:line="360" w:lineRule="auto"/>
              <w:ind w:left="0" w:right="-108" w:rightChars="-45" w:firstLine="0"/>
              <w:rPr>
                <w:color w:val="auto"/>
                <w:kern w:val="0"/>
                <w:szCs w:val="24"/>
                <w:highlight w:val="none"/>
              </w:rPr>
            </w:pPr>
            <w:r>
              <w:rPr>
                <w:rFonts w:hint="eastAsia"/>
                <w:color w:val="auto"/>
                <w:kern w:val="0"/>
                <w:szCs w:val="24"/>
                <w:highlight w:val="none"/>
              </w:rPr>
              <w:t>电压、电流、频率、有功、无功、功率因数、有功电能、无功电能</w:t>
            </w:r>
          </w:p>
        </w:tc>
        <w:tc>
          <w:tcPr>
            <w:tcW w:w="1418" w:type="dxa"/>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楼层科室用电加装智能电表</w:t>
            </w:r>
          </w:p>
        </w:tc>
        <w:tc>
          <w:tcPr>
            <w:tcW w:w="1417" w:type="dxa"/>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由能源管理系统上传至医院后勤智慧运维台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5" w:hRule="atLeast"/>
        </w:trPr>
        <w:tc>
          <w:tcPr>
            <w:tcW w:w="1420" w:type="dxa"/>
            <w:shd w:val="clear" w:color="auto" w:fill="auto"/>
            <w:vAlign w:val="center"/>
          </w:tcPr>
          <w:p>
            <w:pPr>
              <w:spacing w:after="0" w:line="360" w:lineRule="auto"/>
              <w:ind w:left="0" w:right="0" w:firstLine="0"/>
              <w:jc w:val="center"/>
              <w:rPr>
                <w:color w:val="auto"/>
                <w:kern w:val="0"/>
                <w:szCs w:val="24"/>
                <w:highlight w:val="none"/>
              </w:rPr>
            </w:pPr>
            <w:r>
              <w:rPr>
                <w:rFonts w:hint="eastAsia"/>
                <w:color w:val="auto"/>
                <w:kern w:val="0"/>
                <w:szCs w:val="24"/>
                <w:highlight w:val="none"/>
              </w:rPr>
              <w:t>UPS</w:t>
            </w:r>
          </w:p>
        </w:tc>
        <w:tc>
          <w:tcPr>
            <w:tcW w:w="4959" w:type="dxa"/>
            <w:shd w:val="clear" w:color="auto" w:fill="auto"/>
            <w:vAlign w:val="center"/>
          </w:tcPr>
          <w:p>
            <w:pPr>
              <w:spacing w:after="0" w:line="360" w:lineRule="auto"/>
              <w:ind w:left="0" w:right="-108" w:rightChars="-45" w:firstLine="0"/>
              <w:rPr>
                <w:color w:val="auto"/>
                <w:kern w:val="0"/>
                <w:szCs w:val="24"/>
                <w:highlight w:val="none"/>
              </w:rPr>
            </w:pPr>
            <w:r>
              <w:rPr>
                <w:rFonts w:hint="eastAsia"/>
                <w:color w:val="auto"/>
                <w:kern w:val="0"/>
                <w:szCs w:val="24"/>
                <w:highlight w:val="none"/>
              </w:rPr>
              <w:t>开机/关机、在线/离线、正常/故障、逆变模式/旁路模式、电压正常/低压、输入电压、输出电压、当前负载量、温度、电池单体电压</w:t>
            </w:r>
          </w:p>
        </w:tc>
        <w:tc>
          <w:tcPr>
            <w:tcW w:w="1418" w:type="dxa"/>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UPS控制器</w:t>
            </w:r>
          </w:p>
        </w:tc>
        <w:tc>
          <w:tcPr>
            <w:tcW w:w="1417" w:type="dxa"/>
            <w:vMerge w:val="restart"/>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由电力监控系统上传至医院后勤智慧运维台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5" w:hRule="atLeast"/>
        </w:trPr>
        <w:tc>
          <w:tcPr>
            <w:tcW w:w="1420" w:type="dxa"/>
            <w:shd w:val="clear" w:color="auto" w:fill="auto"/>
            <w:vAlign w:val="center"/>
          </w:tcPr>
          <w:p>
            <w:pPr>
              <w:spacing w:after="0" w:line="360" w:lineRule="auto"/>
              <w:ind w:left="0" w:right="0" w:firstLine="0"/>
              <w:jc w:val="center"/>
              <w:rPr>
                <w:color w:val="auto"/>
                <w:kern w:val="0"/>
                <w:szCs w:val="24"/>
                <w:highlight w:val="none"/>
              </w:rPr>
            </w:pPr>
            <w:r>
              <w:rPr>
                <w:rFonts w:hint="eastAsia"/>
                <w:color w:val="auto"/>
                <w:kern w:val="0"/>
                <w:szCs w:val="24"/>
                <w:highlight w:val="none"/>
              </w:rPr>
              <w:t>EPS</w:t>
            </w:r>
          </w:p>
        </w:tc>
        <w:tc>
          <w:tcPr>
            <w:tcW w:w="4959" w:type="dxa"/>
            <w:shd w:val="clear" w:color="auto" w:fill="auto"/>
            <w:vAlign w:val="center"/>
          </w:tcPr>
          <w:p>
            <w:pPr>
              <w:spacing w:after="0" w:line="360" w:lineRule="auto"/>
              <w:ind w:left="0" w:right="-108" w:rightChars="-45" w:firstLine="0"/>
              <w:rPr>
                <w:color w:val="auto"/>
                <w:kern w:val="0"/>
                <w:szCs w:val="24"/>
                <w:highlight w:val="none"/>
              </w:rPr>
            </w:pPr>
            <w:r>
              <w:rPr>
                <w:rFonts w:hint="eastAsia"/>
                <w:color w:val="auto"/>
                <w:kern w:val="0"/>
                <w:szCs w:val="24"/>
                <w:highlight w:val="none"/>
              </w:rPr>
              <w:t>外部故障、模块故障、电池故障、逆变指示、应急状态、主电状态、强制状态、工作状态、电池电压、输出电压、输出电流</w:t>
            </w:r>
          </w:p>
        </w:tc>
        <w:tc>
          <w:tcPr>
            <w:tcW w:w="1418" w:type="dxa"/>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EPS控制器</w:t>
            </w:r>
          </w:p>
        </w:tc>
        <w:tc>
          <w:tcPr>
            <w:tcW w:w="1417" w:type="dxa"/>
            <w:vMerge w:val="continue"/>
            <w:vAlign w:val="center"/>
          </w:tcPr>
          <w:p>
            <w:pPr>
              <w:spacing w:after="0" w:line="360" w:lineRule="auto"/>
              <w:ind w:left="0" w:right="0" w:firstLine="0"/>
              <w:rPr>
                <w:color w:val="auto"/>
                <w:kern w:val="0"/>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70" w:hRule="atLeast"/>
        </w:trPr>
        <w:tc>
          <w:tcPr>
            <w:tcW w:w="1420" w:type="dxa"/>
            <w:shd w:val="clear" w:color="auto" w:fill="auto"/>
            <w:vAlign w:val="center"/>
          </w:tcPr>
          <w:p>
            <w:pPr>
              <w:spacing w:after="0" w:line="360" w:lineRule="auto"/>
              <w:ind w:left="0" w:right="0" w:firstLine="0"/>
              <w:jc w:val="center"/>
              <w:rPr>
                <w:color w:val="auto"/>
                <w:kern w:val="0"/>
                <w:szCs w:val="24"/>
                <w:highlight w:val="none"/>
              </w:rPr>
            </w:pPr>
            <w:r>
              <w:rPr>
                <w:rFonts w:hint="eastAsia"/>
                <w:color w:val="auto"/>
                <w:kern w:val="0"/>
                <w:szCs w:val="24"/>
                <w:highlight w:val="none"/>
              </w:rPr>
              <w:t>柴油发电机组</w:t>
            </w:r>
          </w:p>
        </w:tc>
        <w:tc>
          <w:tcPr>
            <w:tcW w:w="4959" w:type="dxa"/>
            <w:shd w:val="clear" w:color="auto" w:fill="auto"/>
            <w:vAlign w:val="center"/>
          </w:tcPr>
          <w:p>
            <w:pPr>
              <w:spacing w:after="0" w:line="360" w:lineRule="auto"/>
              <w:ind w:left="0" w:right="-108" w:rightChars="-45" w:firstLine="0"/>
              <w:rPr>
                <w:color w:val="auto"/>
                <w:kern w:val="0"/>
                <w:szCs w:val="24"/>
                <w:highlight w:val="none"/>
              </w:rPr>
            </w:pPr>
            <w:r>
              <w:rPr>
                <w:rFonts w:hint="eastAsia"/>
                <w:color w:val="auto"/>
                <w:kern w:val="0"/>
                <w:szCs w:val="24"/>
                <w:highlight w:val="none"/>
              </w:rPr>
              <w:t>发电机组运行状态、运行参数：电流、电压、频率、油压、油温、发电机冷却温度、电池电压、告警信息</w:t>
            </w:r>
          </w:p>
        </w:tc>
        <w:tc>
          <w:tcPr>
            <w:tcW w:w="1418" w:type="dxa"/>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柴油发电机控制器</w:t>
            </w:r>
          </w:p>
        </w:tc>
        <w:tc>
          <w:tcPr>
            <w:tcW w:w="1417" w:type="dxa"/>
            <w:vMerge w:val="continue"/>
            <w:vAlign w:val="center"/>
          </w:tcPr>
          <w:p>
            <w:pPr>
              <w:spacing w:after="0" w:line="360" w:lineRule="auto"/>
              <w:ind w:left="0" w:right="0" w:firstLine="0"/>
              <w:rPr>
                <w:color w:val="auto"/>
                <w:kern w:val="0"/>
                <w:szCs w:val="24"/>
                <w:highlight w:val="none"/>
              </w:rPr>
            </w:pPr>
          </w:p>
        </w:tc>
      </w:tr>
    </w:tbl>
    <w:p>
      <w:pPr>
        <w:spacing w:after="0" w:line="360" w:lineRule="auto"/>
        <w:rPr>
          <w:b/>
          <w:color w:val="auto"/>
          <w:szCs w:val="24"/>
          <w:highlight w:val="none"/>
        </w:rPr>
      </w:pPr>
      <w:bookmarkStart w:id="255" w:name="_Toc14448"/>
      <w:r>
        <w:rPr>
          <w:rFonts w:hint="eastAsia"/>
          <w:b/>
          <w:color w:val="auto"/>
          <w:szCs w:val="24"/>
          <w:highlight w:val="none"/>
        </w:rPr>
        <w:t>监视要点：</w:t>
      </w:r>
      <w:bookmarkEnd w:id="255"/>
    </w:p>
    <w:p>
      <w:pPr>
        <w:pStyle w:val="30"/>
        <w:numPr>
          <w:ilvl w:val="0"/>
          <w:numId w:val="122"/>
        </w:numPr>
        <w:spacing w:after="0" w:line="360" w:lineRule="auto"/>
        <w:ind w:right="231" w:firstLineChars="0"/>
        <w:rPr>
          <w:color w:val="auto"/>
          <w:szCs w:val="24"/>
          <w:highlight w:val="none"/>
        </w:rPr>
      </w:pPr>
      <w:r>
        <w:rPr>
          <w:rFonts w:hint="eastAsia"/>
          <w:color w:val="auto"/>
          <w:szCs w:val="24"/>
          <w:highlight w:val="none"/>
        </w:rPr>
        <w:t>系统运行状态异常告警监视，监视信号如：保护动作、过压、过流、温度过高告警、故障告警等；</w:t>
      </w:r>
    </w:p>
    <w:p>
      <w:pPr>
        <w:pStyle w:val="30"/>
        <w:numPr>
          <w:ilvl w:val="0"/>
          <w:numId w:val="122"/>
        </w:numPr>
        <w:spacing w:after="0" w:line="360" w:lineRule="auto"/>
        <w:ind w:right="231" w:firstLineChars="0"/>
        <w:rPr>
          <w:color w:val="auto"/>
          <w:szCs w:val="24"/>
          <w:highlight w:val="none"/>
        </w:rPr>
      </w:pPr>
      <w:r>
        <w:rPr>
          <w:rFonts w:hint="eastAsia"/>
          <w:color w:val="auto"/>
          <w:szCs w:val="24"/>
          <w:highlight w:val="none"/>
        </w:rPr>
        <w:t>双路供电冗余性监视，监视信号如：线路电压、电流、频率等；</w:t>
      </w:r>
    </w:p>
    <w:p>
      <w:pPr>
        <w:pStyle w:val="30"/>
        <w:numPr>
          <w:ilvl w:val="0"/>
          <w:numId w:val="122"/>
        </w:numPr>
        <w:spacing w:after="0" w:line="360" w:lineRule="auto"/>
        <w:ind w:right="231" w:firstLineChars="0"/>
        <w:rPr>
          <w:color w:val="auto"/>
          <w:szCs w:val="24"/>
          <w:highlight w:val="none"/>
        </w:rPr>
      </w:pPr>
      <w:r>
        <w:rPr>
          <w:rFonts w:hint="eastAsia"/>
          <w:color w:val="auto"/>
          <w:szCs w:val="24"/>
          <w:highlight w:val="none"/>
        </w:rPr>
        <w:t>应急电源可用性监视，监视信号如：柴油发电机组的燃油存量、机组状态、告警信息等，EPS的工作状态、输出电压、故障告警等；</w:t>
      </w:r>
    </w:p>
    <w:p>
      <w:pPr>
        <w:pStyle w:val="30"/>
        <w:numPr>
          <w:ilvl w:val="0"/>
          <w:numId w:val="122"/>
        </w:numPr>
        <w:spacing w:after="0" w:line="360" w:lineRule="auto"/>
        <w:ind w:right="231" w:firstLineChars="0"/>
        <w:rPr>
          <w:color w:val="auto"/>
          <w:szCs w:val="24"/>
          <w:highlight w:val="none"/>
        </w:rPr>
      </w:pPr>
      <w:r>
        <w:rPr>
          <w:rFonts w:hint="eastAsia"/>
          <w:color w:val="auto"/>
          <w:szCs w:val="24"/>
          <w:highlight w:val="none"/>
        </w:rPr>
        <w:t>UPS可用性监视，监视信号如：工作模式、输出电压、故障告警等；</w:t>
      </w:r>
    </w:p>
    <w:p>
      <w:pPr>
        <w:pStyle w:val="30"/>
        <w:numPr>
          <w:ilvl w:val="0"/>
          <w:numId w:val="122"/>
        </w:numPr>
        <w:spacing w:after="0" w:line="360" w:lineRule="auto"/>
        <w:ind w:right="231" w:firstLineChars="0"/>
        <w:rPr>
          <w:color w:val="auto"/>
          <w:szCs w:val="24"/>
          <w:highlight w:val="none"/>
        </w:rPr>
      </w:pPr>
      <w:r>
        <w:rPr>
          <w:rFonts w:hint="eastAsia"/>
          <w:color w:val="auto"/>
          <w:szCs w:val="24"/>
          <w:highlight w:val="none"/>
        </w:rPr>
        <w:t>变压器能效分析，如：平均负载率、运行效率、损耗率等；</w:t>
      </w:r>
    </w:p>
    <w:p>
      <w:pPr>
        <w:pStyle w:val="30"/>
        <w:numPr>
          <w:ilvl w:val="0"/>
          <w:numId w:val="122"/>
        </w:numPr>
        <w:spacing w:after="0" w:line="360" w:lineRule="auto"/>
        <w:ind w:right="231" w:firstLineChars="0"/>
        <w:rPr>
          <w:color w:val="auto"/>
          <w:szCs w:val="24"/>
          <w:highlight w:val="none"/>
        </w:rPr>
      </w:pPr>
      <w:r>
        <w:rPr>
          <w:rFonts w:hint="eastAsia"/>
          <w:color w:val="auto"/>
          <w:szCs w:val="24"/>
          <w:highlight w:val="none"/>
        </w:rPr>
        <w:t>配电室运行环境安全监视，监视信号如：温湿度传感器、烟感、水浸传感器、智能摄像头采集的火灾、淹水、非法闯入等告警信号和实时画面。</w:t>
      </w:r>
    </w:p>
    <w:p>
      <w:pPr>
        <w:pStyle w:val="4"/>
        <w:spacing w:before="0" w:after="0" w:line="360" w:lineRule="auto"/>
        <w:ind w:left="0" w:firstLine="0"/>
        <w:rPr>
          <w:color w:val="auto"/>
          <w:sz w:val="24"/>
          <w:szCs w:val="24"/>
          <w:highlight w:val="none"/>
        </w:rPr>
      </w:pPr>
      <w:bookmarkStart w:id="256" w:name="_Toc20408816"/>
      <w:bookmarkStart w:id="257" w:name="_Toc467747758"/>
      <w:bookmarkStart w:id="258" w:name="_Toc14759"/>
      <w:r>
        <w:rPr>
          <w:rFonts w:hint="eastAsia"/>
          <w:color w:val="auto"/>
          <w:sz w:val="24"/>
          <w:szCs w:val="24"/>
          <w:highlight w:val="none"/>
        </w:rPr>
        <w:t>1.</w:t>
      </w:r>
      <w:r>
        <w:rPr>
          <w:color w:val="auto"/>
          <w:sz w:val="24"/>
          <w:szCs w:val="24"/>
          <w:highlight w:val="none"/>
        </w:rPr>
        <w:t>3</w:t>
      </w:r>
      <w:r>
        <w:rPr>
          <w:rFonts w:hint="eastAsia"/>
          <w:color w:val="auto"/>
          <w:sz w:val="24"/>
          <w:szCs w:val="24"/>
          <w:highlight w:val="none"/>
        </w:rPr>
        <w:t>.</w:t>
      </w:r>
      <w:r>
        <w:rPr>
          <w:color w:val="auto"/>
          <w:sz w:val="24"/>
          <w:szCs w:val="24"/>
          <w:highlight w:val="none"/>
        </w:rPr>
        <w:t>6</w:t>
      </w:r>
      <w:r>
        <w:rPr>
          <w:rFonts w:hint="eastAsia"/>
          <w:color w:val="auto"/>
          <w:sz w:val="24"/>
          <w:szCs w:val="24"/>
          <w:highlight w:val="none"/>
        </w:rPr>
        <w:t>电梯</w:t>
      </w:r>
      <w:bookmarkEnd w:id="256"/>
      <w:bookmarkEnd w:id="257"/>
      <w:r>
        <w:rPr>
          <w:rFonts w:hint="eastAsia"/>
          <w:color w:val="auto"/>
          <w:sz w:val="24"/>
          <w:szCs w:val="24"/>
          <w:highlight w:val="none"/>
        </w:rPr>
        <w:t>监测系统</w:t>
      </w:r>
      <w:bookmarkEnd w:id="258"/>
    </w:p>
    <w:p>
      <w:pPr>
        <w:spacing w:after="0" w:line="360" w:lineRule="auto"/>
        <w:ind w:firstLine="480" w:firstLineChars="200"/>
        <w:rPr>
          <w:color w:val="auto"/>
          <w:szCs w:val="24"/>
          <w:highlight w:val="none"/>
        </w:rPr>
      </w:pPr>
      <w:r>
        <w:rPr>
          <w:rFonts w:hint="eastAsia"/>
          <w:color w:val="auto"/>
          <w:szCs w:val="24"/>
          <w:highlight w:val="none"/>
        </w:rPr>
        <w:t>电梯监视点位及监控内容：</w:t>
      </w:r>
    </w:p>
    <w:tbl>
      <w:tblPr>
        <w:tblStyle w:val="18"/>
        <w:tblW w:w="9214" w:type="dxa"/>
        <w:tblInd w:w="-1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00"/>
        <w:gridCol w:w="4479"/>
        <w:gridCol w:w="1418"/>
        <w:gridCol w:w="141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900" w:type="dxa"/>
            <w:shd w:val="clear" w:color="auto" w:fill="auto"/>
            <w:vAlign w:val="center"/>
          </w:tcPr>
          <w:p>
            <w:pPr>
              <w:spacing w:after="0" w:line="360" w:lineRule="auto"/>
              <w:ind w:left="0" w:right="0" w:firstLine="0"/>
              <w:jc w:val="center"/>
              <w:rPr>
                <w:b/>
                <w:bCs/>
                <w:color w:val="auto"/>
                <w:kern w:val="0"/>
                <w:szCs w:val="24"/>
                <w:highlight w:val="none"/>
              </w:rPr>
            </w:pPr>
            <w:r>
              <w:rPr>
                <w:rFonts w:hint="eastAsia"/>
                <w:b/>
                <w:bCs/>
                <w:color w:val="auto"/>
                <w:kern w:val="0"/>
                <w:szCs w:val="24"/>
                <w:highlight w:val="none"/>
              </w:rPr>
              <w:t>监控设备</w:t>
            </w:r>
          </w:p>
        </w:tc>
        <w:tc>
          <w:tcPr>
            <w:tcW w:w="4479" w:type="dxa"/>
            <w:shd w:val="clear" w:color="auto" w:fill="auto"/>
            <w:vAlign w:val="center"/>
          </w:tcPr>
          <w:p>
            <w:pPr>
              <w:spacing w:after="0" w:line="360" w:lineRule="auto"/>
              <w:ind w:left="0" w:right="0" w:firstLine="0"/>
              <w:jc w:val="center"/>
              <w:rPr>
                <w:b/>
                <w:bCs/>
                <w:color w:val="auto"/>
                <w:kern w:val="0"/>
                <w:szCs w:val="24"/>
                <w:highlight w:val="none"/>
              </w:rPr>
            </w:pPr>
            <w:r>
              <w:rPr>
                <w:rFonts w:hint="eastAsia"/>
                <w:b/>
                <w:bCs/>
                <w:color w:val="auto"/>
                <w:kern w:val="0"/>
                <w:szCs w:val="24"/>
                <w:highlight w:val="none"/>
              </w:rPr>
              <w:t>监视内容</w:t>
            </w:r>
          </w:p>
        </w:tc>
        <w:tc>
          <w:tcPr>
            <w:tcW w:w="1418" w:type="dxa"/>
            <w:shd w:val="clear" w:color="auto" w:fill="auto"/>
            <w:vAlign w:val="center"/>
          </w:tcPr>
          <w:p>
            <w:pPr>
              <w:spacing w:after="0" w:line="360" w:lineRule="auto"/>
              <w:ind w:left="0" w:right="0" w:firstLine="0"/>
              <w:jc w:val="center"/>
              <w:rPr>
                <w:b/>
                <w:bCs/>
                <w:color w:val="auto"/>
                <w:kern w:val="0"/>
                <w:szCs w:val="24"/>
                <w:highlight w:val="none"/>
              </w:rPr>
            </w:pPr>
            <w:r>
              <w:rPr>
                <w:rFonts w:hint="eastAsia"/>
                <w:b/>
                <w:bCs/>
                <w:color w:val="auto"/>
                <w:kern w:val="0"/>
                <w:szCs w:val="24"/>
                <w:highlight w:val="none"/>
              </w:rPr>
              <w:t>采集方式</w:t>
            </w:r>
          </w:p>
        </w:tc>
        <w:tc>
          <w:tcPr>
            <w:tcW w:w="1417" w:type="dxa"/>
            <w:shd w:val="clear" w:color="auto" w:fill="auto"/>
            <w:vAlign w:val="center"/>
          </w:tcPr>
          <w:p>
            <w:pPr>
              <w:spacing w:after="0" w:line="360" w:lineRule="auto"/>
              <w:ind w:left="0" w:right="0" w:firstLine="0"/>
              <w:jc w:val="center"/>
              <w:rPr>
                <w:b/>
                <w:bCs/>
                <w:color w:val="auto"/>
                <w:kern w:val="0"/>
                <w:szCs w:val="24"/>
                <w:highlight w:val="none"/>
              </w:rPr>
            </w:pPr>
            <w:r>
              <w:rPr>
                <w:rFonts w:hint="eastAsia"/>
                <w:b/>
                <w:bCs/>
                <w:color w:val="auto"/>
                <w:kern w:val="0"/>
                <w:szCs w:val="24"/>
                <w:highlight w:val="none"/>
              </w:rPr>
              <w:t>平台对接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900" w:type="dxa"/>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客梯</w:t>
            </w:r>
          </w:p>
        </w:tc>
        <w:tc>
          <w:tcPr>
            <w:tcW w:w="4479" w:type="dxa"/>
            <w:vMerge w:val="restart"/>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电梯负载、电梯状态、运行方向、故障报警、当前层站、轿门开闭、视频画面</w:t>
            </w:r>
          </w:p>
        </w:tc>
        <w:tc>
          <w:tcPr>
            <w:tcW w:w="1418" w:type="dxa"/>
            <w:vMerge w:val="restart"/>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梯控系统</w:t>
            </w:r>
          </w:p>
        </w:tc>
        <w:tc>
          <w:tcPr>
            <w:tcW w:w="1417" w:type="dxa"/>
            <w:vMerge w:val="restart"/>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由梯控系统上传至医院后勤智慧运维平台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900" w:type="dxa"/>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医用电梯</w:t>
            </w:r>
          </w:p>
        </w:tc>
        <w:tc>
          <w:tcPr>
            <w:tcW w:w="4479" w:type="dxa"/>
            <w:vMerge w:val="continue"/>
            <w:vAlign w:val="center"/>
          </w:tcPr>
          <w:p>
            <w:pPr>
              <w:spacing w:after="0" w:line="360" w:lineRule="auto"/>
              <w:ind w:left="0" w:right="0" w:firstLine="0"/>
              <w:rPr>
                <w:color w:val="auto"/>
                <w:kern w:val="0"/>
                <w:szCs w:val="24"/>
                <w:highlight w:val="none"/>
              </w:rPr>
            </w:pPr>
          </w:p>
        </w:tc>
        <w:tc>
          <w:tcPr>
            <w:tcW w:w="1418" w:type="dxa"/>
            <w:vMerge w:val="continue"/>
            <w:vAlign w:val="center"/>
          </w:tcPr>
          <w:p>
            <w:pPr>
              <w:spacing w:after="0" w:line="360" w:lineRule="auto"/>
              <w:ind w:left="0" w:right="0" w:firstLine="0"/>
              <w:rPr>
                <w:color w:val="auto"/>
                <w:kern w:val="0"/>
                <w:szCs w:val="24"/>
                <w:highlight w:val="none"/>
              </w:rPr>
            </w:pPr>
          </w:p>
        </w:tc>
        <w:tc>
          <w:tcPr>
            <w:tcW w:w="1417" w:type="dxa"/>
            <w:vMerge w:val="continue"/>
            <w:vAlign w:val="center"/>
          </w:tcPr>
          <w:p>
            <w:pPr>
              <w:spacing w:after="0" w:line="360" w:lineRule="auto"/>
              <w:ind w:left="0" w:right="0" w:firstLine="0"/>
              <w:rPr>
                <w:color w:val="auto"/>
                <w:kern w:val="0"/>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900" w:type="dxa"/>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货梯</w:t>
            </w:r>
          </w:p>
        </w:tc>
        <w:tc>
          <w:tcPr>
            <w:tcW w:w="4479" w:type="dxa"/>
            <w:vMerge w:val="continue"/>
            <w:vAlign w:val="center"/>
          </w:tcPr>
          <w:p>
            <w:pPr>
              <w:spacing w:after="0" w:line="360" w:lineRule="auto"/>
              <w:ind w:left="0" w:right="0" w:firstLine="0"/>
              <w:rPr>
                <w:color w:val="auto"/>
                <w:kern w:val="0"/>
                <w:szCs w:val="24"/>
                <w:highlight w:val="none"/>
              </w:rPr>
            </w:pPr>
          </w:p>
        </w:tc>
        <w:tc>
          <w:tcPr>
            <w:tcW w:w="1418" w:type="dxa"/>
            <w:vMerge w:val="continue"/>
            <w:vAlign w:val="center"/>
          </w:tcPr>
          <w:p>
            <w:pPr>
              <w:spacing w:after="0" w:line="360" w:lineRule="auto"/>
              <w:ind w:left="0" w:right="0" w:firstLine="0"/>
              <w:rPr>
                <w:color w:val="auto"/>
                <w:kern w:val="0"/>
                <w:szCs w:val="24"/>
                <w:highlight w:val="none"/>
              </w:rPr>
            </w:pPr>
          </w:p>
        </w:tc>
        <w:tc>
          <w:tcPr>
            <w:tcW w:w="1417" w:type="dxa"/>
            <w:vMerge w:val="continue"/>
            <w:vAlign w:val="center"/>
          </w:tcPr>
          <w:p>
            <w:pPr>
              <w:spacing w:after="0" w:line="360" w:lineRule="auto"/>
              <w:ind w:left="0" w:right="0" w:firstLine="0"/>
              <w:rPr>
                <w:color w:val="auto"/>
                <w:kern w:val="0"/>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 w:hRule="atLeast"/>
        </w:trPr>
        <w:tc>
          <w:tcPr>
            <w:tcW w:w="1900" w:type="dxa"/>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自动扶梯</w:t>
            </w:r>
          </w:p>
        </w:tc>
        <w:tc>
          <w:tcPr>
            <w:tcW w:w="4479" w:type="dxa"/>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电梯状态、运行方向、故障报警</w:t>
            </w:r>
          </w:p>
        </w:tc>
        <w:tc>
          <w:tcPr>
            <w:tcW w:w="1418" w:type="dxa"/>
            <w:vMerge w:val="continue"/>
            <w:vAlign w:val="center"/>
          </w:tcPr>
          <w:p>
            <w:pPr>
              <w:spacing w:after="0" w:line="360" w:lineRule="auto"/>
              <w:ind w:left="0" w:right="0" w:firstLine="0"/>
              <w:rPr>
                <w:color w:val="auto"/>
                <w:kern w:val="0"/>
                <w:szCs w:val="24"/>
                <w:highlight w:val="none"/>
              </w:rPr>
            </w:pPr>
          </w:p>
        </w:tc>
        <w:tc>
          <w:tcPr>
            <w:tcW w:w="1417" w:type="dxa"/>
            <w:vMerge w:val="continue"/>
            <w:vAlign w:val="center"/>
          </w:tcPr>
          <w:p>
            <w:pPr>
              <w:spacing w:after="0" w:line="360" w:lineRule="auto"/>
              <w:ind w:left="0" w:right="0" w:firstLine="0"/>
              <w:rPr>
                <w:color w:val="auto"/>
                <w:kern w:val="0"/>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5" w:hRule="atLeast"/>
        </w:trPr>
        <w:tc>
          <w:tcPr>
            <w:tcW w:w="1900" w:type="dxa"/>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电梯配电箱</w:t>
            </w:r>
          </w:p>
        </w:tc>
        <w:tc>
          <w:tcPr>
            <w:tcW w:w="4479" w:type="dxa"/>
            <w:shd w:val="clear" w:color="auto" w:fill="auto"/>
            <w:vAlign w:val="center"/>
          </w:tcPr>
          <w:p>
            <w:pPr>
              <w:spacing w:after="0" w:line="360" w:lineRule="auto"/>
              <w:ind w:left="0" w:right="-108" w:rightChars="-45" w:firstLine="0"/>
              <w:rPr>
                <w:color w:val="auto"/>
                <w:kern w:val="0"/>
                <w:szCs w:val="24"/>
                <w:highlight w:val="none"/>
              </w:rPr>
            </w:pPr>
            <w:r>
              <w:rPr>
                <w:rFonts w:hint="eastAsia"/>
                <w:color w:val="auto"/>
                <w:kern w:val="0"/>
                <w:szCs w:val="24"/>
                <w:highlight w:val="none"/>
              </w:rPr>
              <w:t>断路器分合闸状态，供电参数：电流、电压、功率、有功无功电度</w:t>
            </w:r>
          </w:p>
        </w:tc>
        <w:tc>
          <w:tcPr>
            <w:tcW w:w="1418" w:type="dxa"/>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智能电表</w:t>
            </w:r>
          </w:p>
        </w:tc>
        <w:tc>
          <w:tcPr>
            <w:tcW w:w="1417" w:type="dxa"/>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由能源管理系统上传至医院后勤智慧运维平台</w:t>
            </w:r>
          </w:p>
        </w:tc>
      </w:tr>
    </w:tbl>
    <w:p>
      <w:pPr>
        <w:spacing w:after="0" w:line="360" w:lineRule="auto"/>
        <w:ind w:firstLine="480" w:firstLineChars="200"/>
        <w:rPr>
          <w:color w:val="auto"/>
          <w:szCs w:val="24"/>
          <w:highlight w:val="none"/>
        </w:rPr>
      </w:pPr>
    </w:p>
    <w:p>
      <w:pPr>
        <w:spacing w:after="0" w:line="360" w:lineRule="auto"/>
        <w:rPr>
          <w:b/>
          <w:color w:val="auto"/>
          <w:szCs w:val="24"/>
          <w:highlight w:val="none"/>
        </w:rPr>
      </w:pPr>
      <w:bookmarkStart w:id="259" w:name="_Toc9744"/>
      <w:r>
        <w:rPr>
          <w:rFonts w:hint="eastAsia"/>
          <w:b/>
          <w:color w:val="auto"/>
          <w:szCs w:val="24"/>
          <w:highlight w:val="none"/>
        </w:rPr>
        <w:t>监视要点：</w:t>
      </w:r>
      <w:bookmarkEnd w:id="259"/>
    </w:p>
    <w:p>
      <w:pPr>
        <w:numPr>
          <w:ilvl w:val="0"/>
          <w:numId w:val="121"/>
        </w:numPr>
        <w:spacing w:after="0" w:line="360" w:lineRule="auto"/>
        <w:rPr>
          <w:color w:val="auto"/>
          <w:szCs w:val="24"/>
          <w:highlight w:val="none"/>
        </w:rPr>
      </w:pPr>
      <w:r>
        <w:rPr>
          <w:rFonts w:hint="eastAsia"/>
          <w:color w:val="auto"/>
          <w:szCs w:val="24"/>
          <w:highlight w:val="none"/>
        </w:rPr>
        <w:t>电梯运行异常告警；</w:t>
      </w:r>
    </w:p>
    <w:p>
      <w:pPr>
        <w:numPr>
          <w:ilvl w:val="0"/>
          <w:numId w:val="121"/>
        </w:numPr>
        <w:spacing w:after="0" w:line="360" w:lineRule="auto"/>
        <w:rPr>
          <w:color w:val="auto"/>
          <w:szCs w:val="24"/>
          <w:highlight w:val="none"/>
        </w:rPr>
      </w:pPr>
      <w:r>
        <w:rPr>
          <w:rFonts w:hint="eastAsia"/>
          <w:color w:val="auto"/>
          <w:szCs w:val="24"/>
          <w:highlight w:val="none"/>
        </w:rPr>
        <w:t>电梯轿厢内监控画面。</w:t>
      </w:r>
    </w:p>
    <w:p>
      <w:pPr>
        <w:numPr>
          <w:ilvl w:val="0"/>
          <w:numId w:val="121"/>
        </w:numPr>
        <w:spacing w:after="0" w:line="360" w:lineRule="auto"/>
        <w:rPr>
          <w:color w:val="auto"/>
          <w:szCs w:val="24"/>
          <w:highlight w:val="none"/>
        </w:rPr>
      </w:pPr>
      <w:r>
        <w:rPr>
          <w:rFonts w:hint="eastAsia"/>
          <w:color w:val="auto"/>
          <w:szCs w:val="24"/>
          <w:highlight w:val="none"/>
        </w:rPr>
        <w:t>电梯机房安全监视，监视信号如：温湿度传感器、智能摄像头采集的非法闯入、徘徊等告警信号和实时画面。</w:t>
      </w:r>
    </w:p>
    <w:p>
      <w:pPr>
        <w:pStyle w:val="4"/>
        <w:spacing w:before="0" w:after="0" w:line="360" w:lineRule="auto"/>
        <w:ind w:left="0" w:firstLine="0"/>
        <w:rPr>
          <w:color w:val="auto"/>
          <w:sz w:val="24"/>
          <w:szCs w:val="24"/>
          <w:highlight w:val="none"/>
        </w:rPr>
      </w:pPr>
      <w:bookmarkStart w:id="260" w:name="_Toc20408817"/>
      <w:bookmarkStart w:id="261" w:name="_Toc467747759"/>
      <w:bookmarkStart w:id="262" w:name="_Toc1883"/>
      <w:r>
        <w:rPr>
          <w:rFonts w:hint="eastAsia"/>
          <w:color w:val="auto"/>
          <w:sz w:val="24"/>
          <w:szCs w:val="24"/>
          <w:highlight w:val="none"/>
        </w:rPr>
        <w:t>1.</w:t>
      </w:r>
      <w:r>
        <w:rPr>
          <w:color w:val="auto"/>
          <w:sz w:val="24"/>
          <w:szCs w:val="24"/>
          <w:highlight w:val="none"/>
        </w:rPr>
        <w:t>3</w:t>
      </w:r>
      <w:r>
        <w:rPr>
          <w:rFonts w:hint="eastAsia"/>
          <w:color w:val="auto"/>
          <w:sz w:val="24"/>
          <w:szCs w:val="24"/>
          <w:highlight w:val="none"/>
        </w:rPr>
        <w:t>.</w:t>
      </w:r>
      <w:r>
        <w:rPr>
          <w:color w:val="auto"/>
          <w:sz w:val="24"/>
          <w:szCs w:val="24"/>
          <w:highlight w:val="none"/>
        </w:rPr>
        <w:t>7</w:t>
      </w:r>
      <w:r>
        <w:rPr>
          <w:rFonts w:hint="eastAsia"/>
          <w:color w:val="auto"/>
          <w:sz w:val="24"/>
          <w:szCs w:val="24"/>
          <w:highlight w:val="none"/>
        </w:rPr>
        <w:t>智能照明系统</w:t>
      </w:r>
      <w:bookmarkEnd w:id="260"/>
      <w:bookmarkEnd w:id="261"/>
      <w:bookmarkEnd w:id="262"/>
    </w:p>
    <w:p>
      <w:pPr>
        <w:spacing w:after="0" w:line="360" w:lineRule="auto"/>
        <w:ind w:firstLine="480" w:firstLineChars="200"/>
        <w:rPr>
          <w:color w:val="auto"/>
          <w:szCs w:val="24"/>
          <w:highlight w:val="none"/>
        </w:rPr>
      </w:pPr>
      <w:r>
        <w:rPr>
          <w:rFonts w:hint="eastAsia"/>
          <w:color w:val="auto"/>
          <w:szCs w:val="24"/>
          <w:highlight w:val="none"/>
        </w:rPr>
        <w:t>照明系统监控点位及监控内容：</w:t>
      </w:r>
    </w:p>
    <w:tbl>
      <w:tblPr>
        <w:tblStyle w:val="18"/>
        <w:tblW w:w="9358" w:type="dxa"/>
        <w:tblInd w:w="-5" w:type="dxa"/>
        <w:tblLayout w:type="autofit"/>
        <w:tblCellMar>
          <w:top w:w="0" w:type="dxa"/>
          <w:left w:w="108" w:type="dxa"/>
          <w:bottom w:w="0" w:type="dxa"/>
          <w:right w:w="108" w:type="dxa"/>
        </w:tblCellMar>
      </w:tblPr>
      <w:tblGrid>
        <w:gridCol w:w="1843"/>
        <w:gridCol w:w="4170"/>
        <w:gridCol w:w="1985"/>
        <w:gridCol w:w="1360"/>
      </w:tblGrid>
      <w:tr>
        <w:tblPrEx>
          <w:tblCellMar>
            <w:top w:w="0" w:type="dxa"/>
            <w:left w:w="108" w:type="dxa"/>
            <w:bottom w:w="0" w:type="dxa"/>
            <w:right w:w="108" w:type="dxa"/>
          </w:tblCellMar>
        </w:tblPrEx>
        <w:trPr>
          <w:trHeight w:val="285" w:hRule="atLeast"/>
        </w:trPr>
        <w:tc>
          <w:tcPr>
            <w:tcW w:w="1843" w:type="dxa"/>
            <w:tcBorders>
              <w:top w:val="single" w:color="auto" w:sz="4" w:space="0"/>
              <w:left w:val="single" w:color="auto" w:sz="4" w:space="0"/>
              <w:bottom w:val="single" w:color="auto" w:sz="4" w:space="0"/>
              <w:right w:val="single" w:color="auto" w:sz="4" w:space="0"/>
            </w:tcBorders>
            <w:shd w:val="clear" w:color="auto" w:fill="auto"/>
            <w:vAlign w:val="center"/>
          </w:tcPr>
          <w:p>
            <w:pPr>
              <w:spacing w:after="0" w:line="360" w:lineRule="auto"/>
              <w:ind w:left="0" w:right="0" w:firstLine="0"/>
              <w:jc w:val="center"/>
              <w:rPr>
                <w:b/>
                <w:bCs/>
                <w:color w:val="auto"/>
                <w:kern w:val="0"/>
                <w:szCs w:val="24"/>
                <w:highlight w:val="none"/>
              </w:rPr>
            </w:pPr>
            <w:r>
              <w:rPr>
                <w:rFonts w:hint="eastAsia"/>
                <w:b/>
                <w:bCs/>
                <w:color w:val="auto"/>
                <w:kern w:val="0"/>
                <w:szCs w:val="24"/>
                <w:highlight w:val="none"/>
              </w:rPr>
              <w:t>监控设备</w:t>
            </w:r>
          </w:p>
        </w:tc>
        <w:tc>
          <w:tcPr>
            <w:tcW w:w="4170" w:type="dxa"/>
            <w:tcBorders>
              <w:top w:val="single" w:color="auto" w:sz="4" w:space="0"/>
              <w:left w:val="nil"/>
              <w:bottom w:val="single" w:color="auto" w:sz="4" w:space="0"/>
              <w:right w:val="single" w:color="auto" w:sz="4" w:space="0"/>
            </w:tcBorders>
            <w:shd w:val="clear" w:color="auto" w:fill="auto"/>
            <w:vAlign w:val="center"/>
          </w:tcPr>
          <w:p>
            <w:pPr>
              <w:spacing w:after="0" w:line="360" w:lineRule="auto"/>
              <w:ind w:left="0" w:right="0" w:firstLine="0"/>
              <w:jc w:val="center"/>
              <w:rPr>
                <w:b/>
                <w:bCs/>
                <w:color w:val="auto"/>
                <w:kern w:val="0"/>
                <w:szCs w:val="24"/>
                <w:highlight w:val="none"/>
              </w:rPr>
            </w:pPr>
            <w:r>
              <w:rPr>
                <w:rFonts w:hint="eastAsia"/>
                <w:b/>
                <w:bCs/>
                <w:color w:val="auto"/>
                <w:kern w:val="0"/>
                <w:szCs w:val="24"/>
                <w:highlight w:val="none"/>
              </w:rPr>
              <w:t>监控内容</w:t>
            </w:r>
          </w:p>
        </w:tc>
        <w:tc>
          <w:tcPr>
            <w:tcW w:w="1985" w:type="dxa"/>
            <w:tcBorders>
              <w:top w:val="single" w:color="auto" w:sz="4" w:space="0"/>
              <w:left w:val="nil"/>
              <w:bottom w:val="single" w:color="auto" w:sz="4" w:space="0"/>
              <w:right w:val="single" w:color="auto" w:sz="4" w:space="0"/>
            </w:tcBorders>
            <w:shd w:val="clear" w:color="auto" w:fill="auto"/>
            <w:vAlign w:val="center"/>
          </w:tcPr>
          <w:p>
            <w:pPr>
              <w:spacing w:after="0" w:line="360" w:lineRule="auto"/>
              <w:ind w:left="0" w:right="0" w:firstLine="0"/>
              <w:jc w:val="center"/>
              <w:rPr>
                <w:b/>
                <w:bCs/>
                <w:color w:val="auto"/>
                <w:kern w:val="0"/>
                <w:szCs w:val="24"/>
                <w:highlight w:val="none"/>
              </w:rPr>
            </w:pPr>
            <w:r>
              <w:rPr>
                <w:rFonts w:hint="eastAsia"/>
                <w:b/>
                <w:bCs/>
                <w:color w:val="auto"/>
                <w:kern w:val="0"/>
                <w:szCs w:val="24"/>
                <w:highlight w:val="none"/>
              </w:rPr>
              <w:t>采集方式</w:t>
            </w:r>
          </w:p>
        </w:tc>
        <w:tc>
          <w:tcPr>
            <w:tcW w:w="1360" w:type="dxa"/>
            <w:tcBorders>
              <w:top w:val="single" w:color="auto" w:sz="4" w:space="0"/>
              <w:left w:val="nil"/>
              <w:bottom w:val="single" w:color="auto" w:sz="4" w:space="0"/>
              <w:right w:val="single" w:color="auto" w:sz="4" w:space="0"/>
            </w:tcBorders>
            <w:shd w:val="clear" w:color="auto" w:fill="auto"/>
            <w:vAlign w:val="center"/>
          </w:tcPr>
          <w:p>
            <w:pPr>
              <w:spacing w:after="0" w:line="360" w:lineRule="auto"/>
              <w:ind w:left="0" w:right="0" w:firstLine="0"/>
              <w:jc w:val="center"/>
              <w:rPr>
                <w:b/>
                <w:bCs/>
                <w:color w:val="auto"/>
                <w:kern w:val="0"/>
                <w:szCs w:val="24"/>
                <w:highlight w:val="none"/>
              </w:rPr>
            </w:pPr>
            <w:r>
              <w:rPr>
                <w:rFonts w:hint="eastAsia"/>
                <w:b/>
                <w:bCs/>
                <w:color w:val="auto"/>
                <w:kern w:val="0"/>
                <w:szCs w:val="24"/>
                <w:highlight w:val="none"/>
              </w:rPr>
              <w:t>平台对接</w:t>
            </w:r>
          </w:p>
        </w:tc>
      </w:tr>
      <w:tr>
        <w:tblPrEx>
          <w:tblCellMar>
            <w:top w:w="0" w:type="dxa"/>
            <w:left w:w="108" w:type="dxa"/>
            <w:bottom w:w="0" w:type="dxa"/>
            <w:right w:w="108" w:type="dxa"/>
          </w:tblCellMar>
        </w:tblPrEx>
        <w:trPr>
          <w:trHeight w:val="570" w:hRule="atLeast"/>
        </w:trPr>
        <w:tc>
          <w:tcPr>
            <w:tcW w:w="1843" w:type="dxa"/>
            <w:tcBorders>
              <w:top w:val="nil"/>
              <w:left w:val="single" w:color="auto" w:sz="4" w:space="0"/>
              <w:bottom w:val="single" w:color="auto" w:sz="4" w:space="0"/>
              <w:right w:val="single" w:color="auto" w:sz="4" w:space="0"/>
            </w:tcBorders>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照明开关</w:t>
            </w:r>
          </w:p>
        </w:tc>
        <w:tc>
          <w:tcPr>
            <w:tcW w:w="4170" w:type="dxa"/>
            <w:tcBorders>
              <w:top w:val="nil"/>
              <w:left w:val="nil"/>
              <w:bottom w:val="single" w:color="auto" w:sz="4" w:space="0"/>
              <w:right w:val="single" w:color="auto" w:sz="4" w:space="0"/>
            </w:tcBorders>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开/关状态，远程开/关控制</w:t>
            </w:r>
          </w:p>
        </w:tc>
        <w:tc>
          <w:tcPr>
            <w:tcW w:w="1985" w:type="dxa"/>
            <w:vMerge w:val="restart"/>
            <w:tcBorders>
              <w:top w:val="nil"/>
              <w:left w:val="single" w:color="auto" w:sz="4" w:space="0"/>
              <w:bottom w:val="single" w:color="auto" w:sz="4" w:space="0"/>
              <w:right w:val="single" w:color="auto" w:sz="4" w:space="0"/>
            </w:tcBorders>
            <w:shd w:val="clear" w:color="auto" w:fill="auto"/>
            <w:vAlign w:val="center"/>
          </w:tcPr>
          <w:p>
            <w:pPr>
              <w:spacing w:after="0" w:line="360" w:lineRule="auto"/>
              <w:ind w:left="0" w:right="-106" w:rightChars="-44" w:firstLine="0"/>
              <w:rPr>
                <w:color w:val="auto"/>
                <w:kern w:val="0"/>
                <w:szCs w:val="24"/>
                <w:highlight w:val="none"/>
              </w:rPr>
            </w:pPr>
            <w:r>
              <w:rPr>
                <w:rFonts w:hint="eastAsia"/>
                <w:color w:val="auto"/>
                <w:kern w:val="0"/>
                <w:szCs w:val="24"/>
                <w:highlight w:val="none"/>
              </w:rPr>
              <w:t>通过KNX开关驱动器、调光驱动器、智能面板等采集、控制，经KNX/IP网关上送数据、接收控制令。</w:t>
            </w:r>
          </w:p>
        </w:tc>
        <w:tc>
          <w:tcPr>
            <w:tcW w:w="1360" w:type="dxa"/>
            <w:vMerge w:val="restart"/>
            <w:tcBorders>
              <w:top w:val="nil"/>
              <w:left w:val="single" w:color="auto" w:sz="4" w:space="0"/>
              <w:bottom w:val="single" w:color="auto" w:sz="4" w:space="0"/>
              <w:right w:val="single" w:color="auto" w:sz="4" w:space="0"/>
            </w:tcBorders>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由智能照明控制系统上传至医院后勤智慧运维平台</w:t>
            </w:r>
          </w:p>
        </w:tc>
      </w:tr>
      <w:tr>
        <w:tblPrEx>
          <w:tblCellMar>
            <w:top w:w="0" w:type="dxa"/>
            <w:left w:w="108" w:type="dxa"/>
            <w:bottom w:w="0" w:type="dxa"/>
            <w:right w:w="108" w:type="dxa"/>
          </w:tblCellMar>
        </w:tblPrEx>
        <w:trPr>
          <w:trHeight w:val="285" w:hRule="atLeast"/>
        </w:trPr>
        <w:tc>
          <w:tcPr>
            <w:tcW w:w="1843" w:type="dxa"/>
            <w:tcBorders>
              <w:top w:val="nil"/>
              <w:left w:val="single" w:color="auto" w:sz="4" w:space="0"/>
              <w:bottom w:val="single" w:color="auto" w:sz="4" w:space="0"/>
              <w:right w:val="single" w:color="auto" w:sz="4" w:space="0"/>
            </w:tcBorders>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回路电流</w:t>
            </w:r>
          </w:p>
        </w:tc>
        <w:tc>
          <w:tcPr>
            <w:tcW w:w="4170" w:type="dxa"/>
            <w:tcBorders>
              <w:top w:val="nil"/>
              <w:left w:val="nil"/>
              <w:bottom w:val="single" w:color="auto" w:sz="4" w:space="0"/>
              <w:right w:val="single" w:color="auto" w:sz="4" w:space="0"/>
            </w:tcBorders>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电流</w:t>
            </w:r>
          </w:p>
        </w:tc>
        <w:tc>
          <w:tcPr>
            <w:tcW w:w="1985" w:type="dxa"/>
            <w:vMerge w:val="continue"/>
            <w:tcBorders>
              <w:top w:val="nil"/>
              <w:left w:val="single" w:color="auto" w:sz="4" w:space="0"/>
              <w:bottom w:val="single" w:color="auto" w:sz="4" w:space="0"/>
              <w:right w:val="single" w:color="auto" w:sz="4" w:space="0"/>
            </w:tcBorders>
            <w:vAlign w:val="center"/>
          </w:tcPr>
          <w:p>
            <w:pPr>
              <w:spacing w:after="0" w:line="360" w:lineRule="auto"/>
              <w:ind w:left="0" w:right="0" w:firstLine="0"/>
              <w:rPr>
                <w:color w:val="auto"/>
                <w:kern w:val="0"/>
                <w:szCs w:val="24"/>
                <w:highlight w:val="none"/>
              </w:rPr>
            </w:pPr>
          </w:p>
        </w:tc>
        <w:tc>
          <w:tcPr>
            <w:tcW w:w="1360" w:type="dxa"/>
            <w:vMerge w:val="continue"/>
            <w:tcBorders>
              <w:top w:val="nil"/>
              <w:left w:val="single" w:color="auto" w:sz="4" w:space="0"/>
              <w:bottom w:val="single" w:color="auto" w:sz="4" w:space="0"/>
              <w:right w:val="single" w:color="auto" w:sz="4" w:space="0"/>
            </w:tcBorders>
            <w:vAlign w:val="center"/>
          </w:tcPr>
          <w:p>
            <w:pPr>
              <w:spacing w:after="0" w:line="360" w:lineRule="auto"/>
              <w:ind w:left="0" w:right="0" w:firstLine="0"/>
              <w:rPr>
                <w:color w:val="auto"/>
                <w:kern w:val="0"/>
                <w:szCs w:val="24"/>
                <w:highlight w:val="none"/>
              </w:rPr>
            </w:pPr>
          </w:p>
        </w:tc>
      </w:tr>
      <w:tr>
        <w:tblPrEx>
          <w:tblCellMar>
            <w:top w:w="0" w:type="dxa"/>
            <w:left w:w="108" w:type="dxa"/>
            <w:bottom w:w="0" w:type="dxa"/>
            <w:right w:w="108" w:type="dxa"/>
          </w:tblCellMar>
        </w:tblPrEx>
        <w:trPr>
          <w:trHeight w:val="285" w:hRule="atLeast"/>
        </w:trPr>
        <w:tc>
          <w:tcPr>
            <w:tcW w:w="1843" w:type="dxa"/>
            <w:tcBorders>
              <w:top w:val="nil"/>
              <w:left w:val="single" w:color="auto" w:sz="4" w:space="0"/>
              <w:bottom w:val="single" w:color="auto" w:sz="4" w:space="0"/>
              <w:right w:val="single" w:color="auto" w:sz="4" w:space="0"/>
            </w:tcBorders>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人体探测器</w:t>
            </w:r>
          </w:p>
        </w:tc>
        <w:tc>
          <w:tcPr>
            <w:tcW w:w="4170" w:type="dxa"/>
            <w:tcBorders>
              <w:top w:val="nil"/>
              <w:left w:val="nil"/>
              <w:bottom w:val="single" w:color="auto" w:sz="4" w:space="0"/>
              <w:right w:val="single" w:color="auto" w:sz="4" w:space="0"/>
            </w:tcBorders>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有人/没人</w:t>
            </w:r>
          </w:p>
        </w:tc>
        <w:tc>
          <w:tcPr>
            <w:tcW w:w="1985" w:type="dxa"/>
            <w:vMerge w:val="continue"/>
            <w:tcBorders>
              <w:top w:val="nil"/>
              <w:left w:val="single" w:color="auto" w:sz="4" w:space="0"/>
              <w:bottom w:val="single" w:color="auto" w:sz="4" w:space="0"/>
              <w:right w:val="single" w:color="auto" w:sz="4" w:space="0"/>
            </w:tcBorders>
            <w:vAlign w:val="center"/>
          </w:tcPr>
          <w:p>
            <w:pPr>
              <w:spacing w:after="0" w:line="360" w:lineRule="auto"/>
              <w:ind w:left="0" w:right="0" w:firstLine="0"/>
              <w:rPr>
                <w:color w:val="auto"/>
                <w:kern w:val="0"/>
                <w:szCs w:val="24"/>
                <w:highlight w:val="none"/>
              </w:rPr>
            </w:pPr>
          </w:p>
        </w:tc>
        <w:tc>
          <w:tcPr>
            <w:tcW w:w="1360" w:type="dxa"/>
            <w:vMerge w:val="continue"/>
            <w:tcBorders>
              <w:top w:val="nil"/>
              <w:left w:val="single" w:color="auto" w:sz="4" w:space="0"/>
              <w:bottom w:val="single" w:color="auto" w:sz="4" w:space="0"/>
              <w:right w:val="single" w:color="auto" w:sz="4" w:space="0"/>
            </w:tcBorders>
            <w:vAlign w:val="center"/>
          </w:tcPr>
          <w:p>
            <w:pPr>
              <w:spacing w:after="0" w:line="360" w:lineRule="auto"/>
              <w:ind w:left="0" w:right="0" w:firstLine="0"/>
              <w:rPr>
                <w:color w:val="auto"/>
                <w:kern w:val="0"/>
                <w:szCs w:val="24"/>
                <w:highlight w:val="none"/>
              </w:rPr>
            </w:pPr>
          </w:p>
        </w:tc>
      </w:tr>
      <w:tr>
        <w:tblPrEx>
          <w:tblCellMar>
            <w:top w:w="0" w:type="dxa"/>
            <w:left w:w="108" w:type="dxa"/>
            <w:bottom w:w="0" w:type="dxa"/>
            <w:right w:w="108" w:type="dxa"/>
          </w:tblCellMar>
        </w:tblPrEx>
        <w:trPr>
          <w:trHeight w:val="570" w:hRule="atLeast"/>
        </w:trPr>
        <w:tc>
          <w:tcPr>
            <w:tcW w:w="1843" w:type="dxa"/>
            <w:tcBorders>
              <w:top w:val="nil"/>
              <w:left w:val="single" w:color="auto" w:sz="4" w:space="0"/>
              <w:bottom w:val="single" w:color="auto" w:sz="4" w:space="0"/>
              <w:right w:val="single" w:color="auto" w:sz="4" w:space="0"/>
            </w:tcBorders>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光照度传感器</w:t>
            </w:r>
          </w:p>
        </w:tc>
        <w:tc>
          <w:tcPr>
            <w:tcW w:w="4170" w:type="dxa"/>
            <w:tcBorders>
              <w:top w:val="nil"/>
              <w:left w:val="nil"/>
              <w:bottom w:val="single" w:color="auto" w:sz="4" w:space="0"/>
              <w:right w:val="single" w:color="auto" w:sz="4" w:space="0"/>
            </w:tcBorders>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照度</w:t>
            </w:r>
          </w:p>
        </w:tc>
        <w:tc>
          <w:tcPr>
            <w:tcW w:w="1985" w:type="dxa"/>
            <w:vMerge w:val="continue"/>
            <w:tcBorders>
              <w:top w:val="nil"/>
              <w:left w:val="single" w:color="auto" w:sz="4" w:space="0"/>
              <w:bottom w:val="single" w:color="auto" w:sz="4" w:space="0"/>
              <w:right w:val="single" w:color="auto" w:sz="4" w:space="0"/>
            </w:tcBorders>
            <w:vAlign w:val="center"/>
          </w:tcPr>
          <w:p>
            <w:pPr>
              <w:spacing w:after="0" w:line="360" w:lineRule="auto"/>
              <w:ind w:left="0" w:right="0" w:firstLine="0"/>
              <w:rPr>
                <w:color w:val="auto"/>
                <w:kern w:val="0"/>
                <w:szCs w:val="24"/>
                <w:highlight w:val="none"/>
              </w:rPr>
            </w:pPr>
          </w:p>
        </w:tc>
        <w:tc>
          <w:tcPr>
            <w:tcW w:w="1360" w:type="dxa"/>
            <w:vMerge w:val="continue"/>
            <w:tcBorders>
              <w:top w:val="nil"/>
              <w:left w:val="single" w:color="auto" w:sz="4" w:space="0"/>
              <w:bottom w:val="single" w:color="auto" w:sz="4" w:space="0"/>
              <w:right w:val="single" w:color="auto" w:sz="4" w:space="0"/>
            </w:tcBorders>
            <w:vAlign w:val="center"/>
          </w:tcPr>
          <w:p>
            <w:pPr>
              <w:spacing w:after="0" w:line="360" w:lineRule="auto"/>
              <w:ind w:left="0" w:right="0" w:firstLine="0"/>
              <w:rPr>
                <w:color w:val="auto"/>
                <w:kern w:val="0"/>
                <w:szCs w:val="24"/>
                <w:highlight w:val="none"/>
              </w:rPr>
            </w:pPr>
          </w:p>
        </w:tc>
      </w:tr>
      <w:tr>
        <w:tblPrEx>
          <w:tblCellMar>
            <w:top w:w="0" w:type="dxa"/>
            <w:left w:w="108" w:type="dxa"/>
            <w:bottom w:w="0" w:type="dxa"/>
            <w:right w:w="108" w:type="dxa"/>
          </w:tblCellMar>
        </w:tblPrEx>
        <w:trPr>
          <w:trHeight w:val="570" w:hRule="atLeast"/>
        </w:trPr>
        <w:tc>
          <w:tcPr>
            <w:tcW w:w="1843" w:type="dxa"/>
            <w:tcBorders>
              <w:top w:val="nil"/>
              <w:left w:val="single" w:color="auto" w:sz="4" w:space="0"/>
              <w:bottom w:val="single" w:color="auto" w:sz="4" w:space="0"/>
              <w:right w:val="single" w:color="auto" w:sz="4" w:space="0"/>
            </w:tcBorders>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现场智能面板</w:t>
            </w:r>
          </w:p>
        </w:tc>
        <w:tc>
          <w:tcPr>
            <w:tcW w:w="4170" w:type="dxa"/>
            <w:tcBorders>
              <w:top w:val="nil"/>
              <w:left w:val="nil"/>
              <w:bottom w:val="single" w:color="auto" w:sz="4" w:space="0"/>
              <w:right w:val="single" w:color="auto" w:sz="4" w:space="0"/>
            </w:tcBorders>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开/关</w:t>
            </w:r>
          </w:p>
        </w:tc>
        <w:tc>
          <w:tcPr>
            <w:tcW w:w="1985" w:type="dxa"/>
            <w:vMerge w:val="continue"/>
            <w:tcBorders>
              <w:top w:val="nil"/>
              <w:left w:val="single" w:color="auto" w:sz="4" w:space="0"/>
              <w:bottom w:val="single" w:color="auto" w:sz="4" w:space="0"/>
              <w:right w:val="single" w:color="auto" w:sz="4" w:space="0"/>
            </w:tcBorders>
            <w:vAlign w:val="center"/>
          </w:tcPr>
          <w:p>
            <w:pPr>
              <w:spacing w:after="0" w:line="360" w:lineRule="auto"/>
              <w:ind w:left="0" w:right="0" w:firstLine="0"/>
              <w:rPr>
                <w:color w:val="auto"/>
                <w:kern w:val="0"/>
                <w:szCs w:val="24"/>
                <w:highlight w:val="none"/>
              </w:rPr>
            </w:pPr>
          </w:p>
        </w:tc>
        <w:tc>
          <w:tcPr>
            <w:tcW w:w="1360" w:type="dxa"/>
            <w:vMerge w:val="continue"/>
            <w:tcBorders>
              <w:top w:val="nil"/>
              <w:left w:val="single" w:color="auto" w:sz="4" w:space="0"/>
              <w:bottom w:val="single" w:color="auto" w:sz="4" w:space="0"/>
              <w:right w:val="single" w:color="auto" w:sz="4" w:space="0"/>
            </w:tcBorders>
            <w:vAlign w:val="center"/>
          </w:tcPr>
          <w:p>
            <w:pPr>
              <w:spacing w:after="0" w:line="360" w:lineRule="auto"/>
              <w:ind w:left="0" w:right="0" w:firstLine="0"/>
              <w:rPr>
                <w:color w:val="auto"/>
                <w:kern w:val="0"/>
                <w:szCs w:val="24"/>
                <w:highlight w:val="none"/>
              </w:rPr>
            </w:pPr>
          </w:p>
        </w:tc>
      </w:tr>
      <w:tr>
        <w:tblPrEx>
          <w:tblCellMar>
            <w:top w:w="0" w:type="dxa"/>
            <w:left w:w="108" w:type="dxa"/>
            <w:bottom w:w="0" w:type="dxa"/>
            <w:right w:w="108" w:type="dxa"/>
          </w:tblCellMar>
        </w:tblPrEx>
        <w:trPr>
          <w:trHeight w:val="1140" w:hRule="atLeast"/>
        </w:trPr>
        <w:tc>
          <w:tcPr>
            <w:tcW w:w="1843" w:type="dxa"/>
            <w:tcBorders>
              <w:top w:val="nil"/>
              <w:left w:val="single" w:color="auto" w:sz="4" w:space="0"/>
              <w:bottom w:val="single" w:color="auto" w:sz="4" w:space="0"/>
              <w:right w:val="single" w:color="auto" w:sz="4" w:space="0"/>
            </w:tcBorders>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公区照明用电</w:t>
            </w:r>
          </w:p>
        </w:tc>
        <w:tc>
          <w:tcPr>
            <w:tcW w:w="4170" w:type="dxa"/>
            <w:tcBorders>
              <w:top w:val="nil"/>
              <w:left w:val="nil"/>
              <w:bottom w:val="single" w:color="auto" w:sz="4" w:space="0"/>
              <w:right w:val="single" w:color="auto" w:sz="4" w:space="0"/>
            </w:tcBorders>
            <w:shd w:val="clear" w:color="auto" w:fill="auto"/>
            <w:vAlign w:val="center"/>
          </w:tcPr>
          <w:p>
            <w:pPr>
              <w:spacing w:after="0" w:line="360" w:lineRule="auto"/>
              <w:ind w:left="0" w:right="-86" w:rightChars="-36" w:firstLine="0"/>
              <w:rPr>
                <w:color w:val="auto"/>
                <w:kern w:val="0"/>
                <w:szCs w:val="24"/>
                <w:highlight w:val="none"/>
              </w:rPr>
            </w:pPr>
            <w:r>
              <w:rPr>
                <w:rFonts w:hint="eastAsia"/>
                <w:color w:val="auto"/>
                <w:kern w:val="0"/>
                <w:szCs w:val="24"/>
                <w:highlight w:val="none"/>
              </w:rPr>
              <w:t>供电参数：电流、电压、功率、有功无功电度</w:t>
            </w:r>
          </w:p>
        </w:tc>
        <w:tc>
          <w:tcPr>
            <w:tcW w:w="1985" w:type="dxa"/>
            <w:tcBorders>
              <w:top w:val="nil"/>
              <w:left w:val="nil"/>
              <w:bottom w:val="single" w:color="auto" w:sz="4" w:space="0"/>
              <w:right w:val="single" w:color="auto" w:sz="4" w:space="0"/>
            </w:tcBorders>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智能电表</w:t>
            </w:r>
          </w:p>
        </w:tc>
        <w:tc>
          <w:tcPr>
            <w:tcW w:w="1360" w:type="dxa"/>
            <w:vMerge w:val="restart"/>
            <w:tcBorders>
              <w:top w:val="nil"/>
              <w:left w:val="single" w:color="auto" w:sz="4" w:space="0"/>
              <w:bottom w:val="single" w:color="auto" w:sz="4" w:space="0"/>
              <w:right w:val="single" w:color="auto" w:sz="4" w:space="0"/>
            </w:tcBorders>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由能源管理系统上传至医院后勤智慧运维平台</w:t>
            </w:r>
          </w:p>
        </w:tc>
      </w:tr>
      <w:tr>
        <w:tblPrEx>
          <w:tblCellMar>
            <w:top w:w="0" w:type="dxa"/>
            <w:left w:w="108" w:type="dxa"/>
            <w:bottom w:w="0" w:type="dxa"/>
            <w:right w:w="108" w:type="dxa"/>
          </w:tblCellMar>
        </w:tblPrEx>
        <w:trPr>
          <w:trHeight w:val="1140" w:hRule="atLeast"/>
        </w:trPr>
        <w:tc>
          <w:tcPr>
            <w:tcW w:w="1843" w:type="dxa"/>
            <w:tcBorders>
              <w:top w:val="nil"/>
              <w:left w:val="single" w:color="auto" w:sz="4" w:space="0"/>
              <w:bottom w:val="single" w:color="auto" w:sz="4" w:space="0"/>
              <w:right w:val="single" w:color="auto" w:sz="4" w:space="0"/>
            </w:tcBorders>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科室照明用电</w:t>
            </w:r>
          </w:p>
        </w:tc>
        <w:tc>
          <w:tcPr>
            <w:tcW w:w="4170" w:type="dxa"/>
            <w:tcBorders>
              <w:top w:val="nil"/>
              <w:left w:val="nil"/>
              <w:bottom w:val="single" w:color="auto" w:sz="4" w:space="0"/>
              <w:right w:val="single" w:color="auto" w:sz="4" w:space="0"/>
            </w:tcBorders>
            <w:shd w:val="clear" w:color="auto" w:fill="auto"/>
            <w:vAlign w:val="center"/>
          </w:tcPr>
          <w:p>
            <w:pPr>
              <w:spacing w:after="0" w:line="360" w:lineRule="auto"/>
              <w:ind w:left="0" w:right="-86" w:rightChars="-36" w:firstLine="0"/>
              <w:rPr>
                <w:color w:val="auto"/>
                <w:kern w:val="0"/>
                <w:szCs w:val="24"/>
                <w:highlight w:val="none"/>
              </w:rPr>
            </w:pPr>
            <w:r>
              <w:rPr>
                <w:rFonts w:hint="eastAsia"/>
                <w:color w:val="auto"/>
                <w:kern w:val="0"/>
                <w:szCs w:val="24"/>
                <w:highlight w:val="none"/>
              </w:rPr>
              <w:t>供电参数：电流、电压、功率、有功无功电度</w:t>
            </w:r>
          </w:p>
        </w:tc>
        <w:tc>
          <w:tcPr>
            <w:tcW w:w="1985" w:type="dxa"/>
            <w:tcBorders>
              <w:top w:val="nil"/>
              <w:left w:val="nil"/>
              <w:bottom w:val="single" w:color="auto" w:sz="4" w:space="0"/>
              <w:right w:val="single" w:color="auto" w:sz="4" w:space="0"/>
            </w:tcBorders>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智能电表</w:t>
            </w:r>
          </w:p>
        </w:tc>
        <w:tc>
          <w:tcPr>
            <w:tcW w:w="1360" w:type="dxa"/>
            <w:vMerge w:val="continue"/>
            <w:tcBorders>
              <w:top w:val="nil"/>
              <w:left w:val="single" w:color="auto" w:sz="4" w:space="0"/>
              <w:bottom w:val="single" w:color="auto" w:sz="4" w:space="0"/>
              <w:right w:val="single" w:color="auto" w:sz="4" w:space="0"/>
            </w:tcBorders>
            <w:vAlign w:val="center"/>
          </w:tcPr>
          <w:p>
            <w:pPr>
              <w:spacing w:after="0" w:line="360" w:lineRule="auto"/>
              <w:ind w:left="0" w:right="0" w:firstLine="0"/>
              <w:rPr>
                <w:color w:val="auto"/>
                <w:kern w:val="0"/>
                <w:szCs w:val="24"/>
                <w:highlight w:val="none"/>
              </w:rPr>
            </w:pPr>
          </w:p>
        </w:tc>
      </w:tr>
    </w:tbl>
    <w:p>
      <w:pPr>
        <w:spacing w:after="0" w:line="360" w:lineRule="auto"/>
        <w:ind w:firstLine="480" w:firstLineChars="200"/>
        <w:rPr>
          <w:color w:val="auto"/>
          <w:szCs w:val="24"/>
          <w:highlight w:val="none"/>
        </w:rPr>
      </w:pPr>
    </w:p>
    <w:p>
      <w:pPr>
        <w:spacing w:after="0" w:line="360" w:lineRule="auto"/>
        <w:rPr>
          <w:b/>
          <w:color w:val="auto"/>
          <w:szCs w:val="24"/>
          <w:highlight w:val="none"/>
        </w:rPr>
      </w:pPr>
      <w:bookmarkStart w:id="263" w:name="_Toc19415"/>
      <w:r>
        <w:rPr>
          <w:rFonts w:hint="eastAsia"/>
          <w:b/>
          <w:color w:val="auto"/>
          <w:szCs w:val="24"/>
          <w:highlight w:val="none"/>
        </w:rPr>
        <w:t>监视要点：</w:t>
      </w:r>
      <w:bookmarkEnd w:id="263"/>
    </w:p>
    <w:p>
      <w:pPr>
        <w:numPr>
          <w:ilvl w:val="0"/>
          <w:numId w:val="120"/>
        </w:numPr>
        <w:spacing w:after="0" w:line="360" w:lineRule="auto"/>
        <w:ind w:right="471"/>
        <w:rPr>
          <w:color w:val="auto"/>
          <w:szCs w:val="24"/>
          <w:highlight w:val="none"/>
        </w:rPr>
      </w:pPr>
      <w:r>
        <w:rPr>
          <w:rFonts w:hint="eastAsia"/>
          <w:color w:val="auto"/>
          <w:szCs w:val="24"/>
          <w:highlight w:val="none"/>
        </w:rPr>
        <w:t>照明开关状态监视；</w:t>
      </w:r>
    </w:p>
    <w:p>
      <w:pPr>
        <w:numPr>
          <w:ilvl w:val="0"/>
          <w:numId w:val="120"/>
        </w:numPr>
        <w:spacing w:after="0" w:line="360" w:lineRule="auto"/>
        <w:ind w:right="471"/>
        <w:rPr>
          <w:color w:val="auto"/>
          <w:szCs w:val="24"/>
          <w:highlight w:val="none"/>
        </w:rPr>
      </w:pPr>
      <w:r>
        <w:rPr>
          <w:rFonts w:hint="eastAsia"/>
          <w:color w:val="auto"/>
          <w:szCs w:val="24"/>
          <w:highlight w:val="none"/>
        </w:rPr>
        <w:t>灯具使用寿命预测：每一灯具都是有使用寿命的，系统软件可对每一回路开启的时间和次数进行累计，通过回路计数功能可预计灯具大致寿命，在灯具即将损坏的时候提前告知，以便及时维修、更换，以免重要时刻灯具寿命耗尽带来不合现场要求的光环境。</w:t>
      </w:r>
    </w:p>
    <w:p>
      <w:pPr>
        <w:numPr>
          <w:ilvl w:val="0"/>
          <w:numId w:val="120"/>
        </w:numPr>
        <w:spacing w:after="0" w:line="360" w:lineRule="auto"/>
        <w:ind w:right="471"/>
        <w:rPr>
          <w:color w:val="auto"/>
          <w:szCs w:val="24"/>
          <w:highlight w:val="none"/>
        </w:rPr>
      </w:pPr>
      <w:r>
        <w:rPr>
          <w:rFonts w:hint="eastAsia"/>
          <w:color w:val="auto"/>
          <w:szCs w:val="24"/>
          <w:highlight w:val="none"/>
        </w:rPr>
        <w:t>负载状态监视：开关驱动器带有电流检测功能，能够根据输出端通过的电流值的变化，判断负载设备是否正常工作，并能在控制界面上显示回路状态及电流值。</w:t>
      </w:r>
    </w:p>
    <w:p>
      <w:pPr>
        <w:spacing w:after="0" w:line="360" w:lineRule="auto"/>
        <w:rPr>
          <w:b/>
          <w:color w:val="auto"/>
          <w:szCs w:val="24"/>
          <w:highlight w:val="none"/>
        </w:rPr>
      </w:pPr>
      <w:bookmarkStart w:id="264" w:name="_Toc29050"/>
      <w:r>
        <w:rPr>
          <w:rFonts w:hint="eastAsia"/>
          <w:b/>
          <w:color w:val="auto"/>
          <w:szCs w:val="24"/>
          <w:highlight w:val="none"/>
        </w:rPr>
        <w:t>系统控制：</w:t>
      </w:r>
      <w:bookmarkEnd w:id="264"/>
    </w:p>
    <w:p>
      <w:pPr>
        <w:numPr>
          <w:ilvl w:val="0"/>
          <w:numId w:val="123"/>
        </w:numPr>
        <w:spacing w:after="0" w:line="360" w:lineRule="auto"/>
        <w:rPr>
          <w:b/>
          <w:color w:val="auto"/>
          <w:szCs w:val="24"/>
          <w:highlight w:val="none"/>
        </w:rPr>
      </w:pPr>
      <w:bookmarkStart w:id="265" w:name="_Toc25272"/>
      <w:r>
        <w:rPr>
          <w:rFonts w:hint="eastAsia"/>
          <w:b/>
          <w:color w:val="auto"/>
          <w:szCs w:val="24"/>
          <w:highlight w:val="none"/>
        </w:rPr>
        <w:t>传感器自动控制</w:t>
      </w:r>
      <w:bookmarkEnd w:id="265"/>
    </w:p>
    <w:p>
      <w:pPr>
        <w:numPr>
          <w:ilvl w:val="0"/>
          <w:numId w:val="124"/>
        </w:numPr>
        <w:spacing w:after="0" w:line="360" w:lineRule="auto"/>
        <w:ind w:right="231"/>
        <w:rPr>
          <w:color w:val="auto"/>
          <w:szCs w:val="24"/>
          <w:highlight w:val="none"/>
        </w:rPr>
      </w:pPr>
      <w:r>
        <w:rPr>
          <w:rFonts w:hint="eastAsia"/>
          <w:color w:val="auto"/>
          <w:szCs w:val="24"/>
          <w:highlight w:val="none"/>
        </w:rPr>
        <w:t>移动探测器控制：在公共走道和卫生间安装移动感应探测器，用于探测人的移动来自动的打开或关闭灯光。当有人通过时灯光会自动打开，人员离开后延时自动关闭；</w:t>
      </w:r>
    </w:p>
    <w:p>
      <w:pPr>
        <w:numPr>
          <w:ilvl w:val="0"/>
          <w:numId w:val="125"/>
        </w:numPr>
        <w:spacing w:after="0" w:line="360" w:lineRule="auto"/>
        <w:ind w:right="231"/>
        <w:rPr>
          <w:color w:val="auto"/>
          <w:szCs w:val="24"/>
          <w:highlight w:val="none"/>
        </w:rPr>
      </w:pPr>
      <w:r>
        <w:rPr>
          <w:rFonts w:hint="eastAsia"/>
          <w:color w:val="auto"/>
          <w:szCs w:val="24"/>
          <w:highlight w:val="none"/>
        </w:rPr>
        <w:t>定时控制：通过定时模块设定时间，对地下室及公共走道等处灯光进行定时控制；</w:t>
      </w:r>
    </w:p>
    <w:p>
      <w:pPr>
        <w:numPr>
          <w:ilvl w:val="0"/>
          <w:numId w:val="125"/>
        </w:numPr>
        <w:spacing w:after="0" w:line="360" w:lineRule="auto"/>
        <w:ind w:right="231"/>
        <w:rPr>
          <w:color w:val="auto"/>
          <w:szCs w:val="24"/>
          <w:highlight w:val="none"/>
        </w:rPr>
      </w:pPr>
      <w:r>
        <w:rPr>
          <w:rFonts w:hint="eastAsia"/>
          <w:color w:val="auto"/>
          <w:szCs w:val="24"/>
          <w:highlight w:val="none"/>
        </w:rPr>
        <w:t>光照度控制：通过光照度传感器感应现场光照强度，当室外光线较好时关闭适当临窗灯光回路，充分利用自然光，可以配合控制大厅照明、室外景观泛光照明等。</w:t>
      </w:r>
    </w:p>
    <w:p>
      <w:pPr>
        <w:numPr>
          <w:ilvl w:val="0"/>
          <w:numId w:val="123"/>
        </w:numPr>
        <w:spacing w:after="0" w:line="360" w:lineRule="auto"/>
        <w:rPr>
          <w:b/>
          <w:color w:val="auto"/>
          <w:szCs w:val="24"/>
          <w:highlight w:val="none"/>
        </w:rPr>
      </w:pPr>
      <w:bookmarkStart w:id="266" w:name="_Toc30263"/>
      <w:r>
        <w:rPr>
          <w:rFonts w:hint="eastAsia"/>
          <w:b/>
          <w:color w:val="auto"/>
          <w:szCs w:val="24"/>
          <w:highlight w:val="none"/>
        </w:rPr>
        <w:t>现场智能面板控制</w:t>
      </w:r>
      <w:bookmarkEnd w:id="266"/>
    </w:p>
    <w:p>
      <w:pPr>
        <w:spacing w:after="0" w:line="360" w:lineRule="auto"/>
        <w:ind w:right="231" w:firstLine="480" w:firstLineChars="200"/>
        <w:rPr>
          <w:color w:val="auto"/>
          <w:szCs w:val="24"/>
          <w:highlight w:val="none"/>
        </w:rPr>
      </w:pPr>
      <w:r>
        <w:rPr>
          <w:rFonts w:hint="eastAsia"/>
          <w:color w:val="auto"/>
          <w:szCs w:val="24"/>
          <w:highlight w:val="none"/>
        </w:rPr>
        <w:t>在公共区域设置智能面板，用于现场控制。智能面板能够通过软件设定，实现灵活的控制功能。智能面板可以设定一个按键为锁定键，能有效避免误操作。当按下锁定键进行按键锁定后，其余按键被锁定，按下这些按键将不会产生对应的开/关灯动作；当您希望使用该按键时，按下锁定键解锁，其余按键被解锁可正常使用。按键锁定功能亦可通过监控软件设定。</w:t>
      </w:r>
    </w:p>
    <w:p>
      <w:pPr>
        <w:numPr>
          <w:ilvl w:val="0"/>
          <w:numId w:val="123"/>
        </w:numPr>
        <w:spacing w:after="0" w:line="360" w:lineRule="auto"/>
        <w:rPr>
          <w:b/>
          <w:color w:val="auto"/>
          <w:szCs w:val="24"/>
          <w:highlight w:val="none"/>
        </w:rPr>
      </w:pPr>
      <w:bookmarkStart w:id="267" w:name="_Toc7424"/>
      <w:r>
        <w:rPr>
          <w:rFonts w:hint="eastAsia"/>
          <w:b/>
          <w:color w:val="auto"/>
          <w:szCs w:val="24"/>
          <w:highlight w:val="none"/>
        </w:rPr>
        <w:t>软件控制</w:t>
      </w:r>
      <w:bookmarkEnd w:id="267"/>
    </w:p>
    <w:p>
      <w:pPr>
        <w:numPr>
          <w:ilvl w:val="0"/>
          <w:numId w:val="126"/>
        </w:numPr>
        <w:spacing w:after="0" w:line="360" w:lineRule="auto"/>
        <w:rPr>
          <w:color w:val="auto"/>
          <w:szCs w:val="24"/>
          <w:highlight w:val="none"/>
        </w:rPr>
      </w:pPr>
      <w:r>
        <w:rPr>
          <w:rFonts w:hint="eastAsia"/>
          <w:color w:val="auto"/>
          <w:szCs w:val="24"/>
          <w:highlight w:val="none"/>
        </w:rPr>
        <w:t>定时控制</w:t>
      </w:r>
    </w:p>
    <w:p>
      <w:pPr>
        <w:spacing w:after="0" w:line="360" w:lineRule="auto"/>
        <w:ind w:right="231" w:firstLine="480" w:firstLineChars="200"/>
        <w:rPr>
          <w:snapToGrid w:val="0"/>
          <w:color w:val="auto"/>
          <w:kern w:val="0"/>
          <w:szCs w:val="24"/>
          <w:highlight w:val="none"/>
          <w:lang w:bidi="en-US"/>
        </w:rPr>
      </w:pPr>
      <w:r>
        <w:rPr>
          <w:rFonts w:hint="eastAsia"/>
          <w:snapToGrid w:val="0"/>
          <w:color w:val="auto"/>
          <w:kern w:val="0"/>
          <w:szCs w:val="24"/>
          <w:highlight w:val="none"/>
          <w:lang w:bidi="en-US"/>
        </w:rPr>
        <w:t>可以根据日常的运行要求在不同时段采用不同灯光组合。例如白天上下班人流量大的时间段内定时开启部分灯光；晚上下班后时间段内开启部分灯光；晚上无人后仅开启应急照明回路。</w:t>
      </w:r>
    </w:p>
    <w:p>
      <w:pPr>
        <w:numPr>
          <w:ilvl w:val="0"/>
          <w:numId w:val="127"/>
        </w:numPr>
        <w:spacing w:after="0" w:line="360" w:lineRule="auto"/>
        <w:ind w:right="231"/>
        <w:rPr>
          <w:color w:val="auto"/>
          <w:szCs w:val="24"/>
          <w:highlight w:val="none"/>
        </w:rPr>
      </w:pPr>
      <w:r>
        <w:rPr>
          <w:rFonts w:hint="eastAsia"/>
          <w:color w:val="auto"/>
          <w:szCs w:val="24"/>
          <w:highlight w:val="none"/>
        </w:rPr>
        <w:t>图形化监控界面</w:t>
      </w:r>
    </w:p>
    <w:p>
      <w:pPr>
        <w:spacing w:after="0" w:line="360" w:lineRule="auto"/>
        <w:ind w:right="231" w:firstLine="480" w:firstLineChars="200"/>
        <w:rPr>
          <w:snapToGrid w:val="0"/>
          <w:color w:val="auto"/>
          <w:kern w:val="0"/>
          <w:szCs w:val="24"/>
          <w:highlight w:val="none"/>
          <w:lang w:bidi="en-US"/>
        </w:rPr>
      </w:pPr>
      <w:r>
        <w:rPr>
          <w:rFonts w:hint="eastAsia"/>
          <w:snapToGrid w:val="0"/>
          <w:color w:val="auto"/>
          <w:kern w:val="0"/>
          <w:szCs w:val="24"/>
          <w:highlight w:val="none"/>
          <w:lang w:bidi="en-US"/>
        </w:rPr>
        <w:t>通过图形化的界面可对建筑内各个区域的灯光设备进行集中监视和控制，可对实时图表上模拟量数据（如调光数值）进行遥调操作，对实时图表上开关量数据（如回路开关状态）进行遥控操作，支持单控、总控及人工选择多个回路进行群组遥控等操作。</w:t>
      </w:r>
    </w:p>
    <w:p>
      <w:pPr>
        <w:numPr>
          <w:ilvl w:val="0"/>
          <w:numId w:val="127"/>
        </w:numPr>
        <w:spacing w:after="0" w:line="360" w:lineRule="auto"/>
        <w:ind w:right="231"/>
        <w:rPr>
          <w:color w:val="auto"/>
          <w:szCs w:val="24"/>
          <w:highlight w:val="none"/>
        </w:rPr>
      </w:pPr>
      <w:r>
        <w:rPr>
          <w:rFonts w:hint="eastAsia"/>
          <w:color w:val="auto"/>
          <w:szCs w:val="24"/>
          <w:highlight w:val="none"/>
        </w:rPr>
        <w:t>场景模式控制</w:t>
      </w:r>
    </w:p>
    <w:p>
      <w:pPr>
        <w:spacing w:after="0" w:line="360" w:lineRule="auto"/>
        <w:ind w:right="231" w:firstLine="480" w:firstLineChars="200"/>
        <w:rPr>
          <w:snapToGrid w:val="0"/>
          <w:color w:val="auto"/>
          <w:kern w:val="0"/>
          <w:szCs w:val="24"/>
          <w:highlight w:val="none"/>
          <w:lang w:bidi="en-US"/>
        </w:rPr>
      </w:pPr>
      <w:r>
        <w:rPr>
          <w:rFonts w:hint="eastAsia"/>
          <w:snapToGrid w:val="0"/>
          <w:color w:val="auto"/>
          <w:kern w:val="0"/>
          <w:szCs w:val="24"/>
          <w:highlight w:val="none"/>
          <w:lang w:bidi="en-US"/>
        </w:rPr>
        <w:t>可预设多种场景模式，例如白天模式、夜间模式、清扫模式、节日模式等，每种模式定义一天按时刻的顺序自动运行控制策略，并可以对预设运行模式的进行动态切换，也可以按照多个分区进行模式管理。</w:t>
      </w:r>
    </w:p>
    <w:p>
      <w:pPr>
        <w:numPr>
          <w:ilvl w:val="0"/>
          <w:numId w:val="127"/>
        </w:numPr>
        <w:spacing w:after="0" w:line="360" w:lineRule="auto"/>
        <w:ind w:right="231"/>
        <w:rPr>
          <w:color w:val="auto"/>
          <w:szCs w:val="24"/>
          <w:highlight w:val="none"/>
        </w:rPr>
      </w:pPr>
      <w:r>
        <w:rPr>
          <w:rFonts w:hint="eastAsia"/>
          <w:color w:val="auto"/>
          <w:szCs w:val="24"/>
          <w:highlight w:val="none"/>
        </w:rPr>
        <w:t>时间计划管理</w:t>
      </w:r>
    </w:p>
    <w:p>
      <w:pPr>
        <w:spacing w:after="0" w:line="360" w:lineRule="auto"/>
        <w:ind w:right="231" w:firstLine="480" w:firstLineChars="200"/>
        <w:rPr>
          <w:snapToGrid w:val="0"/>
          <w:color w:val="auto"/>
          <w:kern w:val="0"/>
          <w:szCs w:val="24"/>
          <w:highlight w:val="none"/>
          <w:lang w:bidi="en-US"/>
        </w:rPr>
      </w:pPr>
      <w:r>
        <w:rPr>
          <w:rFonts w:hint="eastAsia"/>
          <w:snapToGrid w:val="0"/>
          <w:color w:val="auto"/>
          <w:kern w:val="0"/>
          <w:szCs w:val="24"/>
          <w:highlight w:val="none"/>
          <w:lang w:bidi="en-US"/>
        </w:rPr>
        <w:t>通过时间计划管理功能，可根据提供的日历形式的定时配置界面选择日期及控制模式，满足不同季节、不同节日的不同模式要求。</w:t>
      </w:r>
    </w:p>
    <w:p>
      <w:pPr>
        <w:numPr>
          <w:ilvl w:val="0"/>
          <w:numId w:val="123"/>
        </w:numPr>
        <w:spacing w:after="0" w:line="360" w:lineRule="auto"/>
        <w:ind w:right="231"/>
        <w:rPr>
          <w:b/>
          <w:color w:val="auto"/>
          <w:szCs w:val="24"/>
          <w:highlight w:val="none"/>
        </w:rPr>
      </w:pPr>
      <w:bookmarkStart w:id="268" w:name="_Toc5"/>
      <w:r>
        <w:rPr>
          <w:rFonts w:hint="eastAsia"/>
          <w:b/>
          <w:color w:val="auto"/>
          <w:szCs w:val="24"/>
          <w:highlight w:val="none"/>
        </w:rPr>
        <w:t>消防联动功能</w:t>
      </w:r>
      <w:bookmarkEnd w:id="268"/>
    </w:p>
    <w:p>
      <w:pPr>
        <w:spacing w:after="0" w:line="360" w:lineRule="auto"/>
        <w:ind w:right="231" w:firstLine="480" w:firstLineChars="200"/>
        <w:rPr>
          <w:snapToGrid w:val="0"/>
          <w:color w:val="auto"/>
          <w:kern w:val="0"/>
          <w:szCs w:val="24"/>
          <w:highlight w:val="none"/>
          <w:lang w:bidi="en-US"/>
        </w:rPr>
      </w:pPr>
      <w:r>
        <w:rPr>
          <w:rFonts w:hint="eastAsia"/>
          <w:snapToGrid w:val="0"/>
          <w:color w:val="auto"/>
          <w:kern w:val="0"/>
          <w:szCs w:val="24"/>
          <w:highlight w:val="none"/>
          <w:lang w:bidi="en-US"/>
        </w:rPr>
        <w:t>在应急照明回路中配置开关量输入模块，以实现火灾信号与应急照明系统的联动控制。</w:t>
      </w:r>
    </w:p>
    <w:p>
      <w:pPr>
        <w:pStyle w:val="4"/>
        <w:spacing w:before="0" w:after="0" w:line="360" w:lineRule="auto"/>
        <w:ind w:left="0" w:firstLine="0"/>
        <w:rPr>
          <w:color w:val="auto"/>
          <w:sz w:val="24"/>
          <w:szCs w:val="24"/>
          <w:highlight w:val="none"/>
        </w:rPr>
      </w:pPr>
      <w:bookmarkStart w:id="269" w:name="_Toc467747760"/>
      <w:bookmarkStart w:id="270" w:name="_Toc20408818"/>
      <w:bookmarkStart w:id="271" w:name="_Toc8004"/>
      <w:r>
        <w:rPr>
          <w:rFonts w:hint="eastAsia"/>
          <w:color w:val="auto"/>
          <w:sz w:val="24"/>
          <w:szCs w:val="24"/>
          <w:highlight w:val="none"/>
        </w:rPr>
        <w:t>1.</w:t>
      </w:r>
      <w:r>
        <w:rPr>
          <w:color w:val="auto"/>
          <w:sz w:val="24"/>
          <w:szCs w:val="24"/>
          <w:highlight w:val="none"/>
        </w:rPr>
        <w:t>3</w:t>
      </w:r>
      <w:r>
        <w:rPr>
          <w:rFonts w:hint="eastAsia"/>
          <w:color w:val="auto"/>
          <w:sz w:val="24"/>
          <w:szCs w:val="24"/>
          <w:highlight w:val="none"/>
        </w:rPr>
        <w:t>.</w:t>
      </w:r>
      <w:r>
        <w:rPr>
          <w:color w:val="auto"/>
          <w:sz w:val="24"/>
          <w:szCs w:val="24"/>
          <w:highlight w:val="none"/>
        </w:rPr>
        <w:t>8</w:t>
      </w:r>
      <w:r>
        <w:rPr>
          <w:rFonts w:hint="eastAsia"/>
          <w:color w:val="auto"/>
          <w:sz w:val="24"/>
          <w:szCs w:val="24"/>
          <w:highlight w:val="none"/>
        </w:rPr>
        <w:t>医用气体</w:t>
      </w:r>
      <w:bookmarkEnd w:id="269"/>
      <w:bookmarkEnd w:id="270"/>
      <w:bookmarkEnd w:id="271"/>
    </w:p>
    <w:p>
      <w:pPr>
        <w:spacing w:after="0" w:line="360" w:lineRule="auto"/>
        <w:ind w:firstLine="480" w:firstLineChars="200"/>
        <w:rPr>
          <w:color w:val="auto"/>
          <w:szCs w:val="24"/>
          <w:highlight w:val="none"/>
        </w:rPr>
      </w:pPr>
      <w:r>
        <w:rPr>
          <w:rFonts w:hint="eastAsia"/>
          <w:color w:val="auto"/>
          <w:szCs w:val="24"/>
          <w:highlight w:val="none"/>
        </w:rPr>
        <w:t>医用气体监控点位及监控内容：</w:t>
      </w:r>
    </w:p>
    <w:tbl>
      <w:tblPr>
        <w:tblStyle w:val="18"/>
        <w:tblW w:w="9214" w:type="dxa"/>
        <w:tblInd w:w="-5" w:type="dxa"/>
        <w:tblLayout w:type="autofit"/>
        <w:tblCellMar>
          <w:top w:w="0" w:type="dxa"/>
          <w:left w:w="108" w:type="dxa"/>
          <w:bottom w:w="0" w:type="dxa"/>
          <w:right w:w="108" w:type="dxa"/>
        </w:tblCellMar>
      </w:tblPr>
      <w:tblGrid>
        <w:gridCol w:w="1560"/>
        <w:gridCol w:w="1984"/>
        <w:gridCol w:w="2268"/>
        <w:gridCol w:w="1701"/>
        <w:gridCol w:w="1701"/>
      </w:tblGrid>
      <w:tr>
        <w:tblPrEx>
          <w:tblCellMar>
            <w:top w:w="0" w:type="dxa"/>
            <w:left w:w="108" w:type="dxa"/>
            <w:bottom w:w="0" w:type="dxa"/>
            <w:right w:w="108" w:type="dxa"/>
          </w:tblCellMar>
        </w:tblPrEx>
        <w:trPr>
          <w:trHeight w:val="285" w:hRule="atLeast"/>
        </w:trPr>
        <w:tc>
          <w:tcPr>
            <w:tcW w:w="3544"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spacing w:after="0" w:line="360" w:lineRule="auto"/>
              <w:ind w:left="0" w:right="0" w:firstLine="0"/>
              <w:jc w:val="center"/>
              <w:rPr>
                <w:b/>
                <w:bCs/>
                <w:color w:val="auto"/>
                <w:kern w:val="0"/>
                <w:szCs w:val="24"/>
                <w:highlight w:val="none"/>
              </w:rPr>
            </w:pPr>
            <w:r>
              <w:rPr>
                <w:rFonts w:hint="eastAsia"/>
                <w:b/>
                <w:bCs/>
                <w:color w:val="auto"/>
                <w:kern w:val="0"/>
                <w:szCs w:val="24"/>
                <w:highlight w:val="none"/>
              </w:rPr>
              <w:t>监控设备</w:t>
            </w:r>
          </w:p>
        </w:tc>
        <w:tc>
          <w:tcPr>
            <w:tcW w:w="2268" w:type="dxa"/>
            <w:tcBorders>
              <w:top w:val="single" w:color="auto" w:sz="4" w:space="0"/>
              <w:left w:val="nil"/>
              <w:bottom w:val="single" w:color="auto" w:sz="4" w:space="0"/>
              <w:right w:val="single" w:color="auto" w:sz="4" w:space="0"/>
            </w:tcBorders>
            <w:shd w:val="clear" w:color="auto" w:fill="auto"/>
            <w:vAlign w:val="center"/>
          </w:tcPr>
          <w:p>
            <w:pPr>
              <w:spacing w:after="0" w:line="360" w:lineRule="auto"/>
              <w:ind w:left="0" w:right="0" w:firstLine="0"/>
              <w:jc w:val="center"/>
              <w:rPr>
                <w:b/>
                <w:bCs/>
                <w:color w:val="auto"/>
                <w:kern w:val="0"/>
                <w:szCs w:val="24"/>
                <w:highlight w:val="none"/>
              </w:rPr>
            </w:pPr>
            <w:r>
              <w:rPr>
                <w:rFonts w:hint="eastAsia"/>
                <w:b/>
                <w:bCs/>
                <w:color w:val="auto"/>
                <w:kern w:val="0"/>
                <w:szCs w:val="24"/>
                <w:highlight w:val="none"/>
              </w:rPr>
              <w:t>监控内容</w:t>
            </w:r>
          </w:p>
        </w:tc>
        <w:tc>
          <w:tcPr>
            <w:tcW w:w="1701" w:type="dxa"/>
            <w:tcBorders>
              <w:top w:val="single" w:color="auto" w:sz="4" w:space="0"/>
              <w:left w:val="nil"/>
              <w:bottom w:val="single" w:color="auto" w:sz="4" w:space="0"/>
              <w:right w:val="single" w:color="auto" w:sz="4" w:space="0"/>
            </w:tcBorders>
            <w:shd w:val="clear" w:color="auto" w:fill="auto"/>
            <w:vAlign w:val="center"/>
          </w:tcPr>
          <w:p>
            <w:pPr>
              <w:spacing w:after="0" w:line="360" w:lineRule="auto"/>
              <w:ind w:left="0" w:right="0" w:firstLine="0"/>
              <w:jc w:val="center"/>
              <w:rPr>
                <w:b/>
                <w:bCs/>
                <w:color w:val="auto"/>
                <w:kern w:val="0"/>
                <w:szCs w:val="24"/>
                <w:highlight w:val="none"/>
              </w:rPr>
            </w:pPr>
            <w:r>
              <w:rPr>
                <w:rFonts w:hint="eastAsia"/>
                <w:b/>
                <w:bCs/>
                <w:color w:val="auto"/>
                <w:kern w:val="0"/>
                <w:szCs w:val="24"/>
                <w:highlight w:val="none"/>
              </w:rPr>
              <w:t>采集方式</w:t>
            </w:r>
          </w:p>
        </w:tc>
        <w:tc>
          <w:tcPr>
            <w:tcW w:w="1701" w:type="dxa"/>
            <w:tcBorders>
              <w:top w:val="single" w:color="auto" w:sz="4" w:space="0"/>
              <w:left w:val="nil"/>
              <w:bottom w:val="single" w:color="auto" w:sz="4" w:space="0"/>
              <w:right w:val="single" w:color="auto" w:sz="4" w:space="0"/>
            </w:tcBorders>
            <w:shd w:val="clear" w:color="auto" w:fill="auto"/>
            <w:vAlign w:val="center"/>
          </w:tcPr>
          <w:p>
            <w:pPr>
              <w:spacing w:after="0" w:line="360" w:lineRule="auto"/>
              <w:ind w:left="0" w:right="0" w:firstLine="0"/>
              <w:jc w:val="center"/>
              <w:rPr>
                <w:b/>
                <w:bCs/>
                <w:color w:val="auto"/>
                <w:kern w:val="0"/>
                <w:szCs w:val="24"/>
                <w:highlight w:val="none"/>
              </w:rPr>
            </w:pPr>
            <w:r>
              <w:rPr>
                <w:rFonts w:hint="eastAsia"/>
                <w:b/>
                <w:bCs/>
                <w:color w:val="auto"/>
                <w:kern w:val="0"/>
                <w:szCs w:val="24"/>
                <w:highlight w:val="none"/>
              </w:rPr>
              <w:t>平台对接</w:t>
            </w:r>
          </w:p>
        </w:tc>
      </w:tr>
      <w:tr>
        <w:tblPrEx>
          <w:tblCellMar>
            <w:top w:w="0" w:type="dxa"/>
            <w:left w:w="108" w:type="dxa"/>
            <w:bottom w:w="0" w:type="dxa"/>
            <w:right w:w="108" w:type="dxa"/>
          </w:tblCellMar>
        </w:tblPrEx>
        <w:trPr>
          <w:trHeight w:val="285" w:hRule="atLeast"/>
        </w:trPr>
        <w:tc>
          <w:tcPr>
            <w:tcW w:w="1560" w:type="dxa"/>
            <w:vMerge w:val="restart"/>
            <w:tcBorders>
              <w:top w:val="nil"/>
              <w:left w:val="single" w:color="auto" w:sz="4" w:space="0"/>
              <w:bottom w:val="single" w:color="auto" w:sz="4" w:space="0"/>
              <w:right w:val="single" w:color="auto" w:sz="4" w:space="0"/>
            </w:tcBorders>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供氧系统</w:t>
            </w:r>
          </w:p>
        </w:tc>
        <w:tc>
          <w:tcPr>
            <w:tcW w:w="1984" w:type="dxa"/>
            <w:tcBorders>
              <w:top w:val="nil"/>
              <w:left w:val="nil"/>
              <w:bottom w:val="single" w:color="auto" w:sz="4" w:space="0"/>
              <w:right w:val="single" w:color="auto" w:sz="4" w:space="0"/>
            </w:tcBorders>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液氧储罐</w:t>
            </w:r>
          </w:p>
        </w:tc>
        <w:tc>
          <w:tcPr>
            <w:tcW w:w="2268" w:type="dxa"/>
            <w:tcBorders>
              <w:top w:val="nil"/>
              <w:left w:val="nil"/>
              <w:bottom w:val="single" w:color="auto" w:sz="4" w:space="0"/>
              <w:right w:val="single" w:color="auto" w:sz="4" w:space="0"/>
            </w:tcBorders>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液位、压力</w:t>
            </w:r>
          </w:p>
        </w:tc>
        <w:tc>
          <w:tcPr>
            <w:tcW w:w="1701" w:type="dxa"/>
            <w:vMerge w:val="restart"/>
            <w:tcBorders>
              <w:top w:val="nil"/>
              <w:left w:val="single" w:color="auto" w:sz="4" w:space="0"/>
              <w:bottom w:val="single" w:color="auto" w:sz="4" w:space="0"/>
              <w:right w:val="single" w:color="auto" w:sz="4" w:space="0"/>
            </w:tcBorders>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氧气监测系统</w:t>
            </w:r>
          </w:p>
        </w:tc>
        <w:tc>
          <w:tcPr>
            <w:tcW w:w="1701" w:type="dxa"/>
            <w:vMerge w:val="restart"/>
            <w:tcBorders>
              <w:top w:val="nil"/>
              <w:left w:val="single" w:color="auto" w:sz="4" w:space="0"/>
              <w:bottom w:val="single" w:color="auto" w:sz="4" w:space="0"/>
              <w:right w:val="single" w:color="auto" w:sz="4" w:space="0"/>
            </w:tcBorders>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由医用气体系统上传至医院后勤智慧运维平台</w:t>
            </w:r>
          </w:p>
        </w:tc>
      </w:tr>
      <w:tr>
        <w:tblPrEx>
          <w:tblCellMar>
            <w:top w:w="0" w:type="dxa"/>
            <w:left w:w="108" w:type="dxa"/>
            <w:bottom w:w="0" w:type="dxa"/>
            <w:right w:w="108" w:type="dxa"/>
          </w:tblCellMar>
        </w:tblPrEx>
        <w:trPr>
          <w:trHeight w:val="285" w:hRule="atLeast"/>
        </w:trPr>
        <w:tc>
          <w:tcPr>
            <w:tcW w:w="1560" w:type="dxa"/>
            <w:vMerge w:val="continue"/>
            <w:tcBorders>
              <w:top w:val="nil"/>
              <w:left w:val="single" w:color="auto" w:sz="4" w:space="0"/>
              <w:bottom w:val="single" w:color="auto" w:sz="4" w:space="0"/>
              <w:right w:val="single" w:color="auto" w:sz="4" w:space="0"/>
            </w:tcBorders>
            <w:vAlign w:val="center"/>
          </w:tcPr>
          <w:p>
            <w:pPr>
              <w:spacing w:after="0" w:line="360" w:lineRule="auto"/>
              <w:ind w:left="0" w:right="0" w:firstLine="0"/>
              <w:rPr>
                <w:color w:val="auto"/>
                <w:kern w:val="0"/>
                <w:szCs w:val="24"/>
                <w:highlight w:val="none"/>
              </w:rPr>
            </w:pPr>
          </w:p>
        </w:tc>
        <w:tc>
          <w:tcPr>
            <w:tcW w:w="1984" w:type="dxa"/>
            <w:tcBorders>
              <w:top w:val="nil"/>
              <w:left w:val="nil"/>
              <w:bottom w:val="single" w:color="auto" w:sz="4" w:space="0"/>
              <w:right w:val="single" w:color="auto" w:sz="4" w:space="0"/>
            </w:tcBorders>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汇流排</w:t>
            </w:r>
          </w:p>
        </w:tc>
        <w:tc>
          <w:tcPr>
            <w:tcW w:w="2268" w:type="dxa"/>
            <w:tcBorders>
              <w:top w:val="nil"/>
              <w:left w:val="nil"/>
              <w:bottom w:val="single" w:color="auto" w:sz="4" w:space="0"/>
              <w:right w:val="single" w:color="auto" w:sz="4" w:space="0"/>
            </w:tcBorders>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管路压力</w:t>
            </w:r>
          </w:p>
        </w:tc>
        <w:tc>
          <w:tcPr>
            <w:tcW w:w="1701" w:type="dxa"/>
            <w:vMerge w:val="continue"/>
            <w:tcBorders>
              <w:top w:val="nil"/>
              <w:left w:val="single" w:color="auto" w:sz="4" w:space="0"/>
              <w:bottom w:val="single" w:color="auto" w:sz="4" w:space="0"/>
              <w:right w:val="single" w:color="auto" w:sz="4" w:space="0"/>
            </w:tcBorders>
            <w:vAlign w:val="center"/>
          </w:tcPr>
          <w:p>
            <w:pPr>
              <w:spacing w:after="0" w:line="360" w:lineRule="auto"/>
              <w:ind w:left="0" w:right="0" w:firstLine="0"/>
              <w:rPr>
                <w:color w:val="auto"/>
                <w:kern w:val="0"/>
                <w:szCs w:val="24"/>
                <w:highlight w:val="none"/>
              </w:rPr>
            </w:pPr>
          </w:p>
        </w:tc>
        <w:tc>
          <w:tcPr>
            <w:tcW w:w="1701" w:type="dxa"/>
            <w:vMerge w:val="continue"/>
            <w:tcBorders>
              <w:top w:val="nil"/>
              <w:left w:val="single" w:color="auto" w:sz="4" w:space="0"/>
              <w:bottom w:val="single" w:color="auto" w:sz="4" w:space="0"/>
              <w:right w:val="single" w:color="auto" w:sz="4" w:space="0"/>
            </w:tcBorders>
            <w:vAlign w:val="center"/>
          </w:tcPr>
          <w:p>
            <w:pPr>
              <w:spacing w:after="0" w:line="360" w:lineRule="auto"/>
              <w:ind w:left="0" w:right="0" w:firstLine="0"/>
              <w:rPr>
                <w:color w:val="auto"/>
                <w:kern w:val="0"/>
                <w:szCs w:val="24"/>
                <w:highlight w:val="none"/>
              </w:rPr>
            </w:pPr>
          </w:p>
        </w:tc>
      </w:tr>
      <w:tr>
        <w:tblPrEx>
          <w:tblCellMar>
            <w:top w:w="0" w:type="dxa"/>
            <w:left w:w="108" w:type="dxa"/>
            <w:bottom w:w="0" w:type="dxa"/>
            <w:right w:w="108" w:type="dxa"/>
          </w:tblCellMar>
        </w:tblPrEx>
        <w:trPr>
          <w:trHeight w:val="285" w:hRule="atLeast"/>
        </w:trPr>
        <w:tc>
          <w:tcPr>
            <w:tcW w:w="1560" w:type="dxa"/>
            <w:vMerge w:val="continue"/>
            <w:tcBorders>
              <w:top w:val="nil"/>
              <w:left w:val="single" w:color="auto" w:sz="4" w:space="0"/>
              <w:bottom w:val="single" w:color="auto" w:sz="4" w:space="0"/>
              <w:right w:val="single" w:color="auto" w:sz="4" w:space="0"/>
            </w:tcBorders>
            <w:vAlign w:val="center"/>
          </w:tcPr>
          <w:p>
            <w:pPr>
              <w:spacing w:after="0" w:line="360" w:lineRule="auto"/>
              <w:ind w:left="0" w:right="0" w:firstLine="0"/>
              <w:rPr>
                <w:color w:val="auto"/>
                <w:kern w:val="0"/>
                <w:szCs w:val="24"/>
                <w:highlight w:val="none"/>
              </w:rPr>
            </w:pPr>
          </w:p>
        </w:tc>
        <w:tc>
          <w:tcPr>
            <w:tcW w:w="1984" w:type="dxa"/>
            <w:tcBorders>
              <w:top w:val="nil"/>
              <w:left w:val="nil"/>
              <w:bottom w:val="single" w:color="auto" w:sz="4" w:space="0"/>
              <w:right w:val="single" w:color="auto" w:sz="4" w:space="0"/>
            </w:tcBorders>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末端用氧管路</w:t>
            </w:r>
          </w:p>
        </w:tc>
        <w:tc>
          <w:tcPr>
            <w:tcW w:w="2268" w:type="dxa"/>
            <w:tcBorders>
              <w:top w:val="nil"/>
              <w:left w:val="nil"/>
              <w:bottom w:val="single" w:color="auto" w:sz="4" w:space="0"/>
              <w:right w:val="single" w:color="auto" w:sz="4" w:space="0"/>
            </w:tcBorders>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压力</w:t>
            </w:r>
          </w:p>
        </w:tc>
        <w:tc>
          <w:tcPr>
            <w:tcW w:w="1701" w:type="dxa"/>
            <w:vMerge w:val="continue"/>
            <w:tcBorders>
              <w:top w:val="nil"/>
              <w:left w:val="single" w:color="auto" w:sz="4" w:space="0"/>
              <w:bottom w:val="single" w:color="auto" w:sz="4" w:space="0"/>
              <w:right w:val="single" w:color="auto" w:sz="4" w:space="0"/>
            </w:tcBorders>
            <w:vAlign w:val="center"/>
          </w:tcPr>
          <w:p>
            <w:pPr>
              <w:spacing w:after="0" w:line="360" w:lineRule="auto"/>
              <w:ind w:left="0" w:right="0" w:firstLine="0"/>
              <w:rPr>
                <w:color w:val="auto"/>
                <w:kern w:val="0"/>
                <w:szCs w:val="24"/>
                <w:highlight w:val="none"/>
              </w:rPr>
            </w:pPr>
          </w:p>
        </w:tc>
        <w:tc>
          <w:tcPr>
            <w:tcW w:w="1701" w:type="dxa"/>
            <w:vMerge w:val="continue"/>
            <w:tcBorders>
              <w:top w:val="nil"/>
              <w:left w:val="single" w:color="auto" w:sz="4" w:space="0"/>
              <w:bottom w:val="single" w:color="auto" w:sz="4" w:space="0"/>
              <w:right w:val="single" w:color="auto" w:sz="4" w:space="0"/>
            </w:tcBorders>
            <w:vAlign w:val="center"/>
          </w:tcPr>
          <w:p>
            <w:pPr>
              <w:spacing w:after="0" w:line="360" w:lineRule="auto"/>
              <w:ind w:left="0" w:right="0" w:firstLine="0"/>
              <w:rPr>
                <w:color w:val="auto"/>
                <w:kern w:val="0"/>
                <w:szCs w:val="24"/>
                <w:highlight w:val="none"/>
              </w:rPr>
            </w:pPr>
          </w:p>
        </w:tc>
      </w:tr>
      <w:tr>
        <w:tblPrEx>
          <w:tblCellMar>
            <w:top w:w="0" w:type="dxa"/>
            <w:left w:w="108" w:type="dxa"/>
            <w:bottom w:w="0" w:type="dxa"/>
            <w:right w:w="108" w:type="dxa"/>
          </w:tblCellMar>
        </w:tblPrEx>
        <w:trPr>
          <w:trHeight w:val="50" w:hRule="atLeast"/>
        </w:trPr>
        <w:tc>
          <w:tcPr>
            <w:tcW w:w="1560" w:type="dxa"/>
            <w:vMerge w:val="continue"/>
            <w:tcBorders>
              <w:top w:val="nil"/>
              <w:left w:val="single" w:color="auto" w:sz="4" w:space="0"/>
              <w:bottom w:val="single" w:color="auto" w:sz="4" w:space="0"/>
              <w:right w:val="single" w:color="auto" w:sz="4" w:space="0"/>
            </w:tcBorders>
            <w:vAlign w:val="center"/>
          </w:tcPr>
          <w:p>
            <w:pPr>
              <w:spacing w:after="0" w:line="360" w:lineRule="auto"/>
              <w:ind w:left="0" w:right="0" w:firstLine="0"/>
              <w:rPr>
                <w:color w:val="auto"/>
                <w:kern w:val="0"/>
                <w:szCs w:val="24"/>
                <w:highlight w:val="none"/>
              </w:rPr>
            </w:pPr>
          </w:p>
        </w:tc>
        <w:tc>
          <w:tcPr>
            <w:tcW w:w="1984" w:type="dxa"/>
            <w:tcBorders>
              <w:top w:val="nil"/>
              <w:left w:val="nil"/>
              <w:bottom w:val="single" w:color="auto" w:sz="4" w:space="0"/>
              <w:right w:val="single" w:color="auto" w:sz="4" w:space="0"/>
            </w:tcBorders>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氧气用量</w:t>
            </w:r>
          </w:p>
        </w:tc>
        <w:tc>
          <w:tcPr>
            <w:tcW w:w="2268" w:type="dxa"/>
            <w:tcBorders>
              <w:top w:val="nil"/>
              <w:left w:val="nil"/>
              <w:bottom w:val="single" w:color="auto" w:sz="4" w:space="0"/>
              <w:right w:val="single" w:color="auto" w:sz="4" w:space="0"/>
            </w:tcBorders>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总用氧量</w:t>
            </w:r>
          </w:p>
        </w:tc>
        <w:tc>
          <w:tcPr>
            <w:tcW w:w="1701" w:type="dxa"/>
            <w:vMerge w:val="continue"/>
            <w:tcBorders>
              <w:top w:val="nil"/>
              <w:left w:val="single" w:color="auto" w:sz="4" w:space="0"/>
              <w:bottom w:val="single" w:color="auto" w:sz="4" w:space="0"/>
              <w:right w:val="single" w:color="auto" w:sz="4" w:space="0"/>
            </w:tcBorders>
            <w:vAlign w:val="center"/>
          </w:tcPr>
          <w:p>
            <w:pPr>
              <w:spacing w:after="0" w:line="360" w:lineRule="auto"/>
              <w:ind w:left="0" w:right="0" w:firstLine="0"/>
              <w:rPr>
                <w:color w:val="auto"/>
                <w:kern w:val="0"/>
                <w:szCs w:val="24"/>
                <w:highlight w:val="none"/>
              </w:rPr>
            </w:pPr>
          </w:p>
        </w:tc>
        <w:tc>
          <w:tcPr>
            <w:tcW w:w="1701" w:type="dxa"/>
            <w:vMerge w:val="continue"/>
            <w:tcBorders>
              <w:top w:val="nil"/>
              <w:left w:val="single" w:color="auto" w:sz="4" w:space="0"/>
              <w:bottom w:val="single" w:color="auto" w:sz="4" w:space="0"/>
              <w:right w:val="single" w:color="auto" w:sz="4" w:space="0"/>
            </w:tcBorders>
            <w:vAlign w:val="center"/>
          </w:tcPr>
          <w:p>
            <w:pPr>
              <w:spacing w:after="0" w:line="360" w:lineRule="auto"/>
              <w:ind w:left="0" w:right="0" w:firstLine="0"/>
              <w:rPr>
                <w:color w:val="auto"/>
                <w:kern w:val="0"/>
                <w:szCs w:val="24"/>
                <w:highlight w:val="none"/>
              </w:rPr>
            </w:pPr>
          </w:p>
        </w:tc>
      </w:tr>
      <w:tr>
        <w:tblPrEx>
          <w:tblCellMar>
            <w:top w:w="0" w:type="dxa"/>
            <w:left w:w="108" w:type="dxa"/>
            <w:bottom w:w="0" w:type="dxa"/>
            <w:right w:w="108" w:type="dxa"/>
          </w:tblCellMar>
        </w:tblPrEx>
        <w:trPr>
          <w:trHeight w:val="184" w:hRule="atLeast"/>
        </w:trPr>
        <w:tc>
          <w:tcPr>
            <w:tcW w:w="1560" w:type="dxa"/>
            <w:vMerge w:val="restart"/>
            <w:tcBorders>
              <w:top w:val="nil"/>
              <w:left w:val="single" w:color="auto" w:sz="4" w:space="0"/>
              <w:bottom w:val="single" w:color="auto" w:sz="4" w:space="0"/>
              <w:right w:val="single" w:color="auto" w:sz="4" w:space="0"/>
            </w:tcBorders>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负压吸引系统</w:t>
            </w:r>
          </w:p>
        </w:tc>
        <w:tc>
          <w:tcPr>
            <w:tcW w:w="1984" w:type="dxa"/>
            <w:tcBorders>
              <w:top w:val="nil"/>
              <w:left w:val="nil"/>
              <w:bottom w:val="single" w:color="auto" w:sz="4" w:space="0"/>
              <w:right w:val="single" w:color="auto" w:sz="4" w:space="0"/>
            </w:tcBorders>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真空泵</w:t>
            </w:r>
          </w:p>
        </w:tc>
        <w:tc>
          <w:tcPr>
            <w:tcW w:w="2268" w:type="dxa"/>
            <w:tcBorders>
              <w:top w:val="nil"/>
              <w:left w:val="nil"/>
              <w:bottom w:val="single" w:color="auto" w:sz="4" w:space="0"/>
              <w:right w:val="single" w:color="auto" w:sz="4" w:space="0"/>
            </w:tcBorders>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运行/停止、故障</w:t>
            </w:r>
          </w:p>
        </w:tc>
        <w:tc>
          <w:tcPr>
            <w:tcW w:w="1701" w:type="dxa"/>
            <w:vMerge w:val="restart"/>
            <w:tcBorders>
              <w:top w:val="nil"/>
              <w:left w:val="single" w:color="auto" w:sz="4" w:space="0"/>
              <w:bottom w:val="single" w:color="auto" w:sz="4" w:space="0"/>
              <w:right w:val="single" w:color="auto" w:sz="4" w:space="0"/>
            </w:tcBorders>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吸引监测系统</w:t>
            </w:r>
          </w:p>
        </w:tc>
        <w:tc>
          <w:tcPr>
            <w:tcW w:w="1701" w:type="dxa"/>
            <w:vMerge w:val="restart"/>
            <w:tcBorders>
              <w:top w:val="nil"/>
              <w:left w:val="single" w:color="auto" w:sz="4" w:space="0"/>
              <w:bottom w:val="single" w:color="auto" w:sz="4" w:space="0"/>
              <w:right w:val="single" w:color="auto" w:sz="4" w:space="0"/>
            </w:tcBorders>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由医用气体系统上传至医院后勤智慧运维平台</w:t>
            </w:r>
          </w:p>
        </w:tc>
      </w:tr>
      <w:tr>
        <w:tblPrEx>
          <w:tblCellMar>
            <w:top w:w="0" w:type="dxa"/>
            <w:left w:w="108" w:type="dxa"/>
            <w:bottom w:w="0" w:type="dxa"/>
            <w:right w:w="108" w:type="dxa"/>
          </w:tblCellMar>
        </w:tblPrEx>
        <w:trPr>
          <w:trHeight w:val="285" w:hRule="atLeast"/>
        </w:trPr>
        <w:tc>
          <w:tcPr>
            <w:tcW w:w="1560" w:type="dxa"/>
            <w:vMerge w:val="continue"/>
            <w:tcBorders>
              <w:top w:val="nil"/>
              <w:left w:val="single" w:color="auto" w:sz="4" w:space="0"/>
              <w:bottom w:val="single" w:color="auto" w:sz="4" w:space="0"/>
              <w:right w:val="single" w:color="auto" w:sz="4" w:space="0"/>
            </w:tcBorders>
            <w:vAlign w:val="center"/>
          </w:tcPr>
          <w:p>
            <w:pPr>
              <w:spacing w:after="0" w:line="360" w:lineRule="auto"/>
              <w:ind w:left="0" w:right="0" w:firstLine="0"/>
              <w:rPr>
                <w:color w:val="auto"/>
                <w:kern w:val="0"/>
                <w:szCs w:val="24"/>
                <w:highlight w:val="none"/>
              </w:rPr>
            </w:pPr>
          </w:p>
        </w:tc>
        <w:tc>
          <w:tcPr>
            <w:tcW w:w="1984" w:type="dxa"/>
            <w:tcBorders>
              <w:top w:val="nil"/>
              <w:left w:val="nil"/>
              <w:bottom w:val="single" w:color="auto" w:sz="4" w:space="0"/>
              <w:right w:val="single" w:color="auto" w:sz="4" w:space="0"/>
            </w:tcBorders>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负压罐</w:t>
            </w:r>
          </w:p>
        </w:tc>
        <w:tc>
          <w:tcPr>
            <w:tcW w:w="2268" w:type="dxa"/>
            <w:tcBorders>
              <w:top w:val="nil"/>
              <w:left w:val="nil"/>
              <w:bottom w:val="single" w:color="auto" w:sz="4" w:space="0"/>
              <w:right w:val="single" w:color="auto" w:sz="4" w:space="0"/>
            </w:tcBorders>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压力</w:t>
            </w:r>
          </w:p>
        </w:tc>
        <w:tc>
          <w:tcPr>
            <w:tcW w:w="1701" w:type="dxa"/>
            <w:vMerge w:val="continue"/>
            <w:tcBorders>
              <w:top w:val="nil"/>
              <w:left w:val="single" w:color="auto" w:sz="4" w:space="0"/>
              <w:bottom w:val="single" w:color="auto" w:sz="4" w:space="0"/>
              <w:right w:val="single" w:color="auto" w:sz="4" w:space="0"/>
            </w:tcBorders>
            <w:vAlign w:val="center"/>
          </w:tcPr>
          <w:p>
            <w:pPr>
              <w:spacing w:after="0" w:line="360" w:lineRule="auto"/>
              <w:ind w:left="0" w:right="0" w:firstLine="0"/>
              <w:rPr>
                <w:color w:val="auto"/>
                <w:kern w:val="0"/>
                <w:szCs w:val="24"/>
                <w:highlight w:val="none"/>
              </w:rPr>
            </w:pPr>
          </w:p>
        </w:tc>
        <w:tc>
          <w:tcPr>
            <w:tcW w:w="1701" w:type="dxa"/>
            <w:vMerge w:val="continue"/>
            <w:tcBorders>
              <w:top w:val="nil"/>
              <w:left w:val="single" w:color="auto" w:sz="4" w:space="0"/>
              <w:bottom w:val="single" w:color="auto" w:sz="4" w:space="0"/>
              <w:right w:val="single" w:color="auto" w:sz="4" w:space="0"/>
            </w:tcBorders>
            <w:vAlign w:val="center"/>
          </w:tcPr>
          <w:p>
            <w:pPr>
              <w:spacing w:after="0" w:line="360" w:lineRule="auto"/>
              <w:ind w:left="0" w:right="0" w:firstLine="0"/>
              <w:rPr>
                <w:color w:val="auto"/>
                <w:kern w:val="0"/>
                <w:szCs w:val="24"/>
                <w:highlight w:val="none"/>
              </w:rPr>
            </w:pPr>
          </w:p>
        </w:tc>
      </w:tr>
      <w:tr>
        <w:tblPrEx>
          <w:tblCellMar>
            <w:top w:w="0" w:type="dxa"/>
            <w:left w:w="108" w:type="dxa"/>
            <w:bottom w:w="0" w:type="dxa"/>
            <w:right w:w="108" w:type="dxa"/>
          </w:tblCellMar>
        </w:tblPrEx>
        <w:trPr>
          <w:trHeight w:val="285" w:hRule="atLeast"/>
        </w:trPr>
        <w:tc>
          <w:tcPr>
            <w:tcW w:w="1560" w:type="dxa"/>
            <w:vMerge w:val="continue"/>
            <w:tcBorders>
              <w:top w:val="nil"/>
              <w:left w:val="single" w:color="auto" w:sz="4" w:space="0"/>
              <w:bottom w:val="single" w:color="auto" w:sz="4" w:space="0"/>
              <w:right w:val="single" w:color="auto" w:sz="4" w:space="0"/>
            </w:tcBorders>
            <w:vAlign w:val="center"/>
          </w:tcPr>
          <w:p>
            <w:pPr>
              <w:spacing w:after="0" w:line="360" w:lineRule="auto"/>
              <w:ind w:left="0" w:right="0" w:firstLine="0"/>
              <w:rPr>
                <w:color w:val="auto"/>
                <w:kern w:val="0"/>
                <w:szCs w:val="24"/>
                <w:highlight w:val="none"/>
              </w:rPr>
            </w:pPr>
          </w:p>
        </w:tc>
        <w:tc>
          <w:tcPr>
            <w:tcW w:w="1984" w:type="dxa"/>
            <w:tcBorders>
              <w:top w:val="nil"/>
              <w:left w:val="nil"/>
              <w:bottom w:val="single" w:color="auto" w:sz="4" w:space="0"/>
              <w:right w:val="single" w:color="auto" w:sz="4" w:space="0"/>
            </w:tcBorders>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负压分气缸</w:t>
            </w:r>
          </w:p>
        </w:tc>
        <w:tc>
          <w:tcPr>
            <w:tcW w:w="2268" w:type="dxa"/>
            <w:tcBorders>
              <w:top w:val="nil"/>
              <w:left w:val="nil"/>
              <w:bottom w:val="single" w:color="auto" w:sz="4" w:space="0"/>
              <w:right w:val="single" w:color="auto" w:sz="4" w:space="0"/>
            </w:tcBorders>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管路压力</w:t>
            </w:r>
          </w:p>
        </w:tc>
        <w:tc>
          <w:tcPr>
            <w:tcW w:w="1701" w:type="dxa"/>
            <w:vMerge w:val="continue"/>
            <w:tcBorders>
              <w:top w:val="nil"/>
              <w:left w:val="single" w:color="auto" w:sz="4" w:space="0"/>
              <w:bottom w:val="single" w:color="auto" w:sz="4" w:space="0"/>
              <w:right w:val="single" w:color="auto" w:sz="4" w:space="0"/>
            </w:tcBorders>
            <w:vAlign w:val="center"/>
          </w:tcPr>
          <w:p>
            <w:pPr>
              <w:spacing w:after="0" w:line="360" w:lineRule="auto"/>
              <w:ind w:left="0" w:right="0" w:firstLine="0"/>
              <w:rPr>
                <w:color w:val="auto"/>
                <w:kern w:val="0"/>
                <w:szCs w:val="24"/>
                <w:highlight w:val="none"/>
              </w:rPr>
            </w:pPr>
          </w:p>
        </w:tc>
        <w:tc>
          <w:tcPr>
            <w:tcW w:w="1701" w:type="dxa"/>
            <w:vMerge w:val="continue"/>
            <w:tcBorders>
              <w:top w:val="nil"/>
              <w:left w:val="single" w:color="auto" w:sz="4" w:space="0"/>
              <w:bottom w:val="single" w:color="auto" w:sz="4" w:space="0"/>
              <w:right w:val="single" w:color="auto" w:sz="4" w:space="0"/>
            </w:tcBorders>
            <w:vAlign w:val="center"/>
          </w:tcPr>
          <w:p>
            <w:pPr>
              <w:spacing w:after="0" w:line="360" w:lineRule="auto"/>
              <w:ind w:left="0" w:right="0" w:firstLine="0"/>
              <w:rPr>
                <w:color w:val="auto"/>
                <w:kern w:val="0"/>
                <w:szCs w:val="24"/>
                <w:highlight w:val="none"/>
              </w:rPr>
            </w:pPr>
          </w:p>
        </w:tc>
      </w:tr>
      <w:tr>
        <w:tblPrEx>
          <w:tblCellMar>
            <w:top w:w="0" w:type="dxa"/>
            <w:left w:w="108" w:type="dxa"/>
            <w:bottom w:w="0" w:type="dxa"/>
            <w:right w:w="108" w:type="dxa"/>
          </w:tblCellMar>
        </w:tblPrEx>
        <w:trPr>
          <w:trHeight w:val="1140" w:hRule="atLeast"/>
        </w:trPr>
        <w:tc>
          <w:tcPr>
            <w:tcW w:w="1560" w:type="dxa"/>
            <w:vMerge w:val="continue"/>
            <w:tcBorders>
              <w:top w:val="nil"/>
              <w:left w:val="single" w:color="auto" w:sz="4" w:space="0"/>
              <w:bottom w:val="single" w:color="auto" w:sz="4" w:space="0"/>
              <w:right w:val="single" w:color="auto" w:sz="4" w:space="0"/>
            </w:tcBorders>
            <w:vAlign w:val="center"/>
          </w:tcPr>
          <w:p>
            <w:pPr>
              <w:spacing w:after="0" w:line="360" w:lineRule="auto"/>
              <w:ind w:left="0" w:right="0" w:firstLine="0"/>
              <w:rPr>
                <w:color w:val="auto"/>
                <w:kern w:val="0"/>
                <w:szCs w:val="24"/>
                <w:highlight w:val="none"/>
              </w:rPr>
            </w:pPr>
          </w:p>
        </w:tc>
        <w:tc>
          <w:tcPr>
            <w:tcW w:w="1984" w:type="dxa"/>
            <w:tcBorders>
              <w:top w:val="nil"/>
              <w:left w:val="nil"/>
              <w:bottom w:val="single" w:color="auto" w:sz="4" w:space="0"/>
              <w:right w:val="single" w:color="auto" w:sz="4" w:space="0"/>
            </w:tcBorders>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设备用能</w:t>
            </w:r>
          </w:p>
        </w:tc>
        <w:tc>
          <w:tcPr>
            <w:tcW w:w="2268" w:type="dxa"/>
            <w:tcBorders>
              <w:top w:val="nil"/>
              <w:left w:val="nil"/>
              <w:bottom w:val="single" w:color="auto" w:sz="4" w:space="0"/>
              <w:right w:val="single" w:color="auto" w:sz="4" w:space="0"/>
            </w:tcBorders>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供电参数：电流、电压、功率、有功无功电度</w:t>
            </w:r>
          </w:p>
        </w:tc>
        <w:tc>
          <w:tcPr>
            <w:tcW w:w="1701" w:type="dxa"/>
            <w:tcBorders>
              <w:top w:val="nil"/>
              <w:left w:val="nil"/>
              <w:bottom w:val="single" w:color="auto" w:sz="4" w:space="0"/>
              <w:right w:val="single" w:color="auto" w:sz="4" w:space="0"/>
            </w:tcBorders>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智能电表</w:t>
            </w:r>
          </w:p>
        </w:tc>
        <w:tc>
          <w:tcPr>
            <w:tcW w:w="1701" w:type="dxa"/>
            <w:tcBorders>
              <w:top w:val="nil"/>
              <w:left w:val="nil"/>
              <w:bottom w:val="single" w:color="auto" w:sz="4" w:space="0"/>
              <w:right w:val="single" w:color="auto" w:sz="4" w:space="0"/>
            </w:tcBorders>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由能源管理系统上传至医院后勤智慧运维平台</w:t>
            </w:r>
          </w:p>
        </w:tc>
      </w:tr>
      <w:tr>
        <w:tblPrEx>
          <w:tblCellMar>
            <w:top w:w="0" w:type="dxa"/>
            <w:left w:w="108" w:type="dxa"/>
            <w:bottom w:w="0" w:type="dxa"/>
            <w:right w:w="108" w:type="dxa"/>
          </w:tblCellMar>
        </w:tblPrEx>
        <w:trPr>
          <w:trHeight w:val="570" w:hRule="atLeast"/>
        </w:trPr>
        <w:tc>
          <w:tcPr>
            <w:tcW w:w="1560" w:type="dxa"/>
            <w:vMerge w:val="restart"/>
            <w:tcBorders>
              <w:top w:val="nil"/>
              <w:left w:val="single" w:color="auto" w:sz="4" w:space="0"/>
              <w:bottom w:val="single" w:color="auto" w:sz="4" w:space="0"/>
              <w:right w:val="single" w:color="auto" w:sz="4" w:space="0"/>
            </w:tcBorders>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正压系统</w:t>
            </w:r>
          </w:p>
        </w:tc>
        <w:tc>
          <w:tcPr>
            <w:tcW w:w="1984" w:type="dxa"/>
            <w:tcBorders>
              <w:top w:val="nil"/>
              <w:left w:val="nil"/>
              <w:bottom w:val="single" w:color="auto" w:sz="4" w:space="0"/>
              <w:right w:val="single" w:color="auto" w:sz="4" w:space="0"/>
            </w:tcBorders>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空压机</w:t>
            </w:r>
          </w:p>
        </w:tc>
        <w:tc>
          <w:tcPr>
            <w:tcW w:w="2268" w:type="dxa"/>
            <w:tcBorders>
              <w:top w:val="nil"/>
              <w:left w:val="nil"/>
              <w:bottom w:val="single" w:color="auto" w:sz="4" w:space="0"/>
              <w:right w:val="single" w:color="auto" w:sz="4" w:space="0"/>
            </w:tcBorders>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运行/停止、故障</w:t>
            </w:r>
          </w:p>
        </w:tc>
        <w:tc>
          <w:tcPr>
            <w:tcW w:w="1701" w:type="dxa"/>
            <w:vMerge w:val="restart"/>
            <w:tcBorders>
              <w:top w:val="nil"/>
              <w:left w:val="single" w:color="auto" w:sz="4" w:space="0"/>
              <w:bottom w:val="single" w:color="auto" w:sz="4" w:space="0"/>
              <w:right w:val="single" w:color="auto" w:sz="4" w:space="0"/>
            </w:tcBorders>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正压监测系统</w:t>
            </w:r>
          </w:p>
        </w:tc>
        <w:tc>
          <w:tcPr>
            <w:tcW w:w="1701" w:type="dxa"/>
            <w:vMerge w:val="restart"/>
            <w:tcBorders>
              <w:top w:val="nil"/>
              <w:left w:val="single" w:color="auto" w:sz="4" w:space="0"/>
              <w:bottom w:val="single" w:color="auto" w:sz="4" w:space="0"/>
              <w:right w:val="single" w:color="auto" w:sz="4" w:space="0"/>
            </w:tcBorders>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由医用气体系统上传至医院后勤智慧运维平台</w:t>
            </w:r>
          </w:p>
        </w:tc>
      </w:tr>
      <w:tr>
        <w:tblPrEx>
          <w:tblCellMar>
            <w:top w:w="0" w:type="dxa"/>
            <w:left w:w="108" w:type="dxa"/>
            <w:bottom w:w="0" w:type="dxa"/>
            <w:right w:w="108" w:type="dxa"/>
          </w:tblCellMar>
        </w:tblPrEx>
        <w:trPr>
          <w:trHeight w:val="285" w:hRule="atLeast"/>
        </w:trPr>
        <w:tc>
          <w:tcPr>
            <w:tcW w:w="1560" w:type="dxa"/>
            <w:vMerge w:val="continue"/>
            <w:tcBorders>
              <w:top w:val="nil"/>
              <w:left w:val="single" w:color="auto" w:sz="4" w:space="0"/>
              <w:bottom w:val="single" w:color="auto" w:sz="4" w:space="0"/>
              <w:right w:val="single" w:color="auto" w:sz="4" w:space="0"/>
            </w:tcBorders>
            <w:vAlign w:val="center"/>
          </w:tcPr>
          <w:p>
            <w:pPr>
              <w:spacing w:after="0" w:line="360" w:lineRule="auto"/>
              <w:ind w:left="0" w:right="0" w:firstLine="0"/>
              <w:rPr>
                <w:color w:val="auto"/>
                <w:kern w:val="0"/>
                <w:szCs w:val="24"/>
                <w:highlight w:val="none"/>
              </w:rPr>
            </w:pPr>
          </w:p>
        </w:tc>
        <w:tc>
          <w:tcPr>
            <w:tcW w:w="1984" w:type="dxa"/>
            <w:tcBorders>
              <w:top w:val="nil"/>
              <w:left w:val="nil"/>
              <w:bottom w:val="single" w:color="auto" w:sz="4" w:space="0"/>
              <w:right w:val="single" w:color="auto" w:sz="4" w:space="0"/>
            </w:tcBorders>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储气罐</w:t>
            </w:r>
          </w:p>
        </w:tc>
        <w:tc>
          <w:tcPr>
            <w:tcW w:w="2268" w:type="dxa"/>
            <w:tcBorders>
              <w:top w:val="nil"/>
              <w:left w:val="nil"/>
              <w:bottom w:val="single" w:color="auto" w:sz="4" w:space="0"/>
              <w:right w:val="single" w:color="auto" w:sz="4" w:space="0"/>
            </w:tcBorders>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压力</w:t>
            </w:r>
          </w:p>
        </w:tc>
        <w:tc>
          <w:tcPr>
            <w:tcW w:w="1701" w:type="dxa"/>
            <w:vMerge w:val="continue"/>
            <w:tcBorders>
              <w:top w:val="nil"/>
              <w:left w:val="single" w:color="auto" w:sz="4" w:space="0"/>
              <w:bottom w:val="single" w:color="auto" w:sz="4" w:space="0"/>
              <w:right w:val="single" w:color="auto" w:sz="4" w:space="0"/>
            </w:tcBorders>
            <w:vAlign w:val="center"/>
          </w:tcPr>
          <w:p>
            <w:pPr>
              <w:spacing w:after="0" w:line="360" w:lineRule="auto"/>
              <w:ind w:left="0" w:right="0" w:firstLine="0"/>
              <w:rPr>
                <w:color w:val="auto"/>
                <w:kern w:val="0"/>
                <w:szCs w:val="24"/>
                <w:highlight w:val="none"/>
              </w:rPr>
            </w:pPr>
          </w:p>
        </w:tc>
        <w:tc>
          <w:tcPr>
            <w:tcW w:w="1701" w:type="dxa"/>
            <w:vMerge w:val="continue"/>
            <w:tcBorders>
              <w:top w:val="nil"/>
              <w:left w:val="single" w:color="auto" w:sz="4" w:space="0"/>
              <w:bottom w:val="single" w:color="auto" w:sz="4" w:space="0"/>
              <w:right w:val="single" w:color="auto" w:sz="4" w:space="0"/>
            </w:tcBorders>
            <w:vAlign w:val="center"/>
          </w:tcPr>
          <w:p>
            <w:pPr>
              <w:spacing w:after="0" w:line="360" w:lineRule="auto"/>
              <w:ind w:left="0" w:right="0" w:firstLine="0"/>
              <w:rPr>
                <w:color w:val="auto"/>
                <w:kern w:val="0"/>
                <w:szCs w:val="24"/>
                <w:highlight w:val="none"/>
              </w:rPr>
            </w:pPr>
          </w:p>
        </w:tc>
      </w:tr>
      <w:tr>
        <w:tblPrEx>
          <w:tblCellMar>
            <w:top w:w="0" w:type="dxa"/>
            <w:left w:w="108" w:type="dxa"/>
            <w:bottom w:w="0" w:type="dxa"/>
            <w:right w:w="108" w:type="dxa"/>
          </w:tblCellMar>
        </w:tblPrEx>
        <w:trPr>
          <w:trHeight w:val="285" w:hRule="atLeast"/>
        </w:trPr>
        <w:tc>
          <w:tcPr>
            <w:tcW w:w="1560" w:type="dxa"/>
            <w:vMerge w:val="continue"/>
            <w:tcBorders>
              <w:top w:val="nil"/>
              <w:left w:val="single" w:color="auto" w:sz="4" w:space="0"/>
              <w:bottom w:val="single" w:color="auto" w:sz="4" w:space="0"/>
              <w:right w:val="single" w:color="auto" w:sz="4" w:space="0"/>
            </w:tcBorders>
            <w:vAlign w:val="center"/>
          </w:tcPr>
          <w:p>
            <w:pPr>
              <w:spacing w:after="0" w:line="360" w:lineRule="auto"/>
              <w:ind w:left="0" w:right="0" w:firstLine="0"/>
              <w:rPr>
                <w:color w:val="auto"/>
                <w:kern w:val="0"/>
                <w:szCs w:val="24"/>
                <w:highlight w:val="none"/>
              </w:rPr>
            </w:pPr>
          </w:p>
        </w:tc>
        <w:tc>
          <w:tcPr>
            <w:tcW w:w="1984" w:type="dxa"/>
            <w:tcBorders>
              <w:top w:val="nil"/>
              <w:left w:val="nil"/>
              <w:bottom w:val="single" w:color="auto" w:sz="4" w:space="0"/>
              <w:right w:val="single" w:color="auto" w:sz="4" w:space="0"/>
            </w:tcBorders>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正压分气缸</w:t>
            </w:r>
          </w:p>
        </w:tc>
        <w:tc>
          <w:tcPr>
            <w:tcW w:w="2268" w:type="dxa"/>
            <w:tcBorders>
              <w:top w:val="nil"/>
              <w:left w:val="nil"/>
              <w:bottom w:val="single" w:color="auto" w:sz="4" w:space="0"/>
              <w:right w:val="single" w:color="auto" w:sz="4" w:space="0"/>
            </w:tcBorders>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管路压力</w:t>
            </w:r>
          </w:p>
        </w:tc>
        <w:tc>
          <w:tcPr>
            <w:tcW w:w="1701" w:type="dxa"/>
            <w:vMerge w:val="continue"/>
            <w:tcBorders>
              <w:top w:val="nil"/>
              <w:left w:val="single" w:color="auto" w:sz="4" w:space="0"/>
              <w:bottom w:val="single" w:color="auto" w:sz="4" w:space="0"/>
              <w:right w:val="single" w:color="auto" w:sz="4" w:space="0"/>
            </w:tcBorders>
            <w:vAlign w:val="center"/>
          </w:tcPr>
          <w:p>
            <w:pPr>
              <w:spacing w:after="0" w:line="360" w:lineRule="auto"/>
              <w:ind w:left="0" w:right="0" w:firstLine="0"/>
              <w:rPr>
                <w:color w:val="auto"/>
                <w:kern w:val="0"/>
                <w:szCs w:val="24"/>
                <w:highlight w:val="none"/>
              </w:rPr>
            </w:pPr>
          </w:p>
        </w:tc>
        <w:tc>
          <w:tcPr>
            <w:tcW w:w="1701" w:type="dxa"/>
            <w:vMerge w:val="continue"/>
            <w:tcBorders>
              <w:top w:val="nil"/>
              <w:left w:val="single" w:color="auto" w:sz="4" w:space="0"/>
              <w:bottom w:val="single" w:color="auto" w:sz="4" w:space="0"/>
              <w:right w:val="single" w:color="auto" w:sz="4" w:space="0"/>
            </w:tcBorders>
            <w:vAlign w:val="center"/>
          </w:tcPr>
          <w:p>
            <w:pPr>
              <w:spacing w:after="0" w:line="360" w:lineRule="auto"/>
              <w:ind w:left="0" w:right="0" w:firstLine="0"/>
              <w:rPr>
                <w:color w:val="auto"/>
                <w:kern w:val="0"/>
                <w:szCs w:val="24"/>
                <w:highlight w:val="none"/>
              </w:rPr>
            </w:pPr>
          </w:p>
        </w:tc>
      </w:tr>
      <w:tr>
        <w:tblPrEx>
          <w:tblCellMar>
            <w:top w:w="0" w:type="dxa"/>
            <w:left w:w="108" w:type="dxa"/>
            <w:bottom w:w="0" w:type="dxa"/>
            <w:right w:w="108" w:type="dxa"/>
          </w:tblCellMar>
        </w:tblPrEx>
        <w:trPr>
          <w:trHeight w:val="1140" w:hRule="atLeast"/>
        </w:trPr>
        <w:tc>
          <w:tcPr>
            <w:tcW w:w="1560" w:type="dxa"/>
            <w:vMerge w:val="continue"/>
            <w:tcBorders>
              <w:top w:val="nil"/>
              <w:left w:val="single" w:color="auto" w:sz="4" w:space="0"/>
              <w:bottom w:val="single" w:color="auto" w:sz="4" w:space="0"/>
              <w:right w:val="single" w:color="auto" w:sz="4" w:space="0"/>
            </w:tcBorders>
            <w:vAlign w:val="center"/>
          </w:tcPr>
          <w:p>
            <w:pPr>
              <w:spacing w:after="0" w:line="360" w:lineRule="auto"/>
              <w:ind w:left="0" w:right="0" w:firstLine="0"/>
              <w:rPr>
                <w:color w:val="auto"/>
                <w:kern w:val="0"/>
                <w:szCs w:val="24"/>
                <w:highlight w:val="none"/>
              </w:rPr>
            </w:pPr>
          </w:p>
        </w:tc>
        <w:tc>
          <w:tcPr>
            <w:tcW w:w="1984" w:type="dxa"/>
            <w:tcBorders>
              <w:top w:val="nil"/>
              <w:left w:val="nil"/>
              <w:bottom w:val="single" w:color="auto" w:sz="4" w:space="0"/>
              <w:right w:val="single" w:color="auto" w:sz="4" w:space="0"/>
            </w:tcBorders>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设备用能</w:t>
            </w:r>
          </w:p>
        </w:tc>
        <w:tc>
          <w:tcPr>
            <w:tcW w:w="2268" w:type="dxa"/>
            <w:tcBorders>
              <w:top w:val="nil"/>
              <w:left w:val="nil"/>
              <w:bottom w:val="single" w:color="auto" w:sz="4" w:space="0"/>
              <w:right w:val="single" w:color="auto" w:sz="4" w:space="0"/>
            </w:tcBorders>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供电参数：电流、电压、功率、有功无功电度</w:t>
            </w:r>
          </w:p>
        </w:tc>
        <w:tc>
          <w:tcPr>
            <w:tcW w:w="1701" w:type="dxa"/>
            <w:tcBorders>
              <w:top w:val="nil"/>
              <w:left w:val="nil"/>
              <w:bottom w:val="single" w:color="auto" w:sz="4" w:space="0"/>
              <w:right w:val="single" w:color="auto" w:sz="4" w:space="0"/>
            </w:tcBorders>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智能电表</w:t>
            </w:r>
          </w:p>
        </w:tc>
        <w:tc>
          <w:tcPr>
            <w:tcW w:w="1701" w:type="dxa"/>
            <w:tcBorders>
              <w:top w:val="nil"/>
              <w:left w:val="nil"/>
              <w:bottom w:val="single" w:color="auto" w:sz="4" w:space="0"/>
              <w:right w:val="single" w:color="auto" w:sz="4" w:space="0"/>
            </w:tcBorders>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由能源管理系统上传至医院后勤智慧运维平台</w:t>
            </w:r>
          </w:p>
        </w:tc>
      </w:tr>
    </w:tbl>
    <w:p>
      <w:pPr>
        <w:spacing w:after="0" w:line="360" w:lineRule="auto"/>
        <w:ind w:firstLine="480" w:firstLineChars="200"/>
        <w:rPr>
          <w:color w:val="auto"/>
          <w:szCs w:val="24"/>
          <w:highlight w:val="none"/>
        </w:rPr>
      </w:pPr>
    </w:p>
    <w:p>
      <w:pPr>
        <w:spacing w:after="0" w:line="360" w:lineRule="auto"/>
        <w:rPr>
          <w:b/>
          <w:color w:val="auto"/>
          <w:szCs w:val="24"/>
          <w:highlight w:val="none"/>
        </w:rPr>
      </w:pPr>
      <w:bookmarkStart w:id="272" w:name="_Toc15696"/>
      <w:r>
        <w:rPr>
          <w:rFonts w:hint="eastAsia"/>
          <w:b/>
          <w:color w:val="auto"/>
          <w:szCs w:val="24"/>
          <w:highlight w:val="none"/>
        </w:rPr>
        <w:t>监视要点：</w:t>
      </w:r>
      <w:bookmarkEnd w:id="272"/>
    </w:p>
    <w:p>
      <w:pPr>
        <w:numPr>
          <w:ilvl w:val="0"/>
          <w:numId w:val="121"/>
        </w:numPr>
        <w:spacing w:after="0" w:line="360" w:lineRule="auto"/>
        <w:ind w:right="231"/>
        <w:rPr>
          <w:color w:val="auto"/>
          <w:szCs w:val="24"/>
          <w:highlight w:val="none"/>
        </w:rPr>
      </w:pPr>
      <w:r>
        <w:rPr>
          <w:rFonts w:hint="eastAsia"/>
          <w:color w:val="auto"/>
          <w:szCs w:val="24"/>
          <w:highlight w:val="none"/>
        </w:rPr>
        <w:t>设备运行异常告警；</w:t>
      </w:r>
    </w:p>
    <w:p>
      <w:pPr>
        <w:numPr>
          <w:ilvl w:val="0"/>
          <w:numId w:val="121"/>
        </w:numPr>
        <w:spacing w:after="0" w:line="360" w:lineRule="auto"/>
        <w:ind w:right="231"/>
        <w:rPr>
          <w:color w:val="auto"/>
          <w:szCs w:val="24"/>
          <w:highlight w:val="none"/>
        </w:rPr>
      </w:pPr>
      <w:r>
        <w:rPr>
          <w:rFonts w:hint="eastAsia"/>
          <w:color w:val="auto"/>
          <w:szCs w:val="24"/>
          <w:highlight w:val="none"/>
        </w:rPr>
        <w:t>压力异常告警；</w:t>
      </w:r>
    </w:p>
    <w:p>
      <w:pPr>
        <w:numPr>
          <w:ilvl w:val="0"/>
          <w:numId w:val="121"/>
        </w:numPr>
        <w:spacing w:after="0" w:line="360" w:lineRule="auto"/>
        <w:ind w:right="231"/>
        <w:rPr>
          <w:color w:val="auto"/>
          <w:szCs w:val="24"/>
          <w:highlight w:val="none"/>
        </w:rPr>
      </w:pPr>
      <w:r>
        <w:rPr>
          <w:rFonts w:hint="eastAsia"/>
          <w:color w:val="auto"/>
          <w:szCs w:val="24"/>
          <w:highlight w:val="none"/>
        </w:rPr>
        <w:t>通过高清摄像头实时监视现场仪表读数；</w:t>
      </w:r>
    </w:p>
    <w:p>
      <w:pPr>
        <w:numPr>
          <w:ilvl w:val="0"/>
          <w:numId w:val="121"/>
        </w:numPr>
        <w:spacing w:after="0" w:line="360" w:lineRule="auto"/>
        <w:ind w:right="231"/>
        <w:rPr>
          <w:color w:val="auto"/>
          <w:szCs w:val="24"/>
          <w:highlight w:val="none"/>
        </w:rPr>
      </w:pPr>
      <w:r>
        <w:rPr>
          <w:rFonts w:hint="eastAsia"/>
          <w:color w:val="auto"/>
          <w:szCs w:val="24"/>
          <w:highlight w:val="none"/>
        </w:rPr>
        <w:t>液氧储罐、汇流排、负压吸引系统、正压系统运行环境安全监视，监视信号如：智能摄像头采集的非法闯入等告警信号和实时画面。</w:t>
      </w:r>
    </w:p>
    <w:p>
      <w:pPr>
        <w:pStyle w:val="4"/>
        <w:spacing w:before="0" w:after="0" w:line="360" w:lineRule="auto"/>
        <w:ind w:left="0" w:firstLine="0"/>
        <w:rPr>
          <w:color w:val="auto"/>
          <w:sz w:val="24"/>
          <w:szCs w:val="24"/>
          <w:highlight w:val="none"/>
        </w:rPr>
      </w:pPr>
      <w:bookmarkStart w:id="273" w:name="_Toc20408819"/>
      <w:bookmarkStart w:id="274" w:name="_Toc12740"/>
      <w:r>
        <w:rPr>
          <w:rFonts w:hint="eastAsia"/>
          <w:color w:val="auto"/>
          <w:sz w:val="24"/>
          <w:szCs w:val="24"/>
          <w:highlight w:val="none"/>
        </w:rPr>
        <w:t>1.</w:t>
      </w:r>
      <w:r>
        <w:rPr>
          <w:color w:val="auto"/>
          <w:sz w:val="24"/>
          <w:szCs w:val="24"/>
          <w:highlight w:val="none"/>
        </w:rPr>
        <w:t>3</w:t>
      </w:r>
      <w:r>
        <w:rPr>
          <w:rFonts w:hint="eastAsia"/>
          <w:color w:val="auto"/>
          <w:sz w:val="24"/>
          <w:szCs w:val="24"/>
          <w:highlight w:val="none"/>
        </w:rPr>
        <w:t>.</w:t>
      </w:r>
      <w:r>
        <w:rPr>
          <w:color w:val="auto"/>
          <w:sz w:val="24"/>
          <w:szCs w:val="24"/>
          <w:highlight w:val="none"/>
        </w:rPr>
        <w:t>9</w:t>
      </w:r>
      <w:r>
        <w:rPr>
          <w:rFonts w:hint="eastAsia"/>
          <w:color w:val="auto"/>
          <w:sz w:val="24"/>
          <w:szCs w:val="24"/>
          <w:highlight w:val="none"/>
        </w:rPr>
        <w:t>电气火灾</w:t>
      </w:r>
      <w:bookmarkEnd w:id="273"/>
      <w:r>
        <w:rPr>
          <w:rFonts w:hint="eastAsia"/>
          <w:color w:val="auto"/>
          <w:sz w:val="24"/>
          <w:szCs w:val="24"/>
          <w:highlight w:val="none"/>
        </w:rPr>
        <w:t>系统</w:t>
      </w:r>
      <w:bookmarkEnd w:id="274"/>
    </w:p>
    <w:p>
      <w:pPr>
        <w:spacing w:after="0" w:line="360" w:lineRule="auto"/>
        <w:ind w:left="480"/>
        <w:rPr>
          <w:color w:val="auto"/>
          <w:szCs w:val="24"/>
          <w:highlight w:val="none"/>
        </w:rPr>
      </w:pPr>
      <w:r>
        <w:rPr>
          <w:rFonts w:hint="eastAsia"/>
          <w:color w:val="auto"/>
          <w:szCs w:val="24"/>
          <w:highlight w:val="none"/>
        </w:rPr>
        <w:t>电气火灾监控点位及监控内容：</w:t>
      </w:r>
    </w:p>
    <w:tbl>
      <w:tblPr>
        <w:tblStyle w:val="18"/>
        <w:tblW w:w="9072" w:type="dxa"/>
        <w:tblInd w:w="-5" w:type="dxa"/>
        <w:tblLayout w:type="autofit"/>
        <w:tblCellMar>
          <w:top w:w="0" w:type="dxa"/>
          <w:left w:w="108" w:type="dxa"/>
          <w:bottom w:w="0" w:type="dxa"/>
          <w:right w:w="108" w:type="dxa"/>
        </w:tblCellMar>
      </w:tblPr>
      <w:tblGrid>
        <w:gridCol w:w="1480"/>
        <w:gridCol w:w="3056"/>
        <w:gridCol w:w="1600"/>
        <w:gridCol w:w="2936"/>
      </w:tblGrid>
      <w:tr>
        <w:tblPrEx>
          <w:tblCellMar>
            <w:top w:w="0" w:type="dxa"/>
            <w:left w:w="108" w:type="dxa"/>
            <w:bottom w:w="0" w:type="dxa"/>
            <w:right w:w="108" w:type="dxa"/>
          </w:tblCellMar>
        </w:tblPrEx>
        <w:trPr>
          <w:trHeight w:val="285" w:hRule="atLeast"/>
        </w:trPr>
        <w:tc>
          <w:tcPr>
            <w:tcW w:w="1480" w:type="dxa"/>
            <w:tcBorders>
              <w:top w:val="single" w:color="auto" w:sz="4" w:space="0"/>
              <w:left w:val="single" w:color="auto" w:sz="4" w:space="0"/>
              <w:bottom w:val="single" w:color="auto" w:sz="4" w:space="0"/>
              <w:right w:val="single" w:color="auto" w:sz="4" w:space="0"/>
            </w:tcBorders>
            <w:shd w:val="clear" w:color="auto" w:fill="auto"/>
            <w:vAlign w:val="center"/>
          </w:tcPr>
          <w:p>
            <w:pPr>
              <w:spacing w:after="0" w:line="360" w:lineRule="auto"/>
              <w:ind w:left="0" w:right="0" w:firstLine="0"/>
              <w:jc w:val="center"/>
              <w:rPr>
                <w:b/>
                <w:bCs/>
                <w:color w:val="auto"/>
                <w:kern w:val="0"/>
                <w:szCs w:val="24"/>
                <w:highlight w:val="none"/>
              </w:rPr>
            </w:pPr>
            <w:r>
              <w:rPr>
                <w:rFonts w:hint="eastAsia"/>
                <w:b/>
                <w:bCs/>
                <w:color w:val="auto"/>
                <w:kern w:val="0"/>
                <w:szCs w:val="24"/>
                <w:highlight w:val="none"/>
              </w:rPr>
              <w:t>监控设备</w:t>
            </w:r>
          </w:p>
        </w:tc>
        <w:tc>
          <w:tcPr>
            <w:tcW w:w="3056" w:type="dxa"/>
            <w:tcBorders>
              <w:top w:val="single" w:color="auto" w:sz="4" w:space="0"/>
              <w:left w:val="nil"/>
              <w:bottom w:val="single" w:color="auto" w:sz="4" w:space="0"/>
              <w:right w:val="single" w:color="auto" w:sz="4" w:space="0"/>
            </w:tcBorders>
            <w:shd w:val="clear" w:color="auto" w:fill="auto"/>
            <w:vAlign w:val="center"/>
          </w:tcPr>
          <w:p>
            <w:pPr>
              <w:spacing w:after="0" w:line="360" w:lineRule="auto"/>
              <w:ind w:left="0" w:right="0" w:firstLine="0"/>
              <w:jc w:val="center"/>
              <w:rPr>
                <w:b/>
                <w:bCs/>
                <w:color w:val="auto"/>
                <w:kern w:val="0"/>
                <w:szCs w:val="24"/>
                <w:highlight w:val="none"/>
              </w:rPr>
            </w:pPr>
            <w:r>
              <w:rPr>
                <w:rFonts w:hint="eastAsia"/>
                <w:b/>
                <w:bCs/>
                <w:color w:val="auto"/>
                <w:kern w:val="0"/>
                <w:szCs w:val="24"/>
                <w:highlight w:val="none"/>
              </w:rPr>
              <w:t>监控内容</w:t>
            </w:r>
          </w:p>
        </w:tc>
        <w:tc>
          <w:tcPr>
            <w:tcW w:w="1600" w:type="dxa"/>
            <w:tcBorders>
              <w:top w:val="single" w:color="auto" w:sz="4" w:space="0"/>
              <w:left w:val="nil"/>
              <w:bottom w:val="single" w:color="auto" w:sz="4" w:space="0"/>
              <w:right w:val="single" w:color="auto" w:sz="4" w:space="0"/>
            </w:tcBorders>
            <w:shd w:val="clear" w:color="auto" w:fill="auto"/>
            <w:vAlign w:val="center"/>
          </w:tcPr>
          <w:p>
            <w:pPr>
              <w:spacing w:after="0" w:line="360" w:lineRule="auto"/>
              <w:ind w:left="0" w:right="0" w:firstLine="0"/>
              <w:jc w:val="center"/>
              <w:rPr>
                <w:b/>
                <w:bCs/>
                <w:color w:val="auto"/>
                <w:kern w:val="0"/>
                <w:szCs w:val="24"/>
                <w:highlight w:val="none"/>
              </w:rPr>
            </w:pPr>
            <w:r>
              <w:rPr>
                <w:rFonts w:hint="eastAsia"/>
                <w:b/>
                <w:bCs/>
                <w:color w:val="auto"/>
                <w:kern w:val="0"/>
                <w:szCs w:val="24"/>
                <w:highlight w:val="none"/>
              </w:rPr>
              <w:t>采集方式</w:t>
            </w:r>
          </w:p>
        </w:tc>
        <w:tc>
          <w:tcPr>
            <w:tcW w:w="2936" w:type="dxa"/>
            <w:tcBorders>
              <w:top w:val="single" w:color="auto" w:sz="4" w:space="0"/>
              <w:left w:val="nil"/>
              <w:bottom w:val="single" w:color="auto" w:sz="4" w:space="0"/>
              <w:right w:val="single" w:color="auto" w:sz="4" w:space="0"/>
            </w:tcBorders>
            <w:shd w:val="clear" w:color="auto" w:fill="auto"/>
            <w:vAlign w:val="center"/>
          </w:tcPr>
          <w:p>
            <w:pPr>
              <w:spacing w:after="0" w:line="360" w:lineRule="auto"/>
              <w:ind w:left="0" w:right="0" w:firstLine="0"/>
              <w:jc w:val="center"/>
              <w:rPr>
                <w:b/>
                <w:bCs/>
                <w:color w:val="auto"/>
                <w:kern w:val="0"/>
                <w:szCs w:val="24"/>
                <w:highlight w:val="none"/>
              </w:rPr>
            </w:pPr>
            <w:r>
              <w:rPr>
                <w:rFonts w:hint="eastAsia"/>
                <w:b/>
                <w:bCs/>
                <w:color w:val="auto"/>
                <w:kern w:val="0"/>
                <w:szCs w:val="24"/>
                <w:highlight w:val="none"/>
              </w:rPr>
              <w:t>平台对接</w:t>
            </w:r>
          </w:p>
        </w:tc>
      </w:tr>
      <w:tr>
        <w:tblPrEx>
          <w:tblCellMar>
            <w:top w:w="0" w:type="dxa"/>
            <w:left w:w="108" w:type="dxa"/>
            <w:bottom w:w="0" w:type="dxa"/>
            <w:right w:w="108" w:type="dxa"/>
          </w:tblCellMar>
        </w:tblPrEx>
        <w:trPr>
          <w:trHeight w:val="285" w:hRule="atLeast"/>
        </w:trPr>
        <w:tc>
          <w:tcPr>
            <w:tcW w:w="1480" w:type="dxa"/>
            <w:tcBorders>
              <w:top w:val="nil"/>
              <w:left w:val="single" w:color="auto" w:sz="4" w:space="0"/>
              <w:bottom w:val="single" w:color="auto" w:sz="4" w:space="0"/>
              <w:right w:val="single" w:color="auto" w:sz="4" w:space="0"/>
            </w:tcBorders>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低压开关柜</w:t>
            </w:r>
          </w:p>
        </w:tc>
        <w:tc>
          <w:tcPr>
            <w:tcW w:w="3056" w:type="dxa"/>
            <w:tcBorders>
              <w:top w:val="nil"/>
              <w:left w:val="nil"/>
              <w:bottom w:val="single" w:color="auto" w:sz="4" w:space="0"/>
              <w:right w:val="single" w:color="auto" w:sz="4" w:space="0"/>
            </w:tcBorders>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漏电电流、电缆温度</w:t>
            </w:r>
          </w:p>
        </w:tc>
        <w:tc>
          <w:tcPr>
            <w:tcW w:w="1600" w:type="dxa"/>
            <w:vMerge w:val="restart"/>
            <w:tcBorders>
              <w:top w:val="nil"/>
              <w:left w:val="single" w:color="auto" w:sz="4" w:space="0"/>
              <w:bottom w:val="single" w:color="auto" w:sz="4" w:space="0"/>
              <w:right w:val="single" w:color="auto" w:sz="4" w:space="0"/>
            </w:tcBorders>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电气火灾监控系统</w:t>
            </w:r>
          </w:p>
        </w:tc>
        <w:tc>
          <w:tcPr>
            <w:tcW w:w="2936" w:type="dxa"/>
            <w:vMerge w:val="restart"/>
            <w:tcBorders>
              <w:top w:val="nil"/>
              <w:left w:val="single" w:color="auto" w:sz="4" w:space="0"/>
              <w:bottom w:val="single" w:color="auto" w:sz="4" w:space="0"/>
              <w:right w:val="single" w:color="auto" w:sz="4" w:space="0"/>
            </w:tcBorders>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由电气火灾监控系统上传至医院后勤智慧运维平台</w:t>
            </w:r>
          </w:p>
        </w:tc>
      </w:tr>
      <w:tr>
        <w:tblPrEx>
          <w:tblCellMar>
            <w:top w:w="0" w:type="dxa"/>
            <w:left w:w="108" w:type="dxa"/>
            <w:bottom w:w="0" w:type="dxa"/>
            <w:right w:w="108" w:type="dxa"/>
          </w:tblCellMar>
        </w:tblPrEx>
        <w:trPr>
          <w:trHeight w:val="285" w:hRule="atLeast"/>
        </w:trPr>
        <w:tc>
          <w:tcPr>
            <w:tcW w:w="1480" w:type="dxa"/>
            <w:tcBorders>
              <w:top w:val="nil"/>
              <w:left w:val="single" w:color="auto" w:sz="4" w:space="0"/>
              <w:bottom w:val="single" w:color="auto" w:sz="4" w:space="0"/>
              <w:right w:val="single" w:color="auto" w:sz="4" w:space="0"/>
            </w:tcBorders>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楼层配电箱</w:t>
            </w:r>
          </w:p>
        </w:tc>
        <w:tc>
          <w:tcPr>
            <w:tcW w:w="3056" w:type="dxa"/>
            <w:tcBorders>
              <w:top w:val="nil"/>
              <w:left w:val="nil"/>
              <w:bottom w:val="single" w:color="auto" w:sz="4" w:space="0"/>
              <w:right w:val="single" w:color="auto" w:sz="4" w:space="0"/>
            </w:tcBorders>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漏电电流、电缆温度</w:t>
            </w:r>
          </w:p>
        </w:tc>
        <w:tc>
          <w:tcPr>
            <w:tcW w:w="1600" w:type="dxa"/>
            <w:vMerge w:val="continue"/>
            <w:tcBorders>
              <w:top w:val="nil"/>
              <w:left w:val="single" w:color="auto" w:sz="4" w:space="0"/>
              <w:bottom w:val="single" w:color="auto" w:sz="4" w:space="0"/>
              <w:right w:val="single" w:color="auto" w:sz="4" w:space="0"/>
            </w:tcBorders>
            <w:vAlign w:val="center"/>
          </w:tcPr>
          <w:p>
            <w:pPr>
              <w:spacing w:after="0" w:line="360" w:lineRule="auto"/>
              <w:ind w:left="0" w:right="0" w:firstLine="0"/>
              <w:rPr>
                <w:color w:val="auto"/>
                <w:kern w:val="0"/>
                <w:szCs w:val="24"/>
                <w:highlight w:val="none"/>
              </w:rPr>
            </w:pPr>
          </w:p>
        </w:tc>
        <w:tc>
          <w:tcPr>
            <w:tcW w:w="2936" w:type="dxa"/>
            <w:vMerge w:val="continue"/>
            <w:tcBorders>
              <w:top w:val="nil"/>
              <w:left w:val="single" w:color="auto" w:sz="4" w:space="0"/>
              <w:bottom w:val="single" w:color="auto" w:sz="4" w:space="0"/>
              <w:right w:val="single" w:color="auto" w:sz="4" w:space="0"/>
            </w:tcBorders>
            <w:vAlign w:val="center"/>
          </w:tcPr>
          <w:p>
            <w:pPr>
              <w:spacing w:after="0" w:line="360" w:lineRule="auto"/>
              <w:ind w:left="0" w:right="0" w:firstLine="0"/>
              <w:rPr>
                <w:color w:val="auto"/>
                <w:kern w:val="0"/>
                <w:szCs w:val="24"/>
                <w:highlight w:val="none"/>
              </w:rPr>
            </w:pPr>
          </w:p>
        </w:tc>
      </w:tr>
    </w:tbl>
    <w:p>
      <w:pPr>
        <w:spacing w:after="0" w:line="360" w:lineRule="auto"/>
        <w:ind w:left="480"/>
        <w:rPr>
          <w:color w:val="auto"/>
          <w:szCs w:val="24"/>
          <w:highlight w:val="none"/>
        </w:rPr>
      </w:pPr>
    </w:p>
    <w:p>
      <w:pPr>
        <w:spacing w:after="0" w:line="360" w:lineRule="auto"/>
        <w:rPr>
          <w:b/>
          <w:color w:val="auto"/>
          <w:szCs w:val="24"/>
          <w:highlight w:val="none"/>
        </w:rPr>
      </w:pPr>
      <w:bookmarkStart w:id="275" w:name="_Toc25294"/>
      <w:r>
        <w:rPr>
          <w:rFonts w:hint="eastAsia"/>
          <w:b/>
          <w:color w:val="auto"/>
          <w:szCs w:val="24"/>
          <w:highlight w:val="none"/>
        </w:rPr>
        <w:t>监视要点：</w:t>
      </w:r>
      <w:bookmarkEnd w:id="275"/>
    </w:p>
    <w:p>
      <w:pPr>
        <w:pStyle w:val="30"/>
        <w:numPr>
          <w:ilvl w:val="0"/>
          <w:numId w:val="122"/>
        </w:numPr>
        <w:spacing w:after="0" w:line="360" w:lineRule="auto"/>
        <w:ind w:firstLineChars="0"/>
        <w:rPr>
          <w:color w:val="auto"/>
          <w:szCs w:val="24"/>
          <w:highlight w:val="none"/>
        </w:rPr>
      </w:pPr>
      <w:r>
        <w:rPr>
          <w:rFonts w:hint="eastAsia"/>
          <w:color w:val="auto"/>
          <w:szCs w:val="24"/>
          <w:highlight w:val="none"/>
        </w:rPr>
        <w:t>系统运行状态异常告警监视，监视信号如：短路、漏电、温度过高告警、故障告警等，使得运维人员第一时间掌握现场异常数据，排除故障；</w:t>
      </w:r>
    </w:p>
    <w:p>
      <w:pPr>
        <w:pStyle w:val="30"/>
        <w:numPr>
          <w:ilvl w:val="0"/>
          <w:numId w:val="122"/>
        </w:numPr>
        <w:spacing w:after="0" w:line="360" w:lineRule="auto"/>
        <w:ind w:firstLineChars="0"/>
        <w:rPr>
          <w:color w:val="auto"/>
          <w:szCs w:val="24"/>
          <w:highlight w:val="none"/>
        </w:rPr>
      </w:pPr>
      <w:r>
        <w:rPr>
          <w:rFonts w:hint="eastAsia"/>
          <w:color w:val="auto"/>
          <w:szCs w:val="24"/>
          <w:highlight w:val="none"/>
        </w:rPr>
        <w:t>与火灾自动报警系统联动，远程切断负载电源。</w:t>
      </w:r>
    </w:p>
    <w:p>
      <w:pPr>
        <w:pStyle w:val="4"/>
        <w:spacing w:before="0" w:after="0" w:line="360" w:lineRule="auto"/>
        <w:ind w:left="0" w:firstLine="0"/>
        <w:rPr>
          <w:color w:val="auto"/>
          <w:sz w:val="24"/>
          <w:szCs w:val="24"/>
          <w:highlight w:val="none"/>
        </w:rPr>
      </w:pPr>
      <w:bookmarkStart w:id="276" w:name="_Toc30190"/>
      <w:r>
        <w:rPr>
          <w:rFonts w:hint="eastAsia"/>
          <w:color w:val="auto"/>
          <w:sz w:val="24"/>
          <w:szCs w:val="24"/>
          <w:highlight w:val="none"/>
        </w:rPr>
        <w:t>1.</w:t>
      </w:r>
      <w:r>
        <w:rPr>
          <w:color w:val="auto"/>
          <w:sz w:val="24"/>
          <w:szCs w:val="24"/>
          <w:highlight w:val="none"/>
        </w:rPr>
        <w:t>3.10</w:t>
      </w:r>
      <w:r>
        <w:rPr>
          <w:rFonts w:hint="eastAsia"/>
          <w:color w:val="auto"/>
          <w:sz w:val="24"/>
          <w:szCs w:val="24"/>
          <w:highlight w:val="none"/>
        </w:rPr>
        <w:t>门禁管理系统</w:t>
      </w:r>
      <w:bookmarkEnd w:id="276"/>
    </w:p>
    <w:tbl>
      <w:tblPr>
        <w:tblStyle w:val="18"/>
        <w:tblW w:w="9072" w:type="dxa"/>
        <w:tblInd w:w="-5" w:type="dxa"/>
        <w:tblLayout w:type="autofit"/>
        <w:tblCellMar>
          <w:top w:w="0" w:type="dxa"/>
          <w:left w:w="108" w:type="dxa"/>
          <w:bottom w:w="0" w:type="dxa"/>
          <w:right w:w="108" w:type="dxa"/>
        </w:tblCellMar>
      </w:tblPr>
      <w:tblGrid>
        <w:gridCol w:w="1740"/>
        <w:gridCol w:w="3647"/>
        <w:gridCol w:w="1540"/>
        <w:gridCol w:w="2145"/>
      </w:tblGrid>
      <w:tr>
        <w:tblPrEx>
          <w:tblCellMar>
            <w:top w:w="0" w:type="dxa"/>
            <w:left w:w="108" w:type="dxa"/>
            <w:bottom w:w="0" w:type="dxa"/>
            <w:right w:w="108" w:type="dxa"/>
          </w:tblCellMar>
        </w:tblPrEx>
        <w:trPr>
          <w:trHeight w:val="285" w:hRule="atLeast"/>
        </w:trPr>
        <w:tc>
          <w:tcPr>
            <w:tcW w:w="1740" w:type="dxa"/>
            <w:tcBorders>
              <w:top w:val="single" w:color="auto" w:sz="4" w:space="0"/>
              <w:left w:val="single" w:color="auto" w:sz="4" w:space="0"/>
              <w:bottom w:val="single" w:color="auto" w:sz="4" w:space="0"/>
              <w:right w:val="single" w:color="auto" w:sz="4" w:space="0"/>
            </w:tcBorders>
            <w:shd w:val="clear" w:color="auto" w:fill="auto"/>
            <w:vAlign w:val="center"/>
          </w:tcPr>
          <w:p>
            <w:pPr>
              <w:spacing w:after="0" w:line="360" w:lineRule="auto"/>
              <w:ind w:left="0" w:right="0" w:firstLine="0"/>
              <w:jc w:val="center"/>
              <w:rPr>
                <w:b/>
                <w:bCs/>
                <w:color w:val="auto"/>
                <w:kern w:val="0"/>
                <w:szCs w:val="24"/>
                <w:highlight w:val="none"/>
              </w:rPr>
            </w:pPr>
            <w:r>
              <w:rPr>
                <w:rFonts w:hint="eastAsia"/>
                <w:b/>
                <w:bCs/>
                <w:color w:val="auto"/>
                <w:kern w:val="0"/>
                <w:szCs w:val="24"/>
                <w:highlight w:val="none"/>
              </w:rPr>
              <w:t>监控设备</w:t>
            </w:r>
          </w:p>
        </w:tc>
        <w:tc>
          <w:tcPr>
            <w:tcW w:w="3647" w:type="dxa"/>
            <w:tcBorders>
              <w:top w:val="single" w:color="auto" w:sz="4" w:space="0"/>
              <w:left w:val="nil"/>
              <w:bottom w:val="single" w:color="auto" w:sz="4" w:space="0"/>
              <w:right w:val="single" w:color="auto" w:sz="4" w:space="0"/>
            </w:tcBorders>
            <w:shd w:val="clear" w:color="auto" w:fill="auto"/>
            <w:vAlign w:val="center"/>
          </w:tcPr>
          <w:p>
            <w:pPr>
              <w:spacing w:after="0" w:line="360" w:lineRule="auto"/>
              <w:ind w:left="0" w:right="0" w:firstLine="0"/>
              <w:jc w:val="center"/>
              <w:rPr>
                <w:b/>
                <w:bCs/>
                <w:color w:val="auto"/>
                <w:kern w:val="0"/>
                <w:szCs w:val="24"/>
                <w:highlight w:val="none"/>
              </w:rPr>
            </w:pPr>
            <w:r>
              <w:rPr>
                <w:rFonts w:hint="eastAsia"/>
                <w:b/>
                <w:bCs/>
                <w:color w:val="auto"/>
                <w:kern w:val="0"/>
                <w:szCs w:val="24"/>
                <w:highlight w:val="none"/>
              </w:rPr>
              <w:t>监控内容</w:t>
            </w:r>
          </w:p>
        </w:tc>
        <w:tc>
          <w:tcPr>
            <w:tcW w:w="1540" w:type="dxa"/>
            <w:tcBorders>
              <w:top w:val="single" w:color="auto" w:sz="4" w:space="0"/>
              <w:left w:val="nil"/>
              <w:bottom w:val="single" w:color="auto" w:sz="4" w:space="0"/>
              <w:right w:val="single" w:color="auto" w:sz="4" w:space="0"/>
            </w:tcBorders>
            <w:shd w:val="clear" w:color="auto" w:fill="auto"/>
            <w:vAlign w:val="center"/>
          </w:tcPr>
          <w:p>
            <w:pPr>
              <w:spacing w:after="0" w:line="360" w:lineRule="auto"/>
              <w:ind w:left="0" w:right="0" w:firstLine="0"/>
              <w:jc w:val="center"/>
              <w:rPr>
                <w:b/>
                <w:bCs/>
                <w:color w:val="auto"/>
                <w:kern w:val="0"/>
                <w:szCs w:val="24"/>
                <w:highlight w:val="none"/>
              </w:rPr>
            </w:pPr>
            <w:r>
              <w:rPr>
                <w:rFonts w:hint="eastAsia"/>
                <w:b/>
                <w:bCs/>
                <w:color w:val="auto"/>
                <w:kern w:val="0"/>
                <w:szCs w:val="24"/>
                <w:highlight w:val="none"/>
              </w:rPr>
              <w:t>采集方式</w:t>
            </w:r>
          </w:p>
        </w:tc>
        <w:tc>
          <w:tcPr>
            <w:tcW w:w="2145" w:type="dxa"/>
            <w:tcBorders>
              <w:top w:val="single" w:color="auto" w:sz="4" w:space="0"/>
              <w:left w:val="nil"/>
              <w:bottom w:val="single" w:color="auto" w:sz="4" w:space="0"/>
              <w:right w:val="single" w:color="auto" w:sz="4" w:space="0"/>
            </w:tcBorders>
            <w:shd w:val="clear" w:color="auto" w:fill="auto"/>
            <w:vAlign w:val="center"/>
          </w:tcPr>
          <w:p>
            <w:pPr>
              <w:spacing w:after="0" w:line="360" w:lineRule="auto"/>
              <w:ind w:left="0" w:right="0" w:firstLine="0"/>
              <w:jc w:val="center"/>
              <w:rPr>
                <w:b/>
                <w:bCs/>
                <w:color w:val="auto"/>
                <w:kern w:val="0"/>
                <w:szCs w:val="24"/>
                <w:highlight w:val="none"/>
              </w:rPr>
            </w:pPr>
            <w:r>
              <w:rPr>
                <w:rFonts w:hint="eastAsia"/>
                <w:b/>
                <w:bCs/>
                <w:color w:val="auto"/>
                <w:kern w:val="0"/>
                <w:szCs w:val="24"/>
                <w:highlight w:val="none"/>
              </w:rPr>
              <w:t>平台对接</w:t>
            </w:r>
          </w:p>
        </w:tc>
      </w:tr>
      <w:tr>
        <w:tblPrEx>
          <w:tblCellMar>
            <w:top w:w="0" w:type="dxa"/>
            <w:left w:w="108" w:type="dxa"/>
            <w:bottom w:w="0" w:type="dxa"/>
            <w:right w:w="108" w:type="dxa"/>
          </w:tblCellMar>
        </w:tblPrEx>
        <w:trPr>
          <w:trHeight w:val="855" w:hRule="atLeast"/>
        </w:trPr>
        <w:tc>
          <w:tcPr>
            <w:tcW w:w="1740" w:type="dxa"/>
            <w:tcBorders>
              <w:top w:val="nil"/>
              <w:left w:val="single" w:color="auto" w:sz="4" w:space="0"/>
              <w:bottom w:val="single" w:color="auto" w:sz="4" w:space="0"/>
              <w:right w:val="single" w:color="auto" w:sz="4" w:space="0"/>
            </w:tcBorders>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门禁控制器</w:t>
            </w:r>
          </w:p>
        </w:tc>
        <w:tc>
          <w:tcPr>
            <w:tcW w:w="3647" w:type="dxa"/>
            <w:tcBorders>
              <w:top w:val="nil"/>
              <w:left w:val="nil"/>
              <w:bottom w:val="single" w:color="auto" w:sz="4" w:space="0"/>
              <w:right w:val="single" w:color="auto" w:sz="4" w:space="0"/>
            </w:tcBorders>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门禁开启或关闭、非法开门状态、设备在线状态、告警状态</w:t>
            </w:r>
          </w:p>
        </w:tc>
        <w:tc>
          <w:tcPr>
            <w:tcW w:w="1540" w:type="dxa"/>
            <w:tcBorders>
              <w:top w:val="nil"/>
              <w:left w:val="nil"/>
              <w:bottom w:val="single" w:color="auto" w:sz="4" w:space="0"/>
              <w:right w:val="single" w:color="auto" w:sz="4" w:space="0"/>
            </w:tcBorders>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门禁系统</w:t>
            </w:r>
          </w:p>
        </w:tc>
        <w:tc>
          <w:tcPr>
            <w:tcW w:w="2145" w:type="dxa"/>
            <w:tcBorders>
              <w:top w:val="nil"/>
              <w:left w:val="nil"/>
              <w:bottom w:val="single" w:color="auto" w:sz="4" w:space="0"/>
              <w:right w:val="single" w:color="auto" w:sz="4" w:space="0"/>
            </w:tcBorders>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由门禁系统上传至医院后勤智慧运维平台</w:t>
            </w:r>
          </w:p>
        </w:tc>
      </w:tr>
    </w:tbl>
    <w:p>
      <w:pPr>
        <w:spacing w:after="0" w:line="360" w:lineRule="auto"/>
        <w:rPr>
          <w:color w:val="auto"/>
          <w:highlight w:val="none"/>
        </w:rPr>
      </w:pPr>
    </w:p>
    <w:p>
      <w:pPr>
        <w:spacing w:after="0" w:line="360" w:lineRule="auto"/>
        <w:rPr>
          <w:b/>
          <w:color w:val="auto"/>
          <w:szCs w:val="24"/>
          <w:highlight w:val="none"/>
        </w:rPr>
      </w:pPr>
      <w:bookmarkStart w:id="277" w:name="_Toc5504"/>
      <w:r>
        <w:rPr>
          <w:rFonts w:hint="eastAsia"/>
          <w:b/>
          <w:color w:val="auto"/>
          <w:szCs w:val="24"/>
          <w:highlight w:val="none"/>
        </w:rPr>
        <w:t>监视要点：</w:t>
      </w:r>
      <w:bookmarkEnd w:id="277"/>
    </w:p>
    <w:p>
      <w:pPr>
        <w:pStyle w:val="30"/>
        <w:numPr>
          <w:ilvl w:val="0"/>
          <w:numId w:val="122"/>
        </w:numPr>
        <w:spacing w:after="0" w:line="360" w:lineRule="auto"/>
        <w:ind w:right="231" w:firstLineChars="0"/>
        <w:rPr>
          <w:color w:val="auto"/>
          <w:szCs w:val="24"/>
          <w:highlight w:val="none"/>
        </w:rPr>
      </w:pPr>
      <w:r>
        <w:rPr>
          <w:rFonts w:hint="eastAsia"/>
          <w:color w:val="auto"/>
          <w:szCs w:val="24"/>
          <w:highlight w:val="none"/>
        </w:rPr>
        <w:t>门禁状态异常告警监视，监视信号如：非法开门告警等，使得运维人员第一时间掌握现场状况；</w:t>
      </w:r>
    </w:p>
    <w:p>
      <w:pPr>
        <w:pStyle w:val="30"/>
        <w:numPr>
          <w:ilvl w:val="0"/>
          <w:numId w:val="122"/>
        </w:numPr>
        <w:spacing w:after="0" w:line="360" w:lineRule="auto"/>
        <w:ind w:firstLineChars="0"/>
        <w:rPr>
          <w:color w:val="auto"/>
          <w:szCs w:val="24"/>
          <w:highlight w:val="none"/>
        </w:rPr>
      </w:pPr>
      <w:r>
        <w:rPr>
          <w:rFonts w:hint="eastAsia"/>
          <w:color w:val="auto"/>
          <w:szCs w:val="24"/>
          <w:highlight w:val="none"/>
        </w:rPr>
        <w:t>与视频系统联动，设备状态异常、非法闯入视频弹窗。</w:t>
      </w:r>
    </w:p>
    <w:p>
      <w:pPr>
        <w:pStyle w:val="4"/>
        <w:spacing w:before="0" w:after="0" w:line="360" w:lineRule="auto"/>
        <w:ind w:left="0" w:firstLine="0"/>
        <w:rPr>
          <w:color w:val="auto"/>
          <w:sz w:val="24"/>
          <w:szCs w:val="24"/>
          <w:highlight w:val="none"/>
        </w:rPr>
      </w:pPr>
      <w:bookmarkStart w:id="278" w:name="_Toc2276"/>
      <w:r>
        <w:rPr>
          <w:rFonts w:hint="eastAsia"/>
          <w:color w:val="auto"/>
          <w:sz w:val="24"/>
          <w:szCs w:val="24"/>
          <w:highlight w:val="none"/>
        </w:rPr>
        <w:t>1</w:t>
      </w:r>
      <w:r>
        <w:rPr>
          <w:color w:val="auto"/>
          <w:sz w:val="24"/>
          <w:szCs w:val="24"/>
          <w:highlight w:val="none"/>
        </w:rPr>
        <w:t>.3.11</w:t>
      </w:r>
      <w:r>
        <w:rPr>
          <w:rFonts w:hint="eastAsia"/>
          <w:color w:val="auto"/>
          <w:sz w:val="24"/>
          <w:szCs w:val="24"/>
          <w:highlight w:val="none"/>
        </w:rPr>
        <w:t>视频监控系统</w:t>
      </w:r>
      <w:bookmarkEnd w:id="278"/>
    </w:p>
    <w:tbl>
      <w:tblPr>
        <w:tblStyle w:val="18"/>
        <w:tblW w:w="9072" w:type="dxa"/>
        <w:tblInd w:w="-5" w:type="dxa"/>
        <w:tblLayout w:type="autofit"/>
        <w:tblCellMar>
          <w:top w:w="0" w:type="dxa"/>
          <w:left w:w="108" w:type="dxa"/>
          <w:bottom w:w="0" w:type="dxa"/>
          <w:right w:w="108" w:type="dxa"/>
        </w:tblCellMar>
      </w:tblPr>
      <w:tblGrid>
        <w:gridCol w:w="1740"/>
        <w:gridCol w:w="2371"/>
        <w:gridCol w:w="1620"/>
        <w:gridCol w:w="3341"/>
      </w:tblGrid>
      <w:tr>
        <w:trPr>
          <w:trHeight w:val="285" w:hRule="atLeast"/>
        </w:trPr>
        <w:tc>
          <w:tcPr>
            <w:tcW w:w="1740" w:type="dxa"/>
            <w:tcBorders>
              <w:top w:val="single" w:color="auto" w:sz="4" w:space="0"/>
              <w:left w:val="single" w:color="auto" w:sz="4" w:space="0"/>
              <w:bottom w:val="single" w:color="auto" w:sz="4" w:space="0"/>
              <w:right w:val="single" w:color="auto" w:sz="4" w:space="0"/>
            </w:tcBorders>
            <w:shd w:val="clear" w:color="auto" w:fill="auto"/>
            <w:vAlign w:val="center"/>
          </w:tcPr>
          <w:p>
            <w:pPr>
              <w:spacing w:after="0" w:line="360" w:lineRule="auto"/>
              <w:ind w:left="0" w:right="0" w:firstLine="0"/>
              <w:jc w:val="center"/>
              <w:rPr>
                <w:b/>
                <w:bCs/>
                <w:color w:val="auto"/>
                <w:kern w:val="0"/>
                <w:szCs w:val="24"/>
                <w:highlight w:val="none"/>
              </w:rPr>
            </w:pPr>
            <w:r>
              <w:rPr>
                <w:rFonts w:hint="eastAsia"/>
                <w:b/>
                <w:bCs/>
                <w:color w:val="auto"/>
                <w:kern w:val="0"/>
                <w:szCs w:val="24"/>
                <w:highlight w:val="none"/>
              </w:rPr>
              <w:t>监控设备</w:t>
            </w:r>
          </w:p>
        </w:tc>
        <w:tc>
          <w:tcPr>
            <w:tcW w:w="2371" w:type="dxa"/>
            <w:tcBorders>
              <w:top w:val="single" w:color="auto" w:sz="4" w:space="0"/>
              <w:left w:val="nil"/>
              <w:bottom w:val="single" w:color="auto" w:sz="4" w:space="0"/>
              <w:right w:val="single" w:color="auto" w:sz="4" w:space="0"/>
            </w:tcBorders>
            <w:shd w:val="clear" w:color="auto" w:fill="auto"/>
            <w:vAlign w:val="center"/>
          </w:tcPr>
          <w:p>
            <w:pPr>
              <w:spacing w:after="0" w:line="360" w:lineRule="auto"/>
              <w:ind w:left="0" w:right="0" w:firstLine="0"/>
              <w:jc w:val="center"/>
              <w:rPr>
                <w:b/>
                <w:bCs/>
                <w:color w:val="auto"/>
                <w:kern w:val="0"/>
                <w:szCs w:val="24"/>
                <w:highlight w:val="none"/>
              </w:rPr>
            </w:pPr>
            <w:r>
              <w:rPr>
                <w:rFonts w:hint="eastAsia"/>
                <w:b/>
                <w:bCs/>
                <w:color w:val="auto"/>
                <w:kern w:val="0"/>
                <w:szCs w:val="24"/>
                <w:highlight w:val="none"/>
              </w:rPr>
              <w:t>监控内容</w:t>
            </w:r>
          </w:p>
        </w:tc>
        <w:tc>
          <w:tcPr>
            <w:tcW w:w="1620" w:type="dxa"/>
            <w:tcBorders>
              <w:top w:val="single" w:color="auto" w:sz="4" w:space="0"/>
              <w:left w:val="nil"/>
              <w:bottom w:val="single" w:color="auto" w:sz="4" w:space="0"/>
              <w:right w:val="single" w:color="auto" w:sz="4" w:space="0"/>
            </w:tcBorders>
            <w:shd w:val="clear" w:color="auto" w:fill="auto"/>
            <w:vAlign w:val="center"/>
          </w:tcPr>
          <w:p>
            <w:pPr>
              <w:spacing w:after="0" w:line="360" w:lineRule="auto"/>
              <w:ind w:left="0" w:right="0" w:firstLine="0"/>
              <w:jc w:val="center"/>
              <w:rPr>
                <w:b/>
                <w:bCs/>
                <w:color w:val="auto"/>
                <w:kern w:val="0"/>
                <w:szCs w:val="24"/>
                <w:highlight w:val="none"/>
              </w:rPr>
            </w:pPr>
            <w:r>
              <w:rPr>
                <w:rFonts w:hint="eastAsia"/>
                <w:b/>
                <w:bCs/>
                <w:color w:val="auto"/>
                <w:kern w:val="0"/>
                <w:szCs w:val="24"/>
                <w:highlight w:val="none"/>
              </w:rPr>
              <w:t>采集方式</w:t>
            </w:r>
          </w:p>
        </w:tc>
        <w:tc>
          <w:tcPr>
            <w:tcW w:w="3341" w:type="dxa"/>
            <w:tcBorders>
              <w:top w:val="single" w:color="auto" w:sz="4" w:space="0"/>
              <w:left w:val="nil"/>
              <w:bottom w:val="single" w:color="auto" w:sz="4" w:space="0"/>
              <w:right w:val="single" w:color="auto" w:sz="4" w:space="0"/>
            </w:tcBorders>
            <w:shd w:val="clear" w:color="auto" w:fill="auto"/>
            <w:vAlign w:val="center"/>
          </w:tcPr>
          <w:p>
            <w:pPr>
              <w:spacing w:after="0" w:line="360" w:lineRule="auto"/>
              <w:ind w:left="0" w:right="0" w:firstLine="0"/>
              <w:jc w:val="center"/>
              <w:rPr>
                <w:b/>
                <w:bCs/>
                <w:color w:val="auto"/>
                <w:kern w:val="0"/>
                <w:szCs w:val="24"/>
                <w:highlight w:val="none"/>
              </w:rPr>
            </w:pPr>
            <w:r>
              <w:rPr>
                <w:rFonts w:hint="eastAsia"/>
                <w:b/>
                <w:bCs/>
                <w:color w:val="auto"/>
                <w:kern w:val="0"/>
                <w:szCs w:val="24"/>
                <w:highlight w:val="none"/>
              </w:rPr>
              <w:t>平台对接</w:t>
            </w:r>
          </w:p>
        </w:tc>
      </w:tr>
      <w:tr>
        <w:tblPrEx>
          <w:tblCellMar>
            <w:top w:w="0" w:type="dxa"/>
            <w:left w:w="108" w:type="dxa"/>
            <w:bottom w:w="0" w:type="dxa"/>
            <w:right w:w="108" w:type="dxa"/>
          </w:tblCellMar>
        </w:tblPrEx>
        <w:trPr>
          <w:trHeight w:val="324" w:hRule="atLeast"/>
        </w:trPr>
        <w:tc>
          <w:tcPr>
            <w:tcW w:w="1740" w:type="dxa"/>
            <w:tcBorders>
              <w:top w:val="nil"/>
              <w:left w:val="single" w:color="auto" w:sz="4" w:space="0"/>
              <w:bottom w:val="single" w:color="auto" w:sz="4" w:space="0"/>
              <w:right w:val="single" w:color="auto" w:sz="4" w:space="0"/>
            </w:tcBorders>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摄像机</w:t>
            </w:r>
          </w:p>
        </w:tc>
        <w:tc>
          <w:tcPr>
            <w:tcW w:w="2371" w:type="dxa"/>
            <w:tcBorders>
              <w:top w:val="nil"/>
              <w:left w:val="nil"/>
              <w:bottom w:val="single" w:color="auto" w:sz="4" w:space="0"/>
              <w:right w:val="single" w:color="auto" w:sz="4" w:space="0"/>
            </w:tcBorders>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图像丢失报警</w:t>
            </w:r>
          </w:p>
        </w:tc>
        <w:tc>
          <w:tcPr>
            <w:tcW w:w="1620" w:type="dxa"/>
            <w:vMerge w:val="restart"/>
            <w:tcBorders>
              <w:top w:val="nil"/>
              <w:left w:val="single" w:color="auto" w:sz="4" w:space="0"/>
              <w:bottom w:val="single" w:color="auto" w:sz="4" w:space="0"/>
              <w:right w:val="single" w:color="auto" w:sz="4" w:space="0"/>
            </w:tcBorders>
            <w:shd w:val="clear" w:color="auto" w:fill="auto"/>
            <w:vAlign w:val="center"/>
          </w:tcPr>
          <w:p>
            <w:pPr>
              <w:spacing w:after="0" w:line="360" w:lineRule="auto"/>
              <w:ind w:left="0" w:right="0" w:firstLine="0"/>
              <w:jc w:val="center"/>
              <w:rPr>
                <w:color w:val="auto"/>
                <w:kern w:val="0"/>
                <w:szCs w:val="24"/>
                <w:highlight w:val="none"/>
              </w:rPr>
            </w:pPr>
            <w:r>
              <w:rPr>
                <w:rFonts w:hint="eastAsia"/>
                <w:color w:val="auto"/>
                <w:kern w:val="0"/>
                <w:szCs w:val="24"/>
                <w:highlight w:val="none"/>
              </w:rPr>
              <w:t>视频系统</w:t>
            </w:r>
          </w:p>
        </w:tc>
        <w:tc>
          <w:tcPr>
            <w:tcW w:w="3341" w:type="dxa"/>
            <w:vMerge w:val="restart"/>
            <w:tcBorders>
              <w:top w:val="nil"/>
              <w:left w:val="single" w:color="auto" w:sz="4" w:space="0"/>
              <w:bottom w:val="single" w:color="auto" w:sz="4" w:space="0"/>
              <w:right w:val="single" w:color="auto" w:sz="4" w:space="0"/>
            </w:tcBorders>
            <w:shd w:val="clear" w:color="auto" w:fill="auto"/>
            <w:vAlign w:val="center"/>
          </w:tcPr>
          <w:p>
            <w:pPr>
              <w:spacing w:after="0" w:line="360" w:lineRule="auto"/>
              <w:ind w:left="0" w:right="0" w:firstLine="0"/>
              <w:jc w:val="center"/>
              <w:rPr>
                <w:color w:val="auto"/>
                <w:kern w:val="0"/>
                <w:szCs w:val="24"/>
                <w:highlight w:val="none"/>
              </w:rPr>
            </w:pPr>
            <w:r>
              <w:rPr>
                <w:rFonts w:hint="eastAsia"/>
                <w:color w:val="auto"/>
                <w:kern w:val="0"/>
                <w:szCs w:val="24"/>
                <w:highlight w:val="none"/>
              </w:rPr>
              <w:t>由视频系统上传至医院后勤智慧运维平台</w:t>
            </w:r>
          </w:p>
        </w:tc>
      </w:tr>
      <w:tr>
        <w:tblPrEx>
          <w:tblCellMar>
            <w:top w:w="0" w:type="dxa"/>
            <w:left w:w="108" w:type="dxa"/>
            <w:bottom w:w="0" w:type="dxa"/>
            <w:right w:w="108" w:type="dxa"/>
          </w:tblCellMar>
        </w:tblPrEx>
        <w:trPr>
          <w:trHeight w:val="285" w:hRule="atLeast"/>
        </w:trPr>
        <w:tc>
          <w:tcPr>
            <w:tcW w:w="1740" w:type="dxa"/>
            <w:tcBorders>
              <w:top w:val="nil"/>
              <w:left w:val="single" w:color="auto" w:sz="4" w:space="0"/>
              <w:bottom w:val="single" w:color="auto" w:sz="4" w:space="0"/>
              <w:right w:val="single" w:color="auto" w:sz="4" w:space="0"/>
            </w:tcBorders>
            <w:shd w:val="clear" w:color="auto" w:fill="auto"/>
            <w:noWrap/>
            <w:vAlign w:val="center"/>
          </w:tcPr>
          <w:p>
            <w:pPr>
              <w:spacing w:after="0" w:line="360" w:lineRule="auto"/>
              <w:ind w:left="0" w:right="0" w:firstLine="0"/>
              <w:rPr>
                <w:rFonts w:ascii="等线" w:hAnsi="等线" w:eastAsia="等线"/>
                <w:color w:val="auto"/>
                <w:kern w:val="0"/>
                <w:sz w:val="22"/>
                <w:highlight w:val="none"/>
              </w:rPr>
            </w:pPr>
            <w:r>
              <w:rPr>
                <w:rFonts w:hint="eastAsia" w:ascii="等线" w:hAnsi="等线" w:eastAsia="等线"/>
                <w:color w:val="auto"/>
                <w:kern w:val="0"/>
                <w:sz w:val="22"/>
                <w:highlight w:val="none"/>
              </w:rPr>
              <w:t>视频存储设备</w:t>
            </w:r>
          </w:p>
        </w:tc>
        <w:tc>
          <w:tcPr>
            <w:tcW w:w="2371" w:type="dxa"/>
            <w:tcBorders>
              <w:top w:val="nil"/>
              <w:left w:val="nil"/>
              <w:bottom w:val="single" w:color="auto" w:sz="4" w:space="0"/>
              <w:right w:val="single" w:color="auto" w:sz="4" w:space="0"/>
            </w:tcBorders>
            <w:shd w:val="clear" w:color="auto" w:fill="auto"/>
            <w:noWrap/>
            <w:vAlign w:val="center"/>
          </w:tcPr>
          <w:p>
            <w:pPr>
              <w:spacing w:after="0" w:line="360" w:lineRule="auto"/>
              <w:ind w:left="0" w:right="0" w:firstLine="0"/>
              <w:rPr>
                <w:rFonts w:ascii="等线" w:hAnsi="等线" w:eastAsia="等线"/>
                <w:color w:val="auto"/>
                <w:kern w:val="0"/>
                <w:sz w:val="22"/>
                <w:highlight w:val="none"/>
              </w:rPr>
            </w:pPr>
            <w:r>
              <w:rPr>
                <w:rFonts w:hint="eastAsia" w:ascii="等线" w:hAnsi="等线" w:eastAsia="等线"/>
                <w:color w:val="auto"/>
                <w:kern w:val="0"/>
                <w:sz w:val="22"/>
                <w:highlight w:val="none"/>
              </w:rPr>
              <w:t>设备状态、视频图像</w:t>
            </w:r>
          </w:p>
        </w:tc>
        <w:tc>
          <w:tcPr>
            <w:tcW w:w="1620" w:type="dxa"/>
            <w:vMerge w:val="continue"/>
            <w:tcBorders>
              <w:top w:val="nil"/>
              <w:left w:val="single" w:color="auto" w:sz="4" w:space="0"/>
              <w:bottom w:val="single" w:color="auto" w:sz="4" w:space="0"/>
              <w:right w:val="single" w:color="auto" w:sz="4" w:space="0"/>
            </w:tcBorders>
            <w:vAlign w:val="center"/>
          </w:tcPr>
          <w:p>
            <w:pPr>
              <w:spacing w:after="0" w:line="360" w:lineRule="auto"/>
              <w:ind w:left="0" w:right="0" w:firstLine="0"/>
              <w:rPr>
                <w:color w:val="auto"/>
                <w:kern w:val="0"/>
                <w:szCs w:val="24"/>
                <w:highlight w:val="none"/>
              </w:rPr>
            </w:pPr>
          </w:p>
        </w:tc>
        <w:tc>
          <w:tcPr>
            <w:tcW w:w="3341" w:type="dxa"/>
            <w:vMerge w:val="continue"/>
            <w:tcBorders>
              <w:top w:val="nil"/>
              <w:left w:val="single" w:color="auto" w:sz="4" w:space="0"/>
              <w:bottom w:val="single" w:color="auto" w:sz="4" w:space="0"/>
              <w:right w:val="single" w:color="auto" w:sz="4" w:space="0"/>
            </w:tcBorders>
            <w:vAlign w:val="center"/>
          </w:tcPr>
          <w:p>
            <w:pPr>
              <w:spacing w:after="0" w:line="360" w:lineRule="auto"/>
              <w:ind w:left="0" w:right="0" w:firstLine="0"/>
              <w:rPr>
                <w:color w:val="auto"/>
                <w:kern w:val="0"/>
                <w:szCs w:val="24"/>
                <w:highlight w:val="none"/>
              </w:rPr>
            </w:pPr>
          </w:p>
        </w:tc>
      </w:tr>
    </w:tbl>
    <w:p>
      <w:pPr>
        <w:spacing w:after="0" w:line="360" w:lineRule="auto"/>
        <w:rPr>
          <w:color w:val="auto"/>
          <w:highlight w:val="none"/>
        </w:rPr>
      </w:pPr>
    </w:p>
    <w:p>
      <w:pPr>
        <w:spacing w:after="0" w:line="360" w:lineRule="auto"/>
        <w:rPr>
          <w:b/>
          <w:color w:val="auto"/>
          <w:szCs w:val="24"/>
          <w:highlight w:val="none"/>
        </w:rPr>
      </w:pPr>
      <w:bookmarkStart w:id="279" w:name="_Toc24992"/>
      <w:r>
        <w:rPr>
          <w:rFonts w:hint="eastAsia"/>
          <w:b/>
          <w:color w:val="auto"/>
          <w:szCs w:val="24"/>
          <w:highlight w:val="none"/>
        </w:rPr>
        <w:t>监视要点：</w:t>
      </w:r>
      <w:bookmarkEnd w:id="279"/>
    </w:p>
    <w:p>
      <w:pPr>
        <w:pStyle w:val="30"/>
        <w:numPr>
          <w:ilvl w:val="0"/>
          <w:numId w:val="122"/>
        </w:numPr>
        <w:spacing w:after="0" w:line="360" w:lineRule="auto"/>
        <w:ind w:right="231" w:firstLineChars="0"/>
        <w:rPr>
          <w:color w:val="auto"/>
          <w:szCs w:val="24"/>
          <w:highlight w:val="none"/>
        </w:rPr>
      </w:pPr>
      <w:r>
        <w:rPr>
          <w:color w:val="auto"/>
          <w:szCs w:val="24"/>
          <w:highlight w:val="none"/>
        </w:rPr>
        <w:t>在电子地图上显示视频监控点位的设备中文名称；用图标区分设备类型；用不同颜色区分设备点位正常、报警和故障信息。</w:t>
      </w:r>
    </w:p>
    <w:p>
      <w:pPr>
        <w:pStyle w:val="30"/>
        <w:numPr>
          <w:ilvl w:val="0"/>
          <w:numId w:val="122"/>
        </w:numPr>
        <w:spacing w:after="0" w:line="360" w:lineRule="auto"/>
        <w:ind w:firstLineChars="0"/>
        <w:rPr>
          <w:color w:val="auto"/>
          <w:szCs w:val="24"/>
          <w:highlight w:val="none"/>
        </w:rPr>
      </w:pPr>
      <w:r>
        <w:rPr>
          <w:color w:val="auto"/>
          <w:szCs w:val="24"/>
          <w:highlight w:val="none"/>
        </w:rPr>
        <w:t>可对摄像机、云台、镜头进行遥控，控制效果平稳、可靠。</w:t>
      </w:r>
    </w:p>
    <w:p>
      <w:pPr>
        <w:pStyle w:val="4"/>
        <w:spacing w:before="0" w:after="0" w:line="360" w:lineRule="auto"/>
        <w:ind w:left="0" w:firstLine="0"/>
        <w:rPr>
          <w:color w:val="auto"/>
          <w:sz w:val="24"/>
          <w:szCs w:val="24"/>
          <w:highlight w:val="none"/>
        </w:rPr>
      </w:pPr>
      <w:bookmarkStart w:id="280" w:name="_Toc808"/>
      <w:r>
        <w:rPr>
          <w:rFonts w:hint="eastAsia"/>
          <w:color w:val="auto"/>
          <w:sz w:val="24"/>
          <w:szCs w:val="24"/>
          <w:highlight w:val="none"/>
        </w:rPr>
        <w:t>1</w:t>
      </w:r>
      <w:r>
        <w:rPr>
          <w:color w:val="auto"/>
          <w:sz w:val="24"/>
          <w:szCs w:val="24"/>
          <w:highlight w:val="none"/>
        </w:rPr>
        <w:t>.3.12</w:t>
      </w:r>
      <w:r>
        <w:rPr>
          <w:rFonts w:hint="eastAsia"/>
          <w:color w:val="auto"/>
          <w:sz w:val="24"/>
          <w:szCs w:val="24"/>
          <w:highlight w:val="none"/>
        </w:rPr>
        <w:t>入侵报警系统</w:t>
      </w:r>
      <w:bookmarkEnd w:id="280"/>
    </w:p>
    <w:tbl>
      <w:tblPr>
        <w:tblStyle w:val="18"/>
        <w:tblW w:w="9072" w:type="dxa"/>
        <w:tblInd w:w="-5" w:type="dxa"/>
        <w:tblLayout w:type="autofit"/>
        <w:tblCellMar>
          <w:top w:w="0" w:type="dxa"/>
          <w:left w:w="108" w:type="dxa"/>
          <w:bottom w:w="0" w:type="dxa"/>
          <w:right w:w="108" w:type="dxa"/>
        </w:tblCellMar>
      </w:tblPr>
      <w:tblGrid>
        <w:gridCol w:w="1840"/>
        <w:gridCol w:w="1960"/>
        <w:gridCol w:w="1520"/>
        <w:gridCol w:w="3752"/>
      </w:tblGrid>
      <w:tr>
        <w:tblPrEx>
          <w:tblCellMar>
            <w:top w:w="0" w:type="dxa"/>
            <w:left w:w="108" w:type="dxa"/>
            <w:bottom w:w="0" w:type="dxa"/>
            <w:right w:w="108" w:type="dxa"/>
          </w:tblCellMar>
        </w:tblPrEx>
        <w:trPr>
          <w:trHeight w:val="285" w:hRule="atLeast"/>
        </w:trPr>
        <w:tc>
          <w:tcPr>
            <w:tcW w:w="1840" w:type="dxa"/>
            <w:tcBorders>
              <w:top w:val="single" w:color="auto" w:sz="4" w:space="0"/>
              <w:left w:val="single" w:color="auto" w:sz="4" w:space="0"/>
              <w:bottom w:val="single" w:color="auto" w:sz="4" w:space="0"/>
              <w:right w:val="single" w:color="auto" w:sz="4" w:space="0"/>
            </w:tcBorders>
            <w:shd w:val="clear" w:color="auto" w:fill="auto"/>
            <w:vAlign w:val="center"/>
          </w:tcPr>
          <w:p>
            <w:pPr>
              <w:spacing w:after="0" w:line="360" w:lineRule="auto"/>
              <w:ind w:left="0" w:right="0" w:firstLine="0"/>
              <w:jc w:val="center"/>
              <w:rPr>
                <w:b/>
                <w:bCs/>
                <w:color w:val="auto"/>
                <w:kern w:val="0"/>
                <w:szCs w:val="24"/>
                <w:highlight w:val="none"/>
              </w:rPr>
            </w:pPr>
            <w:r>
              <w:rPr>
                <w:rFonts w:hint="eastAsia"/>
                <w:b/>
                <w:bCs/>
                <w:color w:val="auto"/>
                <w:kern w:val="0"/>
                <w:szCs w:val="24"/>
                <w:highlight w:val="none"/>
              </w:rPr>
              <w:t>监控设备</w:t>
            </w:r>
          </w:p>
        </w:tc>
        <w:tc>
          <w:tcPr>
            <w:tcW w:w="1960" w:type="dxa"/>
            <w:tcBorders>
              <w:top w:val="single" w:color="auto" w:sz="4" w:space="0"/>
              <w:left w:val="nil"/>
              <w:bottom w:val="single" w:color="auto" w:sz="4" w:space="0"/>
              <w:right w:val="single" w:color="auto" w:sz="4" w:space="0"/>
            </w:tcBorders>
            <w:shd w:val="clear" w:color="auto" w:fill="auto"/>
            <w:vAlign w:val="center"/>
          </w:tcPr>
          <w:p>
            <w:pPr>
              <w:spacing w:after="0" w:line="360" w:lineRule="auto"/>
              <w:ind w:left="0" w:right="0" w:firstLine="0"/>
              <w:jc w:val="center"/>
              <w:rPr>
                <w:b/>
                <w:bCs/>
                <w:color w:val="auto"/>
                <w:kern w:val="0"/>
                <w:szCs w:val="24"/>
                <w:highlight w:val="none"/>
              </w:rPr>
            </w:pPr>
            <w:r>
              <w:rPr>
                <w:rFonts w:hint="eastAsia"/>
                <w:b/>
                <w:bCs/>
                <w:color w:val="auto"/>
                <w:kern w:val="0"/>
                <w:szCs w:val="24"/>
                <w:highlight w:val="none"/>
              </w:rPr>
              <w:t>监控内容</w:t>
            </w:r>
          </w:p>
        </w:tc>
        <w:tc>
          <w:tcPr>
            <w:tcW w:w="1520" w:type="dxa"/>
            <w:tcBorders>
              <w:top w:val="single" w:color="auto" w:sz="4" w:space="0"/>
              <w:left w:val="nil"/>
              <w:bottom w:val="single" w:color="auto" w:sz="4" w:space="0"/>
              <w:right w:val="single" w:color="auto" w:sz="4" w:space="0"/>
            </w:tcBorders>
            <w:shd w:val="clear" w:color="auto" w:fill="auto"/>
            <w:vAlign w:val="center"/>
          </w:tcPr>
          <w:p>
            <w:pPr>
              <w:spacing w:after="0" w:line="360" w:lineRule="auto"/>
              <w:ind w:left="0" w:right="0" w:firstLine="0"/>
              <w:jc w:val="center"/>
              <w:rPr>
                <w:b/>
                <w:bCs/>
                <w:color w:val="auto"/>
                <w:kern w:val="0"/>
                <w:szCs w:val="24"/>
                <w:highlight w:val="none"/>
              </w:rPr>
            </w:pPr>
            <w:r>
              <w:rPr>
                <w:rFonts w:hint="eastAsia"/>
                <w:b/>
                <w:bCs/>
                <w:color w:val="auto"/>
                <w:kern w:val="0"/>
                <w:szCs w:val="24"/>
                <w:highlight w:val="none"/>
              </w:rPr>
              <w:t>采集方式</w:t>
            </w:r>
          </w:p>
        </w:tc>
        <w:tc>
          <w:tcPr>
            <w:tcW w:w="3752" w:type="dxa"/>
            <w:tcBorders>
              <w:top w:val="single" w:color="auto" w:sz="4" w:space="0"/>
              <w:left w:val="nil"/>
              <w:bottom w:val="single" w:color="auto" w:sz="4" w:space="0"/>
              <w:right w:val="single" w:color="auto" w:sz="4" w:space="0"/>
            </w:tcBorders>
            <w:shd w:val="clear" w:color="auto" w:fill="auto"/>
            <w:vAlign w:val="center"/>
          </w:tcPr>
          <w:p>
            <w:pPr>
              <w:spacing w:after="0" w:line="360" w:lineRule="auto"/>
              <w:ind w:left="0" w:right="0" w:firstLine="0"/>
              <w:jc w:val="center"/>
              <w:rPr>
                <w:b/>
                <w:bCs/>
                <w:color w:val="auto"/>
                <w:kern w:val="0"/>
                <w:szCs w:val="24"/>
                <w:highlight w:val="none"/>
              </w:rPr>
            </w:pPr>
            <w:r>
              <w:rPr>
                <w:rFonts w:hint="eastAsia"/>
                <w:b/>
                <w:bCs/>
                <w:color w:val="auto"/>
                <w:kern w:val="0"/>
                <w:szCs w:val="24"/>
                <w:highlight w:val="none"/>
              </w:rPr>
              <w:t>平台对接</w:t>
            </w:r>
          </w:p>
        </w:tc>
      </w:tr>
      <w:tr>
        <w:tblPrEx>
          <w:tblCellMar>
            <w:top w:w="0" w:type="dxa"/>
            <w:left w:w="108" w:type="dxa"/>
            <w:bottom w:w="0" w:type="dxa"/>
            <w:right w:w="108" w:type="dxa"/>
          </w:tblCellMar>
        </w:tblPrEx>
        <w:trPr>
          <w:trHeight w:val="285" w:hRule="atLeast"/>
        </w:trPr>
        <w:tc>
          <w:tcPr>
            <w:tcW w:w="1840" w:type="dxa"/>
            <w:tcBorders>
              <w:top w:val="nil"/>
              <w:left w:val="single" w:color="auto" w:sz="4" w:space="0"/>
              <w:bottom w:val="single" w:color="auto" w:sz="4" w:space="0"/>
              <w:right w:val="single" w:color="auto" w:sz="4" w:space="0"/>
            </w:tcBorders>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报警箱</w:t>
            </w:r>
          </w:p>
        </w:tc>
        <w:tc>
          <w:tcPr>
            <w:tcW w:w="1960" w:type="dxa"/>
            <w:tcBorders>
              <w:top w:val="nil"/>
              <w:left w:val="nil"/>
              <w:bottom w:val="single" w:color="auto" w:sz="4" w:space="0"/>
              <w:right w:val="single" w:color="auto" w:sz="4" w:space="0"/>
            </w:tcBorders>
            <w:shd w:val="clear" w:color="auto" w:fill="auto"/>
            <w:vAlign w:val="center"/>
          </w:tcPr>
          <w:p>
            <w:pPr>
              <w:spacing w:after="0" w:line="360" w:lineRule="auto"/>
              <w:ind w:left="0" w:right="0" w:firstLine="0"/>
              <w:rPr>
                <w:color w:val="auto"/>
                <w:kern w:val="0"/>
                <w:szCs w:val="24"/>
                <w:highlight w:val="none"/>
              </w:rPr>
            </w:pPr>
            <w:r>
              <w:rPr>
                <w:rFonts w:hint="eastAsia"/>
                <w:color w:val="auto"/>
                <w:kern w:val="0"/>
                <w:szCs w:val="24"/>
                <w:highlight w:val="none"/>
              </w:rPr>
              <w:t>系统撤布防状态</w:t>
            </w:r>
          </w:p>
        </w:tc>
        <w:tc>
          <w:tcPr>
            <w:tcW w:w="1520" w:type="dxa"/>
            <w:vMerge w:val="restart"/>
            <w:tcBorders>
              <w:top w:val="nil"/>
              <w:left w:val="single" w:color="auto" w:sz="4" w:space="0"/>
              <w:bottom w:val="single" w:color="auto" w:sz="4" w:space="0"/>
              <w:right w:val="single" w:color="auto" w:sz="4" w:space="0"/>
            </w:tcBorders>
            <w:shd w:val="clear" w:color="auto" w:fill="auto"/>
            <w:vAlign w:val="center"/>
          </w:tcPr>
          <w:p>
            <w:pPr>
              <w:spacing w:after="0" w:line="360" w:lineRule="auto"/>
              <w:ind w:left="0" w:right="0" w:firstLine="0"/>
              <w:jc w:val="center"/>
              <w:rPr>
                <w:color w:val="auto"/>
                <w:kern w:val="0"/>
                <w:szCs w:val="24"/>
                <w:highlight w:val="none"/>
              </w:rPr>
            </w:pPr>
            <w:r>
              <w:rPr>
                <w:rFonts w:hint="eastAsia"/>
                <w:color w:val="auto"/>
                <w:kern w:val="0"/>
                <w:szCs w:val="24"/>
                <w:highlight w:val="none"/>
              </w:rPr>
              <w:t>入侵报警系统</w:t>
            </w:r>
          </w:p>
        </w:tc>
        <w:tc>
          <w:tcPr>
            <w:tcW w:w="3752" w:type="dxa"/>
            <w:vMerge w:val="restart"/>
            <w:tcBorders>
              <w:top w:val="nil"/>
              <w:left w:val="single" w:color="auto" w:sz="4" w:space="0"/>
              <w:bottom w:val="single" w:color="auto" w:sz="4" w:space="0"/>
              <w:right w:val="single" w:color="auto" w:sz="4" w:space="0"/>
            </w:tcBorders>
            <w:shd w:val="clear" w:color="auto" w:fill="auto"/>
            <w:vAlign w:val="center"/>
          </w:tcPr>
          <w:p>
            <w:pPr>
              <w:spacing w:after="0" w:line="360" w:lineRule="auto"/>
              <w:ind w:left="0" w:right="0" w:firstLine="0"/>
              <w:jc w:val="center"/>
              <w:rPr>
                <w:color w:val="auto"/>
                <w:kern w:val="0"/>
                <w:szCs w:val="24"/>
                <w:highlight w:val="none"/>
              </w:rPr>
            </w:pPr>
            <w:r>
              <w:rPr>
                <w:rFonts w:hint="eastAsia"/>
                <w:color w:val="auto"/>
                <w:kern w:val="0"/>
                <w:szCs w:val="24"/>
                <w:highlight w:val="none"/>
              </w:rPr>
              <w:t>由入侵报警系统上传至医院后勤智慧运维平台</w:t>
            </w:r>
          </w:p>
        </w:tc>
      </w:tr>
      <w:tr>
        <w:tblPrEx>
          <w:tblCellMar>
            <w:top w:w="0" w:type="dxa"/>
            <w:left w:w="108" w:type="dxa"/>
            <w:bottom w:w="0" w:type="dxa"/>
            <w:right w:w="108" w:type="dxa"/>
          </w:tblCellMar>
        </w:tblPrEx>
        <w:trPr>
          <w:trHeight w:val="285" w:hRule="atLeast"/>
        </w:trPr>
        <w:tc>
          <w:tcPr>
            <w:tcW w:w="1840" w:type="dxa"/>
            <w:tcBorders>
              <w:top w:val="nil"/>
              <w:left w:val="single" w:color="auto" w:sz="4" w:space="0"/>
              <w:bottom w:val="single" w:color="auto" w:sz="4" w:space="0"/>
              <w:right w:val="single" w:color="auto" w:sz="4" w:space="0"/>
            </w:tcBorders>
            <w:shd w:val="clear" w:color="auto" w:fill="auto"/>
            <w:noWrap/>
            <w:vAlign w:val="center"/>
          </w:tcPr>
          <w:p>
            <w:pPr>
              <w:spacing w:after="0" w:line="360" w:lineRule="auto"/>
              <w:ind w:left="0" w:right="0" w:firstLine="0"/>
              <w:rPr>
                <w:rFonts w:ascii="等线" w:hAnsi="等线" w:eastAsia="等线"/>
                <w:color w:val="auto"/>
                <w:kern w:val="0"/>
                <w:sz w:val="22"/>
                <w:highlight w:val="none"/>
              </w:rPr>
            </w:pPr>
            <w:r>
              <w:rPr>
                <w:rFonts w:hint="eastAsia" w:ascii="等线" w:hAnsi="等线" w:eastAsia="等线"/>
                <w:color w:val="auto"/>
                <w:kern w:val="0"/>
                <w:sz w:val="22"/>
                <w:highlight w:val="none"/>
              </w:rPr>
              <w:t>手动报警按钮</w:t>
            </w:r>
          </w:p>
        </w:tc>
        <w:tc>
          <w:tcPr>
            <w:tcW w:w="1960" w:type="dxa"/>
            <w:tcBorders>
              <w:top w:val="nil"/>
              <w:left w:val="nil"/>
              <w:bottom w:val="single" w:color="auto" w:sz="4" w:space="0"/>
              <w:right w:val="single" w:color="auto" w:sz="4" w:space="0"/>
            </w:tcBorders>
            <w:shd w:val="clear" w:color="auto" w:fill="auto"/>
            <w:noWrap/>
            <w:vAlign w:val="center"/>
          </w:tcPr>
          <w:p>
            <w:pPr>
              <w:spacing w:after="0" w:line="360" w:lineRule="auto"/>
              <w:ind w:left="0" w:right="0" w:firstLine="0"/>
              <w:rPr>
                <w:rFonts w:ascii="等线" w:hAnsi="等线" w:eastAsia="等线"/>
                <w:color w:val="auto"/>
                <w:kern w:val="0"/>
                <w:sz w:val="22"/>
                <w:highlight w:val="none"/>
              </w:rPr>
            </w:pPr>
            <w:r>
              <w:rPr>
                <w:rFonts w:hint="eastAsia" w:ascii="等线" w:hAnsi="等线" w:eastAsia="等线"/>
                <w:color w:val="auto"/>
                <w:kern w:val="0"/>
                <w:sz w:val="22"/>
                <w:highlight w:val="none"/>
              </w:rPr>
              <w:t>设备状态</w:t>
            </w:r>
          </w:p>
        </w:tc>
        <w:tc>
          <w:tcPr>
            <w:tcW w:w="1520" w:type="dxa"/>
            <w:vMerge w:val="continue"/>
            <w:tcBorders>
              <w:top w:val="nil"/>
              <w:left w:val="single" w:color="auto" w:sz="4" w:space="0"/>
              <w:bottom w:val="single" w:color="auto" w:sz="4" w:space="0"/>
              <w:right w:val="single" w:color="auto" w:sz="4" w:space="0"/>
            </w:tcBorders>
            <w:vAlign w:val="center"/>
          </w:tcPr>
          <w:p>
            <w:pPr>
              <w:spacing w:after="0" w:line="360" w:lineRule="auto"/>
              <w:ind w:left="0" w:right="0" w:firstLine="0"/>
              <w:rPr>
                <w:color w:val="auto"/>
                <w:kern w:val="0"/>
                <w:szCs w:val="24"/>
                <w:highlight w:val="none"/>
              </w:rPr>
            </w:pPr>
          </w:p>
        </w:tc>
        <w:tc>
          <w:tcPr>
            <w:tcW w:w="3752" w:type="dxa"/>
            <w:vMerge w:val="continue"/>
            <w:tcBorders>
              <w:top w:val="nil"/>
              <w:left w:val="single" w:color="auto" w:sz="4" w:space="0"/>
              <w:bottom w:val="single" w:color="auto" w:sz="4" w:space="0"/>
              <w:right w:val="single" w:color="auto" w:sz="4" w:space="0"/>
            </w:tcBorders>
            <w:vAlign w:val="center"/>
          </w:tcPr>
          <w:p>
            <w:pPr>
              <w:spacing w:after="0" w:line="360" w:lineRule="auto"/>
              <w:ind w:left="0" w:right="0" w:firstLine="0"/>
              <w:rPr>
                <w:color w:val="auto"/>
                <w:kern w:val="0"/>
                <w:szCs w:val="24"/>
                <w:highlight w:val="none"/>
              </w:rPr>
            </w:pPr>
          </w:p>
        </w:tc>
      </w:tr>
      <w:tr>
        <w:tblPrEx>
          <w:tblCellMar>
            <w:top w:w="0" w:type="dxa"/>
            <w:left w:w="108" w:type="dxa"/>
            <w:bottom w:w="0" w:type="dxa"/>
            <w:right w:w="108" w:type="dxa"/>
          </w:tblCellMar>
        </w:tblPrEx>
        <w:trPr>
          <w:trHeight w:val="285" w:hRule="atLeast"/>
        </w:trPr>
        <w:tc>
          <w:tcPr>
            <w:tcW w:w="1840" w:type="dxa"/>
            <w:tcBorders>
              <w:top w:val="nil"/>
              <w:left w:val="single" w:color="auto" w:sz="4" w:space="0"/>
              <w:bottom w:val="single" w:color="auto" w:sz="4" w:space="0"/>
              <w:right w:val="single" w:color="auto" w:sz="4" w:space="0"/>
            </w:tcBorders>
            <w:shd w:val="clear" w:color="auto" w:fill="auto"/>
            <w:noWrap/>
            <w:vAlign w:val="center"/>
          </w:tcPr>
          <w:p>
            <w:pPr>
              <w:spacing w:after="0" w:line="360" w:lineRule="auto"/>
              <w:ind w:left="0" w:right="0" w:firstLine="0"/>
              <w:rPr>
                <w:rFonts w:ascii="等线" w:hAnsi="等线" w:eastAsia="等线"/>
                <w:color w:val="auto"/>
                <w:kern w:val="0"/>
                <w:sz w:val="22"/>
                <w:highlight w:val="none"/>
              </w:rPr>
            </w:pPr>
            <w:r>
              <w:rPr>
                <w:rFonts w:hint="eastAsia" w:ascii="等线" w:hAnsi="等线" w:eastAsia="等线"/>
                <w:color w:val="auto"/>
                <w:kern w:val="0"/>
                <w:sz w:val="22"/>
                <w:highlight w:val="none"/>
              </w:rPr>
              <w:t>红外报警</w:t>
            </w:r>
          </w:p>
        </w:tc>
        <w:tc>
          <w:tcPr>
            <w:tcW w:w="1960" w:type="dxa"/>
            <w:tcBorders>
              <w:top w:val="nil"/>
              <w:left w:val="nil"/>
              <w:bottom w:val="single" w:color="auto" w:sz="4" w:space="0"/>
              <w:right w:val="single" w:color="auto" w:sz="4" w:space="0"/>
            </w:tcBorders>
            <w:shd w:val="clear" w:color="auto" w:fill="auto"/>
            <w:noWrap/>
            <w:vAlign w:val="center"/>
          </w:tcPr>
          <w:p>
            <w:pPr>
              <w:spacing w:after="0" w:line="360" w:lineRule="auto"/>
              <w:ind w:left="0" w:right="0" w:firstLine="0"/>
              <w:rPr>
                <w:rFonts w:ascii="等线" w:hAnsi="等线" w:eastAsia="等线"/>
                <w:color w:val="auto"/>
                <w:kern w:val="0"/>
                <w:sz w:val="22"/>
                <w:highlight w:val="none"/>
              </w:rPr>
            </w:pPr>
            <w:r>
              <w:rPr>
                <w:rFonts w:hint="eastAsia" w:ascii="等线" w:hAnsi="等线" w:eastAsia="等线"/>
                <w:color w:val="auto"/>
                <w:kern w:val="0"/>
                <w:sz w:val="22"/>
                <w:highlight w:val="none"/>
              </w:rPr>
              <w:t>设备状态</w:t>
            </w:r>
          </w:p>
        </w:tc>
        <w:tc>
          <w:tcPr>
            <w:tcW w:w="1520" w:type="dxa"/>
            <w:vMerge w:val="continue"/>
            <w:tcBorders>
              <w:top w:val="nil"/>
              <w:left w:val="single" w:color="auto" w:sz="4" w:space="0"/>
              <w:bottom w:val="single" w:color="auto" w:sz="4" w:space="0"/>
              <w:right w:val="single" w:color="auto" w:sz="4" w:space="0"/>
            </w:tcBorders>
            <w:vAlign w:val="center"/>
          </w:tcPr>
          <w:p>
            <w:pPr>
              <w:spacing w:after="0" w:line="360" w:lineRule="auto"/>
              <w:ind w:left="0" w:right="0" w:firstLine="0"/>
              <w:rPr>
                <w:color w:val="auto"/>
                <w:kern w:val="0"/>
                <w:szCs w:val="24"/>
                <w:highlight w:val="none"/>
              </w:rPr>
            </w:pPr>
          </w:p>
        </w:tc>
        <w:tc>
          <w:tcPr>
            <w:tcW w:w="3752" w:type="dxa"/>
            <w:vMerge w:val="continue"/>
            <w:tcBorders>
              <w:top w:val="nil"/>
              <w:left w:val="single" w:color="auto" w:sz="4" w:space="0"/>
              <w:bottom w:val="single" w:color="auto" w:sz="4" w:space="0"/>
              <w:right w:val="single" w:color="auto" w:sz="4" w:space="0"/>
            </w:tcBorders>
            <w:vAlign w:val="center"/>
          </w:tcPr>
          <w:p>
            <w:pPr>
              <w:spacing w:after="0" w:line="360" w:lineRule="auto"/>
              <w:ind w:left="0" w:right="0" w:firstLine="0"/>
              <w:rPr>
                <w:color w:val="auto"/>
                <w:kern w:val="0"/>
                <w:szCs w:val="24"/>
                <w:highlight w:val="none"/>
              </w:rPr>
            </w:pPr>
          </w:p>
        </w:tc>
      </w:tr>
      <w:tr>
        <w:tblPrEx>
          <w:tblCellMar>
            <w:top w:w="0" w:type="dxa"/>
            <w:left w:w="108" w:type="dxa"/>
            <w:bottom w:w="0" w:type="dxa"/>
            <w:right w:w="108" w:type="dxa"/>
          </w:tblCellMar>
        </w:tblPrEx>
        <w:trPr>
          <w:trHeight w:val="285" w:hRule="atLeast"/>
        </w:trPr>
        <w:tc>
          <w:tcPr>
            <w:tcW w:w="1840" w:type="dxa"/>
            <w:tcBorders>
              <w:top w:val="nil"/>
              <w:left w:val="single" w:color="auto" w:sz="4" w:space="0"/>
              <w:bottom w:val="single" w:color="auto" w:sz="4" w:space="0"/>
              <w:right w:val="single" w:color="auto" w:sz="4" w:space="0"/>
            </w:tcBorders>
            <w:shd w:val="clear" w:color="auto" w:fill="auto"/>
            <w:noWrap/>
            <w:vAlign w:val="center"/>
          </w:tcPr>
          <w:p>
            <w:pPr>
              <w:spacing w:after="0" w:line="360" w:lineRule="auto"/>
              <w:ind w:left="0" w:right="0" w:firstLine="0"/>
              <w:rPr>
                <w:rFonts w:ascii="等线" w:hAnsi="等线" w:eastAsia="等线"/>
                <w:color w:val="auto"/>
                <w:kern w:val="0"/>
                <w:sz w:val="22"/>
                <w:highlight w:val="none"/>
              </w:rPr>
            </w:pPr>
            <w:r>
              <w:rPr>
                <w:rFonts w:hint="eastAsia" w:ascii="等线" w:hAnsi="等线" w:eastAsia="等线"/>
                <w:color w:val="auto"/>
                <w:kern w:val="0"/>
                <w:sz w:val="22"/>
                <w:highlight w:val="none"/>
              </w:rPr>
              <w:t>玻璃破碎报警器</w:t>
            </w:r>
          </w:p>
        </w:tc>
        <w:tc>
          <w:tcPr>
            <w:tcW w:w="1960" w:type="dxa"/>
            <w:tcBorders>
              <w:top w:val="nil"/>
              <w:left w:val="nil"/>
              <w:bottom w:val="single" w:color="auto" w:sz="4" w:space="0"/>
              <w:right w:val="single" w:color="auto" w:sz="4" w:space="0"/>
            </w:tcBorders>
            <w:shd w:val="clear" w:color="auto" w:fill="auto"/>
            <w:noWrap/>
            <w:vAlign w:val="center"/>
          </w:tcPr>
          <w:p>
            <w:pPr>
              <w:spacing w:after="0" w:line="360" w:lineRule="auto"/>
              <w:ind w:left="0" w:right="0" w:firstLine="0"/>
              <w:rPr>
                <w:rFonts w:ascii="等线" w:hAnsi="等线" w:eastAsia="等线"/>
                <w:color w:val="auto"/>
                <w:kern w:val="0"/>
                <w:sz w:val="22"/>
                <w:highlight w:val="none"/>
              </w:rPr>
            </w:pPr>
            <w:r>
              <w:rPr>
                <w:rFonts w:hint="eastAsia" w:ascii="等线" w:hAnsi="等线" w:eastAsia="等线"/>
                <w:color w:val="auto"/>
                <w:kern w:val="0"/>
                <w:sz w:val="22"/>
                <w:highlight w:val="none"/>
              </w:rPr>
              <w:t>探头运行状态</w:t>
            </w:r>
          </w:p>
        </w:tc>
        <w:tc>
          <w:tcPr>
            <w:tcW w:w="1520" w:type="dxa"/>
            <w:vMerge w:val="continue"/>
            <w:tcBorders>
              <w:top w:val="nil"/>
              <w:left w:val="single" w:color="auto" w:sz="4" w:space="0"/>
              <w:bottom w:val="single" w:color="auto" w:sz="4" w:space="0"/>
              <w:right w:val="single" w:color="auto" w:sz="4" w:space="0"/>
            </w:tcBorders>
            <w:vAlign w:val="center"/>
          </w:tcPr>
          <w:p>
            <w:pPr>
              <w:spacing w:after="0" w:line="360" w:lineRule="auto"/>
              <w:ind w:left="0" w:right="0" w:firstLine="0"/>
              <w:rPr>
                <w:color w:val="auto"/>
                <w:kern w:val="0"/>
                <w:szCs w:val="24"/>
                <w:highlight w:val="none"/>
              </w:rPr>
            </w:pPr>
          </w:p>
        </w:tc>
        <w:tc>
          <w:tcPr>
            <w:tcW w:w="3752" w:type="dxa"/>
            <w:vMerge w:val="continue"/>
            <w:tcBorders>
              <w:top w:val="nil"/>
              <w:left w:val="single" w:color="auto" w:sz="4" w:space="0"/>
              <w:bottom w:val="single" w:color="auto" w:sz="4" w:space="0"/>
              <w:right w:val="single" w:color="auto" w:sz="4" w:space="0"/>
            </w:tcBorders>
            <w:vAlign w:val="center"/>
          </w:tcPr>
          <w:p>
            <w:pPr>
              <w:spacing w:after="0" w:line="360" w:lineRule="auto"/>
              <w:ind w:left="0" w:right="0" w:firstLine="0"/>
              <w:rPr>
                <w:color w:val="auto"/>
                <w:kern w:val="0"/>
                <w:szCs w:val="24"/>
                <w:highlight w:val="none"/>
              </w:rPr>
            </w:pPr>
          </w:p>
        </w:tc>
      </w:tr>
    </w:tbl>
    <w:p>
      <w:pPr>
        <w:spacing w:after="0" w:line="360" w:lineRule="auto"/>
        <w:rPr>
          <w:color w:val="auto"/>
          <w:highlight w:val="none"/>
        </w:rPr>
      </w:pPr>
    </w:p>
    <w:p>
      <w:pPr>
        <w:spacing w:after="0" w:line="360" w:lineRule="auto"/>
        <w:rPr>
          <w:b/>
          <w:color w:val="auto"/>
          <w:szCs w:val="24"/>
          <w:highlight w:val="none"/>
        </w:rPr>
      </w:pPr>
      <w:bookmarkStart w:id="281" w:name="_Toc5710"/>
      <w:bookmarkStart w:id="282" w:name="_Toc3592"/>
      <w:bookmarkStart w:id="283" w:name="_Toc20608"/>
      <w:r>
        <w:rPr>
          <w:rFonts w:hint="eastAsia"/>
          <w:b/>
          <w:color w:val="auto"/>
          <w:szCs w:val="24"/>
          <w:highlight w:val="none"/>
        </w:rPr>
        <w:t>监视要点：</w:t>
      </w:r>
      <w:bookmarkEnd w:id="281"/>
      <w:bookmarkEnd w:id="282"/>
      <w:bookmarkEnd w:id="283"/>
    </w:p>
    <w:p>
      <w:pPr>
        <w:pStyle w:val="30"/>
        <w:numPr>
          <w:ilvl w:val="0"/>
          <w:numId w:val="122"/>
        </w:numPr>
        <w:spacing w:after="0" w:line="360" w:lineRule="auto"/>
        <w:ind w:right="-9" w:firstLineChars="0"/>
        <w:rPr>
          <w:color w:val="auto"/>
          <w:szCs w:val="24"/>
          <w:highlight w:val="none"/>
        </w:rPr>
      </w:pPr>
      <w:r>
        <w:rPr>
          <w:rFonts w:hint="eastAsia"/>
          <w:color w:val="auto"/>
          <w:szCs w:val="24"/>
          <w:highlight w:val="none"/>
        </w:rPr>
        <w:t>显示防盗报警系统的整体布防、区域布防、</w:t>
      </w:r>
      <w:r>
        <w:rPr>
          <w:color w:val="auto"/>
          <w:szCs w:val="24"/>
          <w:highlight w:val="none"/>
        </w:rPr>
        <w:t xml:space="preserve"> 撤防状态、</w:t>
      </w:r>
      <w:r>
        <w:rPr>
          <w:rFonts w:hint="eastAsia"/>
          <w:color w:val="auto"/>
          <w:szCs w:val="24"/>
          <w:highlight w:val="none"/>
        </w:rPr>
        <w:t>设备数量、报警数量；</w:t>
      </w:r>
    </w:p>
    <w:p>
      <w:pPr>
        <w:pStyle w:val="30"/>
        <w:numPr>
          <w:ilvl w:val="0"/>
          <w:numId w:val="122"/>
        </w:numPr>
        <w:spacing w:after="0" w:line="360" w:lineRule="auto"/>
        <w:ind w:firstLineChars="0"/>
        <w:rPr>
          <w:color w:val="auto"/>
          <w:szCs w:val="24"/>
          <w:highlight w:val="none"/>
        </w:rPr>
      </w:pPr>
      <w:r>
        <w:rPr>
          <w:rFonts w:hint="eastAsia"/>
          <w:color w:val="auto"/>
          <w:szCs w:val="24"/>
          <w:highlight w:val="none"/>
        </w:rPr>
        <w:t>与视频系统联动，非法闯入视频弹窗。</w:t>
      </w:r>
    </w:p>
    <w:p>
      <w:pPr>
        <w:pStyle w:val="4"/>
        <w:spacing w:before="0" w:after="0" w:line="360" w:lineRule="auto"/>
        <w:ind w:left="0" w:firstLine="0"/>
        <w:rPr>
          <w:color w:val="auto"/>
          <w:sz w:val="24"/>
          <w:szCs w:val="24"/>
          <w:highlight w:val="none"/>
        </w:rPr>
      </w:pPr>
      <w:bookmarkStart w:id="284" w:name="_Toc14979"/>
      <w:bookmarkStart w:id="285" w:name="_Toc31377"/>
      <w:bookmarkStart w:id="286" w:name="_Toc1774"/>
      <w:r>
        <w:rPr>
          <w:rFonts w:hint="eastAsia"/>
          <w:color w:val="auto"/>
          <w:sz w:val="24"/>
          <w:szCs w:val="24"/>
          <w:highlight w:val="none"/>
        </w:rPr>
        <w:t>1</w:t>
      </w:r>
      <w:r>
        <w:rPr>
          <w:color w:val="auto"/>
          <w:sz w:val="24"/>
          <w:szCs w:val="24"/>
          <w:highlight w:val="none"/>
        </w:rPr>
        <w:t>.3.13</w:t>
      </w:r>
      <w:r>
        <w:rPr>
          <w:rFonts w:hint="eastAsia"/>
          <w:color w:val="auto"/>
          <w:sz w:val="24"/>
          <w:szCs w:val="24"/>
          <w:highlight w:val="none"/>
        </w:rPr>
        <w:t>停车场管理系统</w:t>
      </w:r>
      <w:bookmarkEnd w:id="284"/>
      <w:bookmarkEnd w:id="285"/>
      <w:bookmarkEnd w:id="286"/>
    </w:p>
    <w:tbl>
      <w:tblPr>
        <w:tblStyle w:val="18"/>
        <w:tblW w:w="4981"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68"/>
        <w:gridCol w:w="4103"/>
        <w:gridCol w:w="1621"/>
        <w:gridCol w:w="228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904" w:type="pct"/>
            <w:shd w:val="clear" w:color="auto" w:fill="auto"/>
            <w:vAlign w:val="center"/>
          </w:tcPr>
          <w:p>
            <w:pPr>
              <w:spacing w:after="0" w:line="360" w:lineRule="auto"/>
              <w:ind w:left="0" w:right="0" w:firstLine="0"/>
              <w:jc w:val="center"/>
              <w:rPr>
                <w:b/>
                <w:bCs/>
                <w:color w:val="auto"/>
                <w:kern w:val="0"/>
                <w:szCs w:val="24"/>
                <w:highlight w:val="none"/>
              </w:rPr>
            </w:pPr>
            <w:r>
              <w:rPr>
                <w:rFonts w:hint="eastAsia"/>
                <w:b/>
                <w:bCs/>
                <w:color w:val="auto"/>
                <w:kern w:val="0"/>
                <w:szCs w:val="24"/>
                <w:highlight w:val="none"/>
              </w:rPr>
              <w:t>监控设备</w:t>
            </w:r>
          </w:p>
        </w:tc>
        <w:tc>
          <w:tcPr>
            <w:tcW w:w="2098" w:type="pct"/>
            <w:shd w:val="clear" w:color="auto" w:fill="auto"/>
            <w:vAlign w:val="center"/>
          </w:tcPr>
          <w:p>
            <w:pPr>
              <w:spacing w:after="0" w:line="360" w:lineRule="auto"/>
              <w:ind w:left="0" w:right="0" w:firstLine="0"/>
              <w:jc w:val="center"/>
              <w:rPr>
                <w:b/>
                <w:bCs/>
                <w:color w:val="auto"/>
                <w:kern w:val="0"/>
                <w:szCs w:val="24"/>
                <w:highlight w:val="none"/>
              </w:rPr>
            </w:pPr>
            <w:r>
              <w:rPr>
                <w:rFonts w:hint="eastAsia"/>
                <w:b/>
                <w:bCs/>
                <w:color w:val="auto"/>
                <w:kern w:val="0"/>
                <w:szCs w:val="24"/>
                <w:highlight w:val="none"/>
              </w:rPr>
              <w:t>监控内容</w:t>
            </w:r>
          </w:p>
        </w:tc>
        <w:tc>
          <w:tcPr>
            <w:tcW w:w="829" w:type="pct"/>
            <w:shd w:val="clear" w:color="auto" w:fill="auto"/>
            <w:vAlign w:val="center"/>
          </w:tcPr>
          <w:p>
            <w:pPr>
              <w:spacing w:after="0" w:line="360" w:lineRule="auto"/>
              <w:ind w:left="0" w:right="0" w:firstLine="0"/>
              <w:jc w:val="center"/>
              <w:rPr>
                <w:b/>
                <w:bCs/>
                <w:color w:val="auto"/>
                <w:kern w:val="0"/>
                <w:szCs w:val="24"/>
                <w:highlight w:val="none"/>
              </w:rPr>
            </w:pPr>
            <w:r>
              <w:rPr>
                <w:rFonts w:hint="eastAsia"/>
                <w:b/>
                <w:bCs/>
                <w:color w:val="auto"/>
                <w:kern w:val="0"/>
                <w:szCs w:val="24"/>
                <w:highlight w:val="none"/>
              </w:rPr>
              <w:t>采集方式</w:t>
            </w:r>
          </w:p>
        </w:tc>
        <w:tc>
          <w:tcPr>
            <w:tcW w:w="1169" w:type="pct"/>
            <w:shd w:val="clear" w:color="auto" w:fill="auto"/>
            <w:vAlign w:val="center"/>
          </w:tcPr>
          <w:p>
            <w:pPr>
              <w:spacing w:after="0" w:line="360" w:lineRule="auto"/>
              <w:ind w:left="0" w:right="0" w:firstLine="0"/>
              <w:jc w:val="center"/>
              <w:rPr>
                <w:b/>
                <w:bCs/>
                <w:color w:val="auto"/>
                <w:kern w:val="0"/>
                <w:szCs w:val="24"/>
                <w:highlight w:val="none"/>
              </w:rPr>
            </w:pPr>
            <w:r>
              <w:rPr>
                <w:rFonts w:hint="eastAsia"/>
                <w:b/>
                <w:bCs/>
                <w:color w:val="auto"/>
                <w:kern w:val="0"/>
                <w:szCs w:val="24"/>
                <w:highlight w:val="none"/>
              </w:rPr>
              <w:t>平台对接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90" w:hRule="atLeast"/>
        </w:trPr>
        <w:tc>
          <w:tcPr>
            <w:tcW w:w="904" w:type="pct"/>
            <w:shd w:val="clear" w:color="auto" w:fill="auto"/>
            <w:vAlign w:val="center"/>
          </w:tcPr>
          <w:p>
            <w:pPr>
              <w:spacing w:after="0" w:line="360" w:lineRule="auto"/>
              <w:ind w:left="0" w:right="0" w:firstLine="0"/>
              <w:rPr>
                <w:rFonts w:ascii="等线" w:hAnsi="等线" w:eastAsia="等线"/>
                <w:color w:val="auto"/>
                <w:kern w:val="0"/>
                <w:sz w:val="22"/>
                <w:highlight w:val="none"/>
              </w:rPr>
            </w:pPr>
            <w:r>
              <w:rPr>
                <w:rFonts w:hint="eastAsia" w:ascii="等线" w:hAnsi="等线" w:eastAsia="等线"/>
                <w:color w:val="auto"/>
                <w:kern w:val="0"/>
                <w:sz w:val="22"/>
                <w:highlight w:val="none"/>
              </w:rPr>
              <w:t>车位探测器</w:t>
            </w:r>
          </w:p>
        </w:tc>
        <w:tc>
          <w:tcPr>
            <w:tcW w:w="2098" w:type="pct"/>
            <w:shd w:val="clear" w:color="auto" w:fill="auto"/>
            <w:vAlign w:val="center"/>
          </w:tcPr>
          <w:p>
            <w:pPr>
              <w:spacing w:after="0" w:line="360" w:lineRule="auto"/>
              <w:ind w:left="0" w:right="0" w:firstLine="0"/>
              <w:rPr>
                <w:rFonts w:ascii="等线" w:hAnsi="等线" w:eastAsia="等线"/>
                <w:color w:val="auto"/>
                <w:kern w:val="0"/>
                <w:sz w:val="22"/>
                <w:highlight w:val="none"/>
              </w:rPr>
            </w:pPr>
            <w:r>
              <w:rPr>
                <w:rFonts w:hint="eastAsia" w:ascii="等线" w:hAnsi="等线" w:eastAsia="等线"/>
                <w:color w:val="auto"/>
                <w:kern w:val="0"/>
                <w:sz w:val="22"/>
                <w:highlight w:val="none"/>
              </w:rPr>
              <w:t>车位状态</w:t>
            </w:r>
          </w:p>
        </w:tc>
        <w:tc>
          <w:tcPr>
            <w:tcW w:w="829" w:type="pct"/>
            <w:vMerge w:val="restart"/>
            <w:shd w:val="clear" w:color="auto" w:fill="auto"/>
            <w:vAlign w:val="center"/>
          </w:tcPr>
          <w:p>
            <w:pPr>
              <w:spacing w:after="0" w:line="360" w:lineRule="auto"/>
              <w:ind w:left="0" w:right="0" w:firstLine="0"/>
              <w:rPr>
                <w:rFonts w:ascii="等线" w:hAnsi="等线" w:eastAsia="等线"/>
                <w:color w:val="auto"/>
                <w:kern w:val="0"/>
                <w:sz w:val="22"/>
                <w:highlight w:val="none"/>
              </w:rPr>
            </w:pPr>
            <w:r>
              <w:rPr>
                <w:rFonts w:hint="eastAsia" w:ascii="等线" w:hAnsi="等线" w:eastAsia="等线"/>
                <w:color w:val="auto"/>
                <w:kern w:val="0"/>
                <w:sz w:val="22"/>
                <w:highlight w:val="none"/>
              </w:rPr>
              <w:t>停车管理系统</w:t>
            </w:r>
          </w:p>
        </w:tc>
        <w:tc>
          <w:tcPr>
            <w:tcW w:w="1169" w:type="pct"/>
            <w:vMerge w:val="restart"/>
            <w:shd w:val="clear" w:color="auto" w:fill="auto"/>
            <w:vAlign w:val="center"/>
          </w:tcPr>
          <w:p>
            <w:pPr>
              <w:spacing w:after="0" w:line="360" w:lineRule="auto"/>
              <w:ind w:left="0" w:right="0" w:firstLine="0"/>
              <w:rPr>
                <w:rFonts w:ascii="等线" w:hAnsi="等线" w:eastAsia="等线"/>
                <w:color w:val="auto"/>
                <w:kern w:val="0"/>
                <w:sz w:val="22"/>
                <w:highlight w:val="none"/>
              </w:rPr>
            </w:pPr>
            <w:r>
              <w:rPr>
                <w:rFonts w:hint="eastAsia" w:ascii="等线" w:hAnsi="等线" w:eastAsia="等线"/>
                <w:color w:val="auto"/>
                <w:kern w:val="0"/>
                <w:sz w:val="22"/>
                <w:highlight w:val="none"/>
              </w:rPr>
              <w:t>由停车管理系统上传至医院后勤智慧运维平台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0" w:hRule="atLeast"/>
        </w:trPr>
        <w:tc>
          <w:tcPr>
            <w:tcW w:w="904" w:type="pct"/>
            <w:shd w:val="clear" w:color="auto" w:fill="auto"/>
            <w:noWrap/>
            <w:vAlign w:val="center"/>
          </w:tcPr>
          <w:p>
            <w:pPr>
              <w:spacing w:after="0" w:line="360" w:lineRule="auto"/>
              <w:ind w:left="0" w:right="0" w:firstLine="0"/>
              <w:rPr>
                <w:rFonts w:ascii="等线" w:hAnsi="等线" w:eastAsia="等线"/>
                <w:color w:val="auto"/>
                <w:kern w:val="0"/>
                <w:sz w:val="22"/>
                <w:highlight w:val="none"/>
              </w:rPr>
            </w:pPr>
            <w:r>
              <w:rPr>
                <w:rFonts w:hint="eastAsia" w:ascii="等线" w:hAnsi="等线" w:eastAsia="等线"/>
                <w:color w:val="auto"/>
                <w:kern w:val="0"/>
                <w:sz w:val="22"/>
                <w:highlight w:val="none"/>
              </w:rPr>
              <w:t>车位引导区域</w:t>
            </w:r>
          </w:p>
        </w:tc>
        <w:tc>
          <w:tcPr>
            <w:tcW w:w="2098" w:type="pct"/>
            <w:shd w:val="clear" w:color="auto" w:fill="auto"/>
            <w:noWrap/>
            <w:vAlign w:val="center"/>
          </w:tcPr>
          <w:p>
            <w:pPr>
              <w:spacing w:after="0" w:line="360" w:lineRule="auto"/>
              <w:ind w:left="0" w:right="0" w:firstLine="0"/>
              <w:rPr>
                <w:rFonts w:ascii="等线" w:hAnsi="等线" w:eastAsia="等线"/>
                <w:color w:val="auto"/>
                <w:kern w:val="0"/>
                <w:sz w:val="22"/>
                <w:highlight w:val="none"/>
              </w:rPr>
            </w:pPr>
            <w:r>
              <w:rPr>
                <w:rFonts w:hint="eastAsia" w:ascii="等线" w:hAnsi="等线" w:eastAsia="等线"/>
                <w:color w:val="auto"/>
                <w:kern w:val="0"/>
                <w:sz w:val="22"/>
                <w:highlight w:val="none"/>
              </w:rPr>
              <w:t>车位总数、占用车位总数、故障车位总数</w:t>
            </w:r>
          </w:p>
        </w:tc>
        <w:tc>
          <w:tcPr>
            <w:tcW w:w="829" w:type="pct"/>
            <w:vMerge w:val="continue"/>
            <w:vAlign w:val="center"/>
          </w:tcPr>
          <w:p>
            <w:pPr>
              <w:spacing w:after="0" w:line="360" w:lineRule="auto"/>
              <w:ind w:left="0" w:right="0" w:firstLine="0"/>
              <w:rPr>
                <w:rFonts w:ascii="等线" w:hAnsi="等线" w:eastAsia="等线"/>
                <w:color w:val="auto"/>
                <w:kern w:val="0"/>
                <w:sz w:val="22"/>
                <w:highlight w:val="none"/>
              </w:rPr>
            </w:pPr>
          </w:p>
        </w:tc>
        <w:tc>
          <w:tcPr>
            <w:tcW w:w="1169" w:type="pct"/>
            <w:vMerge w:val="continue"/>
            <w:vAlign w:val="center"/>
          </w:tcPr>
          <w:p>
            <w:pPr>
              <w:spacing w:after="0" w:line="360" w:lineRule="auto"/>
              <w:ind w:left="0" w:right="0" w:firstLine="0"/>
              <w:rPr>
                <w:rFonts w:ascii="等线" w:hAnsi="等线" w:eastAsia="等线"/>
                <w:color w:val="auto"/>
                <w:kern w:val="0"/>
                <w:sz w:val="22"/>
                <w:highlight w:val="none"/>
              </w:rPr>
            </w:pPr>
          </w:p>
        </w:tc>
      </w:tr>
    </w:tbl>
    <w:p>
      <w:pPr>
        <w:spacing w:after="0" w:line="360" w:lineRule="auto"/>
        <w:rPr>
          <w:b/>
          <w:color w:val="auto"/>
          <w:szCs w:val="24"/>
          <w:highlight w:val="none"/>
        </w:rPr>
      </w:pPr>
      <w:bookmarkStart w:id="287" w:name="_Toc22493"/>
      <w:bookmarkStart w:id="288" w:name="_Toc29669"/>
      <w:bookmarkStart w:id="289" w:name="_Toc28694"/>
      <w:r>
        <w:rPr>
          <w:rFonts w:hint="eastAsia"/>
          <w:b/>
          <w:color w:val="auto"/>
          <w:szCs w:val="24"/>
          <w:highlight w:val="none"/>
        </w:rPr>
        <w:t>监视要点：</w:t>
      </w:r>
      <w:bookmarkEnd w:id="287"/>
      <w:bookmarkEnd w:id="288"/>
      <w:bookmarkEnd w:id="289"/>
    </w:p>
    <w:p>
      <w:pPr>
        <w:pStyle w:val="30"/>
        <w:numPr>
          <w:ilvl w:val="0"/>
          <w:numId w:val="122"/>
        </w:numPr>
        <w:spacing w:after="0" w:line="360" w:lineRule="auto"/>
        <w:ind w:firstLineChars="0"/>
        <w:rPr>
          <w:color w:val="auto"/>
          <w:szCs w:val="24"/>
          <w:highlight w:val="none"/>
        </w:rPr>
      </w:pPr>
      <w:r>
        <w:rPr>
          <w:rFonts w:hint="eastAsia"/>
          <w:color w:val="auto"/>
          <w:szCs w:val="24"/>
          <w:highlight w:val="none"/>
        </w:rPr>
        <w:t>显示停车场车辆总数、车位总数、</w:t>
      </w:r>
      <w:r>
        <w:rPr>
          <w:color w:val="auto"/>
          <w:szCs w:val="24"/>
          <w:highlight w:val="none"/>
        </w:rPr>
        <w:t xml:space="preserve"> 故障报警总数。</w:t>
      </w:r>
    </w:p>
    <w:p>
      <w:pPr>
        <w:pStyle w:val="30"/>
        <w:numPr>
          <w:ilvl w:val="0"/>
          <w:numId w:val="122"/>
        </w:numPr>
        <w:spacing w:after="0" w:line="360" w:lineRule="auto"/>
        <w:ind w:firstLineChars="0"/>
        <w:rPr>
          <w:color w:val="auto"/>
          <w:szCs w:val="24"/>
          <w:highlight w:val="none"/>
        </w:rPr>
      </w:pPr>
      <w:r>
        <w:rPr>
          <w:rFonts w:hint="eastAsia"/>
          <w:color w:val="auto"/>
          <w:szCs w:val="24"/>
          <w:highlight w:val="none"/>
        </w:rPr>
        <w:t>显示每个车位的可用、占用及故障状态。</w:t>
      </w:r>
    </w:p>
    <w:p>
      <w:pPr>
        <w:pStyle w:val="3"/>
        <w:spacing w:before="0" w:after="0" w:line="360" w:lineRule="auto"/>
        <w:ind w:left="0" w:firstLine="0"/>
        <w:rPr>
          <w:rFonts w:ascii="宋体" w:hAnsi="宋体" w:eastAsia="宋体" w:cs="宋体"/>
          <w:color w:val="auto"/>
          <w:sz w:val="24"/>
          <w:szCs w:val="24"/>
          <w:highlight w:val="none"/>
        </w:rPr>
      </w:pPr>
      <w:bookmarkStart w:id="290" w:name="_Toc467747761"/>
      <w:bookmarkStart w:id="291" w:name="_Toc20408820"/>
      <w:r>
        <w:rPr>
          <w:rFonts w:hint="eastAsia" w:ascii="宋体" w:hAnsi="宋体" w:eastAsia="宋体" w:cs="宋体"/>
          <w:color w:val="auto"/>
          <w:sz w:val="24"/>
          <w:szCs w:val="24"/>
          <w:highlight w:val="none"/>
        </w:rPr>
        <w:t>1.</w:t>
      </w:r>
      <w:bookmarkEnd w:id="290"/>
      <w:r>
        <w:rPr>
          <w:rFonts w:ascii="宋体" w:hAnsi="宋体" w:eastAsia="宋体" w:cs="宋体"/>
          <w:color w:val="auto"/>
          <w:sz w:val="24"/>
          <w:szCs w:val="24"/>
          <w:highlight w:val="none"/>
        </w:rPr>
        <w:t>4</w:t>
      </w:r>
      <w:r>
        <w:rPr>
          <w:rFonts w:hint="eastAsia" w:ascii="宋体" w:hAnsi="宋体" w:eastAsia="宋体" w:cs="宋体"/>
          <w:color w:val="auto"/>
          <w:sz w:val="24"/>
          <w:szCs w:val="24"/>
          <w:highlight w:val="none"/>
        </w:rPr>
        <w:t>能源管理要求</w:t>
      </w:r>
      <w:bookmarkEnd w:id="291"/>
    </w:p>
    <w:p>
      <w:pPr>
        <w:pStyle w:val="4"/>
        <w:spacing w:before="0" w:after="0" w:line="360" w:lineRule="auto"/>
        <w:ind w:left="0" w:firstLine="0"/>
        <w:rPr>
          <w:color w:val="auto"/>
          <w:sz w:val="24"/>
          <w:szCs w:val="24"/>
          <w:highlight w:val="none"/>
        </w:rPr>
      </w:pPr>
      <w:bookmarkStart w:id="292" w:name="_Toc20408821"/>
      <w:bookmarkStart w:id="293" w:name="_Toc467747763"/>
      <w:r>
        <w:rPr>
          <w:rFonts w:hint="eastAsia"/>
          <w:color w:val="auto"/>
          <w:sz w:val="24"/>
          <w:szCs w:val="24"/>
          <w:highlight w:val="none"/>
        </w:rPr>
        <w:t>1.</w:t>
      </w:r>
      <w:r>
        <w:rPr>
          <w:color w:val="auto"/>
          <w:sz w:val="24"/>
          <w:szCs w:val="24"/>
          <w:highlight w:val="none"/>
        </w:rPr>
        <w:t>4</w:t>
      </w:r>
      <w:r>
        <w:rPr>
          <w:rFonts w:hint="eastAsia"/>
          <w:color w:val="auto"/>
          <w:sz w:val="24"/>
          <w:szCs w:val="24"/>
          <w:highlight w:val="none"/>
        </w:rPr>
        <w:t>.1能源管理范围</w:t>
      </w:r>
      <w:bookmarkEnd w:id="292"/>
      <w:bookmarkEnd w:id="293"/>
    </w:p>
    <w:p>
      <w:pPr>
        <w:spacing w:after="0" w:line="360" w:lineRule="auto"/>
        <w:ind w:right="-9" w:firstLine="480" w:firstLineChars="200"/>
        <w:rPr>
          <w:color w:val="auto"/>
          <w:kern w:val="0"/>
          <w:szCs w:val="24"/>
          <w:highlight w:val="none"/>
        </w:rPr>
      </w:pPr>
      <w:r>
        <w:rPr>
          <w:rFonts w:hint="eastAsia"/>
          <w:color w:val="auto"/>
          <w:kern w:val="0"/>
          <w:szCs w:val="24"/>
          <w:highlight w:val="none"/>
        </w:rPr>
        <w:t>针对新建大楼进行用水量、用电量和空调能量的在线监测、远程抄表。并将数据集中存储和统一管理，为医院按各使用科室、各实验室、各宿舍公寓统计、分析能源使用情况提供依据，通过现场通讯管理单元对各建筑的水表、电表和空调进行数据采集。通过设备网上传至系统工作站再进行对用水量、电量、空调冷量进行统计、分析，实现医院能源资源消耗情况在线监测、统计分析和智能管理，辅助管理人员作出正确的能效改善策略，减少能源管理的成本，提高能源管理的效率。</w:t>
      </w:r>
      <w:r>
        <w:rPr>
          <w:color w:val="auto"/>
          <w:kern w:val="0"/>
          <w:szCs w:val="24"/>
          <w:highlight w:val="none"/>
        </w:rPr>
        <w:t xml:space="preserve"> </w:t>
      </w:r>
    </w:p>
    <w:p>
      <w:pPr>
        <w:spacing w:after="0" w:line="360" w:lineRule="auto"/>
        <w:ind w:right="-9" w:firstLine="480" w:firstLineChars="200"/>
        <w:rPr>
          <w:color w:val="auto"/>
          <w:kern w:val="0"/>
          <w:szCs w:val="24"/>
          <w:highlight w:val="none"/>
        </w:rPr>
      </w:pPr>
      <w:r>
        <w:rPr>
          <w:rFonts w:hint="eastAsia"/>
          <w:color w:val="auto"/>
          <w:kern w:val="0"/>
          <w:szCs w:val="24"/>
          <w:highlight w:val="none"/>
        </w:rPr>
        <w:t>中山附一本部院区已建设一套能源管理系统，已根据中山附一管理需求定制开发，系统功能完善、切合医院实际使用。后续新建设的能源系统应与该系统功能保持一致，一是便于院方管理使用（南山院区的管理人员将由本院调配，功能保持一致在管理上可减少培训、使用和人员调配难度）；二是保持数据统一，保证全院数据汇总。</w:t>
      </w:r>
    </w:p>
    <w:p>
      <w:pPr>
        <w:pStyle w:val="4"/>
        <w:spacing w:before="0" w:after="0" w:line="360" w:lineRule="auto"/>
        <w:ind w:left="0" w:right="-9" w:firstLine="0"/>
        <w:rPr>
          <w:color w:val="auto"/>
          <w:sz w:val="24"/>
          <w:szCs w:val="24"/>
          <w:highlight w:val="none"/>
        </w:rPr>
      </w:pPr>
      <w:bookmarkStart w:id="294" w:name="_Toc20408822"/>
      <w:bookmarkStart w:id="295" w:name="_Toc467747764"/>
      <w:r>
        <w:rPr>
          <w:rFonts w:hint="eastAsia"/>
          <w:color w:val="auto"/>
          <w:sz w:val="24"/>
          <w:szCs w:val="24"/>
          <w:highlight w:val="none"/>
        </w:rPr>
        <w:t>1.</w:t>
      </w:r>
      <w:r>
        <w:rPr>
          <w:color w:val="auto"/>
          <w:sz w:val="24"/>
          <w:szCs w:val="24"/>
          <w:highlight w:val="none"/>
        </w:rPr>
        <w:t>4</w:t>
      </w:r>
      <w:r>
        <w:rPr>
          <w:rFonts w:hint="eastAsia"/>
          <w:color w:val="auto"/>
          <w:sz w:val="24"/>
          <w:szCs w:val="24"/>
          <w:highlight w:val="none"/>
        </w:rPr>
        <w:t>.2能耗模型</w:t>
      </w:r>
      <w:bookmarkEnd w:id="294"/>
      <w:bookmarkEnd w:id="295"/>
    </w:p>
    <w:p>
      <w:pPr>
        <w:spacing w:after="0" w:line="360" w:lineRule="auto"/>
        <w:ind w:right="-9" w:firstLine="480" w:firstLineChars="200"/>
        <w:rPr>
          <w:color w:val="auto"/>
          <w:kern w:val="0"/>
          <w:szCs w:val="24"/>
          <w:highlight w:val="none"/>
        </w:rPr>
      </w:pPr>
      <w:r>
        <w:rPr>
          <w:rFonts w:hint="eastAsia"/>
          <w:color w:val="auto"/>
          <w:kern w:val="0"/>
          <w:szCs w:val="24"/>
          <w:highlight w:val="none"/>
        </w:rPr>
        <w:t>依据项目的实际需求和医院的实际情况，针对水、电、冷热量三种能源类型，首先按照点表梳理总分关系。根据《国家机关办公建筑和大型公共建筑能耗监测系统-分类分项能耗数据采集技术导则》和《医院建筑能耗监管系统建设技术导则》等要求，结合目前医院自身特点和管理需求，将医院所使用的能耗进行分类分项采集管理与分析，并与国家能耗监管平台的数据进行对标，最终建立自己的能源管理制度和能耗分析模型，提高能源的精细管理水平。比如电表：市政总表—各个楼栋配电房电表</w:t>
      </w:r>
      <w:r>
        <w:rPr>
          <w:color w:val="auto"/>
          <w:kern w:val="0"/>
          <w:szCs w:val="24"/>
          <w:highlight w:val="none"/>
        </w:rPr>
        <w:t>-—楼层电表—科室电表，且保证下一级仪表的综合数值累加与上一级接近（误差不大），若下一级仪表未全部安装，则需要通过虚拟仪表或者手动输入数值，以计算方式保证能耗数值平衡。</w:t>
      </w:r>
    </w:p>
    <w:p>
      <w:pPr>
        <w:spacing w:after="0" w:line="360" w:lineRule="auto"/>
        <w:ind w:right="-9" w:firstLine="480" w:firstLineChars="200"/>
        <w:rPr>
          <w:color w:val="auto"/>
          <w:kern w:val="0"/>
          <w:szCs w:val="24"/>
          <w:highlight w:val="none"/>
        </w:rPr>
      </w:pPr>
      <w:r>
        <w:rPr>
          <w:rFonts w:hint="eastAsia"/>
          <w:color w:val="auto"/>
          <w:kern w:val="0"/>
          <w:szCs w:val="24"/>
          <w:highlight w:val="none"/>
        </w:rPr>
        <w:t>依据项目的实际需求和医院的实际情况，针对水、电、冷热量三种能源类型，首先按照点表梳理总分关系。</w:t>
      </w:r>
    </w:p>
    <w:p>
      <w:pPr>
        <w:spacing w:after="0" w:line="360" w:lineRule="auto"/>
        <w:ind w:right="-9" w:firstLine="480" w:firstLineChars="200"/>
        <w:rPr>
          <w:color w:val="auto"/>
          <w:kern w:val="0"/>
          <w:szCs w:val="24"/>
          <w:highlight w:val="none"/>
        </w:rPr>
      </w:pPr>
      <w:r>
        <w:rPr>
          <w:rFonts w:hint="eastAsia"/>
          <w:color w:val="auto"/>
          <w:kern w:val="0"/>
          <w:szCs w:val="24"/>
          <w:highlight w:val="none"/>
        </w:rPr>
        <w:t>具体能耗分析模型如下：</w:t>
      </w:r>
    </w:p>
    <w:p>
      <w:pPr>
        <w:pStyle w:val="30"/>
        <w:numPr>
          <w:ilvl w:val="0"/>
          <w:numId w:val="128"/>
        </w:numPr>
        <w:spacing w:after="0" w:line="360" w:lineRule="auto"/>
        <w:ind w:right="-9" w:firstLineChars="0"/>
        <w:rPr>
          <w:b/>
          <w:bCs/>
          <w:color w:val="auto"/>
          <w:szCs w:val="24"/>
          <w:highlight w:val="none"/>
        </w:rPr>
      </w:pPr>
      <w:r>
        <w:rPr>
          <w:rFonts w:hint="eastAsia"/>
          <w:b/>
          <w:bCs/>
          <w:color w:val="auto"/>
          <w:szCs w:val="24"/>
          <w:highlight w:val="none"/>
        </w:rPr>
        <w:t>按能源使用类型进行能耗模型分类：</w:t>
      </w:r>
    </w:p>
    <w:p>
      <w:pPr>
        <w:spacing w:after="0" w:line="360" w:lineRule="auto"/>
        <w:ind w:right="-9" w:firstLine="480" w:firstLineChars="200"/>
        <w:rPr>
          <w:color w:val="auto"/>
          <w:kern w:val="0"/>
          <w:szCs w:val="24"/>
          <w:highlight w:val="none"/>
        </w:rPr>
      </w:pPr>
      <w:r>
        <w:rPr>
          <w:rFonts w:hint="eastAsia"/>
          <w:color w:val="auto"/>
          <w:kern w:val="0"/>
          <w:szCs w:val="24"/>
          <w:highlight w:val="none"/>
        </w:rPr>
        <w:t>满足国家卫生健康委要求：医院-院区-建筑-能源类型-系统。既是分类计量：按照电分项/水分项—一级子项—二级子项—建筑—楼层—区域（科室）等级划分；</w:t>
      </w:r>
    </w:p>
    <w:p>
      <w:pPr>
        <w:spacing w:after="0" w:line="360" w:lineRule="auto"/>
        <w:ind w:right="-9"/>
        <w:jc w:val="center"/>
        <w:rPr>
          <w:color w:val="auto"/>
          <w:highlight w:val="none"/>
        </w:rPr>
      </w:pPr>
      <w:r>
        <w:rPr>
          <w:color w:val="auto"/>
          <w:highlight w:val="none"/>
        </w:rPr>
        <w:drawing>
          <wp:inline distT="0" distB="0" distL="0" distR="0">
            <wp:extent cx="5274310" cy="3629025"/>
            <wp:effectExtent l="0" t="0" r="2540" b="952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5274310" cy="3629025"/>
                    </a:xfrm>
                    <a:prstGeom prst="rect">
                      <a:avLst/>
                    </a:prstGeom>
                    <a:noFill/>
                    <a:ln>
                      <a:noFill/>
                    </a:ln>
                  </pic:spPr>
                </pic:pic>
              </a:graphicData>
            </a:graphic>
          </wp:inline>
        </w:drawing>
      </w:r>
    </w:p>
    <w:p>
      <w:pPr>
        <w:pStyle w:val="30"/>
        <w:numPr>
          <w:ilvl w:val="0"/>
          <w:numId w:val="128"/>
        </w:numPr>
        <w:spacing w:after="0" w:line="360" w:lineRule="auto"/>
        <w:ind w:right="-9" w:firstLineChars="0"/>
        <w:rPr>
          <w:b/>
          <w:bCs/>
          <w:color w:val="auto"/>
          <w:szCs w:val="28"/>
          <w:highlight w:val="none"/>
        </w:rPr>
      </w:pPr>
      <w:r>
        <w:rPr>
          <w:rFonts w:hint="eastAsia"/>
          <w:b/>
          <w:bCs/>
          <w:color w:val="auto"/>
          <w:szCs w:val="28"/>
          <w:highlight w:val="none"/>
        </w:rPr>
        <w:t>按建筑科室使用类型进行能耗模型分类</w:t>
      </w:r>
    </w:p>
    <w:p>
      <w:pPr>
        <w:spacing w:after="0" w:line="360" w:lineRule="auto"/>
        <w:ind w:right="-9" w:firstLine="480" w:firstLineChars="200"/>
        <w:rPr>
          <w:color w:val="auto"/>
          <w:kern w:val="0"/>
          <w:szCs w:val="24"/>
          <w:highlight w:val="none"/>
        </w:rPr>
      </w:pPr>
      <w:r>
        <w:rPr>
          <w:rFonts w:hint="eastAsia"/>
          <w:color w:val="auto"/>
          <w:kern w:val="0"/>
          <w:szCs w:val="24"/>
          <w:highlight w:val="none"/>
        </w:rPr>
        <w:t>重新划分区域维度，建立区域能耗模型。按照医院—建筑楼栋—楼层—区域（科室）—分类分项—一级子项—二级子项进行设计；</w:t>
      </w:r>
    </w:p>
    <w:p>
      <w:pPr>
        <w:spacing w:after="0" w:line="360" w:lineRule="auto"/>
        <w:ind w:right="-9"/>
        <w:jc w:val="center"/>
        <w:rPr>
          <w:color w:val="auto"/>
          <w:highlight w:val="none"/>
        </w:rPr>
      </w:pPr>
      <w:r>
        <w:rPr>
          <w:color w:val="auto"/>
          <w:highlight w:val="none"/>
        </w:rPr>
        <w:pict>
          <v:shape id="_x0000_i1025" o:spt="75" type="#_x0000_t75" style="height:298.15pt;width:237.95pt;" filled="f" o:preferrelative="t" stroked="f" coordsize="21600,21600">
            <v:path/>
            <v:fill on="f" focussize="0,0"/>
            <v:stroke on="f" joinstyle="miter"/>
            <v:imagedata r:id="rId13" o:title=""/>
            <o:lock v:ext="edit" aspectratio="t"/>
            <w10:wrap type="none"/>
            <w10:anchorlock/>
          </v:shape>
        </w:pict>
      </w:r>
    </w:p>
    <w:p>
      <w:pPr>
        <w:pStyle w:val="6"/>
        <w:numPr>
          <w:ilvl w:val="0"/>
          <w:numId w:val="129"/>
        </w:numPr>
        <w:spacing w:before="0" w:after="0" w:line="360" w:lineRule="auto"/>
        <w:ind w:right="-9"/>
        <w:rPr>
          <w:color w:val="auto"/>
          <w:sz w:val="24"/>
          <w:szCs w:val="24"/>
          <w:highlight w:val="none"/>
        </w:rPr>
      </w:pPr>
      <w:bookmarkStart w:id="296" w:name="_Toc65742247"/>
      <w:r>
        <w:rPr>
          <w:rFonts w:hint="eastAsia"/>
          <w:color w:val="auto"/>
          <w:sz w:val="24"/>
          <w:szCs w:val="24"/>
          <w:highlight w:val="none"/>
        </w:rPr>
        <w:t>电能监测</w:t>
      </w:r>
      <w:bookmarkEnd w:id="296"/>
    </w:p>
    <w:p>
      <w:pPr>
        <w:pStyle w:val="30"/>
        <w:numPr>
          <w:ilvl w:val="0"/>
          <w:numId w:val="130"/>
        </w:numPr>
        <w:spacing w:after="0" w:line="360" w:lineRule="auto"/>
        <w:ind w:right="-9" w:firstLineChars="0"/>
        <w:rPr>
          <w:b/>
          <w:color w:val="auto"/>
          <w:highlight w:val="none"/>
          <w:lang w:val="en-GB"/>
        </w:rPr>
      </w:pPr>
      <w:r>
        <w:rPr>
          <w:rFonts w:hint="eastAsia"/>
          <w:b/>
          <w:color w:val="auto"/>
          <w:highlight w:val="none"/>
          <w:lang w:val="en-GB"/>
        </w:rPr>
        <w:t>一级计量：通过市政配电计量柜电表对接，实现进线计量。</w:t>
      </w:r>
    </w:p>
    <w:p>
      <w:pPr>
        <w:spacing w:after="0" w:line="360" w:lineRule="auto"/>
        <w:ind w:right="-9" w:firstLine="480" w:firstLineChars="200"/>
        <w:rPr>
          <w:color w:val="auto"/>
          <w:kern w:val="0"/>
          <w:szCs w:val="24"/>
          <w:highlight w:val="none"/>
        </w:rPr>
      </w:pPr>
      <w:r>
        <w:rPr>
          <w:color w:val="auto"/>
          <w:kern w:val="0"/>
          <w:szCs w:val="24"/>
          <w:highlight w:val="none"/>
        </w:rPr>
        <w:t>实现效果：医院总用电计量</w:t>
      </w:r>
    </w:p>
    <w:p>
      <w:pPr>
        <w:pStyle w:val="30"/>
        <w:numPr>
          <w:ilvl w:val="0"/>
          <w:numId w:val="130"/>
        </w:numPr>
        <w:spacing w:after="0" w:line="360" w:lineRule="auto"/>
        <w:ind w:right="-9" w:firstLineChars="0"/>
        <w:rPr>
          <w:b/>
          <w:color w:val="auto"/>
          <w:highlight w:val="none"/>
          <w:lang w:val="en-GB"/>
        </w:rPr>
      </w:pPr>
      <w:r>
        <w:rPr>
          <w:rFonts w:hint="eastAsia"/>
          <w:b/>
          <w:color w:val="auto"/>
          <w:highlight w:val="none"/>
          <w:lang w:val="en-GB"/>
        </w:rPr>
        <w:t>二级计量</w:t>
      </w:r>
      <w:r>
        <w:rPr>
          <w:b/>
          <w:color w:val="auto"/>
          <w:highlight w:val="none"/>
          <w:lang w:val="en-GB"/>
        </w:rPr>
        <w:t>: 通过配电柜远传电表实现全院基本用电分项计量</w:t>
      </w:r>
    </w:p>
    <w:p>
      <w:pPr>
        <w:spacing w:after="0" w:line="360" w:lineRule="auto"/>
        <w:ind w:right="-9" w:firstLine="480" w:firstLineChars="200"/>
        <w:rPr>
          <w:color w:val="auto"/>
          <w:kern w:val="0"/>
          <w:szCs w:val="24"/>
          <w:highlight w:val="none"/>
        </w:rPr>
      </w:pPr>
      <w:r>
        <w:rPr>
          <w:color w:val="auto"/>
          <w:kern w:val="0"/>
          <w:szCs w:val="24"/>
          <w:highlight w:val="none"/>
        </w:rPr>
        <w:t>实现效果</w:t>
      </w:r>
      <w:r>
        <w:rPr>
          <w:rFonts w:hint="eastAsia"/>
          <w:color w:val="auto"/>
          <w:kern w:val="0"/>
          <w:szCs w:val="24"/>
          <w:highlight w:val="none"/>
        </w:rPr>
        <w:t>：实现主要区域、建筑的用电分项计量；通过数据的分析展示、数据对标，挖掘节能潜力点；实现低压电力监控功能，及时报警，保证用电安全性。</w:t>
      </w:r>
    </w:p>
    <w:p>
      <w:pPr>
        <w:pStyle w:val="30"/>
        <w:numPr>
          <w:ilvl w:val="0"/>
          <w:numId w:val="130"/>
        </w:numPr>
        <w:spacing w:after="0" w:line="360" w:lineRule="auto"/>
        <w:ind w:right="-9" w:firstLineChars="0"/>
        <w:rPr>
          <w:b/>
          <w:color w:val="auto"/>
          <w:highlight w:val="none"/>
          <w:lang w:val="en-GB"/>
        </w:rPr>
      </w:pPr>
      <w:r>
        <w:rPr>
          <w:rFonts w:hint="eastAsia"/>
          <w:b/>
          <w:color w:val="auto"/>
          <w:highlight w:val="none"/>
          <w:lang w:val="en-GB"/>
        </w:rPr>
        <w:t>三级计量</w:t>
      </w:r>
      <w:r>
        <w:rPr>
          <w:b/>
          <w:color w:val="auto"/>
          <w:highlight w:val="none"/>
          <w:lang w:val="en-GB"/>
        </w:rPr>
        <w:t>: 通过楼层配电箱和重点区域远传表计实现重点建筑楼层计量</w:t>
      </w:r>
    </w:p>
    <w:p>
      <w:pPr>
        <w:spacing w:after="0" w:line="360" w:lineRule="auto"/>
        <w:ind w:right="-9" w:firstLine="480" w:firstLineChars="200"/>
        <w:rPr>
          <w:color w:val="auto"/>
          <w:kern w:val="0"/>
          <w:szCs w:val="24"/>
          <w:highlight w:val="none"/>
        </w:rPr>
      </w:pPr>
      <w:r>
        <w:rPr>
          <w:color w:val="auto"/>
          <w:kern w:val="0"/>
          <w:szCs w:val="24"/>
          <w:highlight w:val="none"/>
        </w:rPr>
        <w:t>实现效果：实现科室、重点区域耗电管理，为分析、对标、绩效考核提供基础提供后期、扩建的电力设计支撑，防止过度冗余</w:t>
      </w:r>
      <w:r>
        <w:rPr>
          <w:rFonts w:hint="eastAsia"/>
          <w:color w:val="auto"/>
          <w:kern w:val="0"/>
          <w:szCs w:val="24"/>
          <w:highlight w:val="none"/>
        </w:rPr>
        <w:t>。</w:t>
      </w:r>
    </w:p>
    <w:p>
      <w:pPr>
        <w:pStyle w:val="6"/>
        <w:numPr>
          <w:ilvl w:val="0"/>
          <w:numId w:val="129"/>
        </w:numPr>
        <w:spacing w:before="0" w:after="0" w:line="360" w:lineRule="auto"/>
        <w:ind w:right="-9"/>
        <w:rPr>
          <w:color w:val="auto"/>
          <w:sz w:val="24"/>
          <w:szCs w:val="24"/>
          <w:highlight w:val="none"/>
        </w:rPr>
      </w:pPr>
      <w:bookmarkStart w:id="297" w:name="_Toc65742248"/>
      <w:r>
        <w:rPr>
          <w:rFonts w:hint="eastAsia"/>
          <w:color w:val="auto"/>
          <w:sz w:val="24"/>
          <w:szCs w:val="24"/>
          <w:highlight w:val="none"/>
        </w:rPr>
        <w:t>水能监测</w:t>
      </w:r>
      <w:bookmarkEnd w:id="297"/>
    </w:p>
    <w:p>
      <w:pPr>
        <w:pStyle w:val="30"/>
        <w:numPr>
          <w:ilvl w:val="0"/>
          <w:numId w:val="131"/>
        </w:numPr>
        <w:spacing w:after="0" w:line="360" w:lineRule="auto"/>
        <w:ind w:right="-9" w:firstLineChars="0"/>
        <w:rPr>
          <w:b/>
          <w:color w:val="auto"/>
          <w:highlight w:val="none"/>
          <w:lang w:val="en-GB"/>
        </w:rPr>
      </w:pPr>
      <w:r>
        <w:rPr>
          <w:rFonts w:hint="eastAsia"/>
          <w:b/>
          <w:color w:val="auto"/>
          <w:highlight w:val="none"/>
          <w:lang w:val="en-GB"/>
        </w:rPr>
        <w:t>原则一:在市政水表后的水管井内、水泵房内以及各楼栋入口处安装水表，实现全院供水基础计量</w:t>
      </w:r>
    </w:p>
    <w:p>
      <w:pPr>
        <w:spacing w:after="0" w:line="360" w:lineRule="auto"/>
        <w:ind w:right="-9" w:firstLine="480" w:firstLineChars="200"/>
        <w:rPr>
          <w:color w:val="auto"/>
          <w:kern w:val="0"/>
          <w:szCs w:val="24"/>
          <w:highlight w:val="none"/>
        </w:rPr>
      </w:pPr>
      <w:r>
        <w:rPr>
          <w:rFonts w:hint="eastAsia"/>
          <w:color w:val="auto"/>
          <w:kern w:val="0"/>
          <w:szCs w:val="24"/>
          <w:highlight w:val="none"/>
        </w:rPr>
        <w:t>实现效果:可进行院区总用水统计，便于用水缴费核算;实现各楼栋的用水统计，便于及时发现漏水问题。同时，配合考核制度等措施可有效的降低用水消耗。</w:t>
      </w:r>
    </w:p>
    <w:p>
      <w:pPr>
        <w:spacing w:after="0" w:line="360" w:lineRule="auto"/>
        <w:ind w:right="-9" w:firstLine="480" w:firstLineChars="200"/>
        <w:rPr>
          <w:color w:val="auto"/>
          <w:kern w:val="0"/>
          <w:szCs w:val="24"/>
          <w:highlight w:val="none"/>
        </w:rPr>
      </w:pPr>
      <w:r>
        <w:rPr>
          <w:rFonts w:hint="eastAsia"/>
          <w:color w:val="auto"/>
          <w:kern w:val="0"/>
          <w:szCs w:val="24"/>
          <w:highlight w:val="none"/>
        </w:rPr>
        <w:t>设计范围:各院区市政供水、楼栋供水</w:t>
      </w:r>
    </w:p>
    <w:p>
      <w:pPr>
        <w:pStyle w:val="6"/>
        <w:numPr>
          <w:ilvl w:val="0"/>
          <w:numId w:val="129"/>
        </w:numPr>
        <w:spacing w:before="0" w:after="0" w:line="360" w:lineRule="auto"/>
        <w:ind w:right="-9"/>
        <w:rPr>
          <w:color w:val="auto"/>
          <w:sz w:val="24"/>
          <w:szCs w:val="24"/>
          <w:highlight w:val="none"/>
        </w:rPr>
      </w:pPr>
      <w:bookmarkStart w:id="298" w:name="_Toc65742249"/>
      <w:r>
        <w:rPr>
          <w:rFonts w:hint="eastAsia"/>
          <w:color w:val="auto"/>
          <w:sz w:val="24"/>
          <w:szCs w:val="24"/>
          <w:highlight w:val="none"/>
        </w:rPr>
        <w:t>能量监测</w:t>
      </w:r>
      <w:bookmarkEnd w:id="298"/>
    </w:p>
    <w:p>
      <w:pPr>
        <w:pStyle w:val="30"/>
        <w:numPr>
          <w:ilvl w:val="0"/>
          <w:numId w:val="132"/>
        </w:numPr>
        <w:spacing w:after="0" w:line="360" w:lineRule="auto"/>
        <w:ind w:right="-9" w:firstLineChars="0"/>
        <w:rPr>
          <w:color w:val="auto"/>
          <w:highlight w:val="none"/>
        </w:rPr>
      </w:pPr>
      <w:r>
        <w:rPr>
          <w:rFonts w:hint="eastAsia"/>
          <w:b/>
          <w:color w:val="auto"/>
          <w:highlight w:val="none"/>
          <w:lang w:val="en-GB"/>
        </w:rPr>
        <w:t>原则一</w:t>
      </w:r>
      <w:r>
        <w:rPr>
          <w:b/>
          <w:color w:val="auto"/>
          <w:highlight w:val="none"/>
          <w:lang w:val="en-GB"/>
        </w:rPr>
        <w:t>:在制冷主机和分集水器安装冷量表，实现冷源系统计量和监测</w:t>
      </w:r>
    </w:p>
    <w:p>
      <w:pPr>
        <w:spacing w:after="0" w:line="360" w:lineRule="auto"/>
        <w:ind w:right="-9" w:firstLine="480" w:firstLineChars="200"/>
        <w:rPr>
          <w:color w:val="auto"/>
          <w:kern w:val="0"/>
          <w:szCs w:val="24"/>
          <w:highlight w:val="none"/>
        </w:rPr>
      </w:pPr>
      <w:r>
        <w:rPr>
          <w:color w:val="auto"/>
          <w:kern w:val="0"/>
          <w:szCs w:val="24"/>
          <w:highlight w:val="none"/>
        </w:rPr>
        <w:t>实现效果:实现用冷量分项计量</w:t>
      </w:r>
      <w:r>
        <w:rPr>
          <w:rFonts w:hint="eastAsia"/>
          <w:color w:val="auto"/>
          <w:kern w:val="0"/>
          <w:szCs w:val="24"/>
          <w:highlight w:val="none"/>
        </w:rPr>
        <w:t>；</w:t>
      </w:r>
      <w:r>
        <w:rPr>
          <w:color w:val="auto"/>
          <w:kern w:val="0"/>
          <w:szCs w:val="24"/>
          <w:highlight w:val="none"/>
        </w:rPr>
        <w:t>实现楼栋和各区域的冷热量计量，便于挖掘节能空间，降低冷源系统能耗。</w:t>
      </w:r>
    </w:p>
    <w:p>
      <w:pPr>
        <w:spacing w:after="0" w:line="360" w:lineRule="auto"/>
        <w:ind w:right="-9" w:firstLine="480" w:firstLineChars="200"/>
        <w:rPr>
          <w:color w:val="auto"/>
          <w:kern w:val="0"/>
          <w:szCs w:val="24"/>
          <w:highlight w:val="none"/>
        </w:rPr>
      </w:pPr>
      <w:r>
        <w:rPr>
          <w:color w:val="auto"/>
          <w:kern w:val="0"/>
          <w:szCs w:val="24"/>
          <w:highlight w:val="none"/>
        </w:rPr>
        <w:t>设计区域:空调机房</w:t>
      </w:r>
    </w:p>
    <w:p>
      <w:pPr>
        <w:pStyle w:val="4"/>
        <w:spacing w:before="0" w:after="0" w:line="360" w:lineRule="auto"/>
        <w:ind w:left="0" w:right="-9" w:firstLine="0"/>
        <w:rPr>
          <w:color w:val="auto"/>
          <w:sz w:val="24"/>
          <w:szCs w:val="24"/>
          <w:highlight w:val="none"/>
        </w:rPr>
      </w:pPr>
      <w:bookmarkStart w:id="299" w:name="_Toc20408823"/>
      <w:r>
        <w:rPr>
          <w:rFonts w:hint="eastAsia"/>
          <w:color w:val="auto"/>
          <w:sz w:val="24"/>
          <w:szCs w:val="24"/>
          <w:highlight w:val="none"/>
        </w:rPr>
        <w:t>1.</w:t>
      </w:r>
      <w:r>
        <w:rPr>
          <w:color w:val="auto"/>
          <w:sz w:val="24"/>
          <w:szCs w:val="24"/>
          <w:highlight w:val="none"/>
        </w:rPr>
        <w:t>4</w:t>
      </w:r>
      <w:r>
        <w:rPr>
          <w:rFonts w:hint="eastAsia"/>
          <w:color w:val="auto"/>
          <w:sz w:val="24"/>
          <w:szCs w:val="24"/>
          <w:highlight w:val="none"/>
        </w:rPr>
        <w:t>.3</w:t>
      </w:r>
      <w:bookmarkEnd w:id="299"/>
      <w:r>
        <w:rPr>
          <w:rFonts w:hint="eastAsia"/>
          <w:color w:val="auto"/>
          <w:sz w:val="24"/>
          <w:szCs w:val="24"/>
          <w:highlight w:val="none"/>
        </w:rPr>
        <w:t>点位设计</w:t>
      </w:r>
    </w:p>
    <w:p>
      <w:pPr>
        <w:spacing w:after="0" w:line="360" w:lineRule="auto"/>
        <w:ind w:right="-9" w:firstLine="480" w:firstLineChars="200"/>
        <w:rPr>
          <w:color w:val="auto"/>
          <w:kern w:val="0"/>
          <w:szCs w:val="24"/>
          <w:highlight w:val="none"/>
        </w:rPr>
      </w:pPr>
      <w:r>
        <w:rPr>
          <w:rFonts w:hint="eastAsia"/>
          <w:color w:val="auto"/>
          <w:kern w:val="0"/>
          <w:szCs w:val="24"/>
          <w:highlight w:val="none"/>
        </w:rPr>
        <w:t>能耗采集点位的铺设应能满足能耗模型中分类、分项、分区域、分科室等维度的计量标准，实现各节点的能耗数据采集，建设满足国家标准、实现精准科室能耗测量和成本分摊的能耗点位。根据能耗模型，安装对应数量的电表、水表和能量表，实现能耗数据采集。并通过本部院区现有能源管理系统进行数据统一采集和处理。</w:t>
      </w:r>
    </w:p>
    <w:p>
      <w:pPr>
        <w:pStyle w:val="4"/>
        <w:spacing w:before="0" w:after="0" w:line="360" w:lineRule="auto"/>
        <w:ind w:left="0" w:firstLine="0"/>
        <w:rPr>
          <w:color w:val="auto"/>
          <w:sz w:val="24"/>
          <w:szCs w:val="24"/>
          <w:highlight w:val="none"/>
        </w:rPr>
      </w:pPr>
      <w:r>
        <w:rPr>
          <w:rFonts w:hint="eastAsia"/>
          <w:color w:val="auto"/>
          <w:sz w:val="24"/>
          <w:szCs w:val="24"/>
          <w:highlight w:val="none"/>
        </w:rPr>
        <w:t>1</w:t>
      </w:r>
      <w:r>
        <w:rPr>
          <w:color w:val="auto"/>
          <w:sz w:val="24"/>
          <w:szCs w:val="24"/>
          <w:highlight w:val="none"/>
        </w:rPr>
        <w:t>.4.4</w:t>
      </w:r>
      <w:r>
        <w:rPr>
          <w:rFonts w:hint="eastAsia"/>
          <w:color w:val="auto"/>
          <w:sz w:val="24"/>
          <w:szCs w:val="24"/>
          <w:highlight w:val="none"/>
        </w:rPr>
        <w:t>参数要求</w:t>
      </w:r>
    </w:p>
    <w:tbl>
      <w:tblPr>
        <w:tblStyle w:val="18"/>
        <w:tblW w:w="5000" w:type="pct"/>
        <w:tblInd w:w="0" w:type="dxa"/>
        <w:tblLayout w:type="autofit"/>
        <w:tblCellMar>
          <w:top w:w="0" w:type="dxa"/>
          <w:left w:w="108" w:type="dxa"/>
          <w:bottom w:w="0" w:type="dxa"/>
          <w:right w:w="108" w:type="dxa"/>
        </w:tblCellMar>
      </w:tblPr>
      <w:tblGrid>
        <w:gridCol w:w="1484"/>
        <w:gridCol w:w="3778"/>
        <w:gridCol w:w="1930"/>
        <w:gridCol w:w="2624"/>
      </w:tblGrid>
      <w:tr>
        <w:tblPrEx>
          <w:tblCellMar>
            <w:top w:w="0" w:type="dxa"/>
            <w:left w:w="108" w:type="dxa"/>
            <w:bottom w:w="0" w:type="dxa"/>
            <w:right w:w="108" w:type="dxa"/>
          </w:tblCellMar>
        </w:tblPrEx>
        <w:trPr>
          <w:trHeight w:val="300" w:hRule="atLeast"/>
        </w:trPr>
        <w:tc>
          <w:tcPr>
            <w:tcW w:w="756" w:type="pct"/>
            <w:tcBorders>
              <w:top w:val="single" w:color="auto" w:sz="4" w:space="0"/>
              <w:left w:val="single" w:color="auto" w:sz="4" w:space="0"/>
              <w:bottom w:val="single" w:color="auto" w:sz="4" w:space="0"/>
              <w:right w:val="single" w:color="auto" w:sz="4" w:space="0"/>
            </w:tcBorders>
            <w:shd w:val="clear" w:color="auto" w:fill="auto"/>
            <w:vAlign w:val="center"/>
          </w:tcPr>
          <w:p>
            <w:pPr>
              <w:spacing w:after="0" w:line="360" w:lineRule="auto"/>
              <w:ind w:right="96"/>
              <w:jc w:val="center"/>
              <w:rPr>
                <w:b/>
                <w:bCs/>
                <w:color w:val="auto"/>
                <w:kern w:val="0"/>
                <w:szCs w:val="21"/>
                <w:highlight w:val="none"/>
              </w:rPr>
            </w:pPr>
            <w:r>
              <w:rPr>
                <w:rFonts w:hint="eastAsia"/>
                <w:b/>
                <w:bCs/>
                <w:color w:val="auto"/>
                <w:kern w:val="0"/>
                <w:szCs w:val="21"/>
                <w:highlight w:val="none"/>
              </w:rPr>
              <w:t>监控设备</w:t>
            </w:r>
          </w:p>
        </w:tc>
        <w:tc>
          <w:tcPr>
            <w:tcW w:w="1924" w:type="pct"/>
            <w:tcBorders>
              <w:top w:val="single" w:color="auto" w:sz="4" w:space="0"/>
              <w:left w:val="nil"/>
              <w:bottom w:val="single" w:color="auto" w:sz="4" w:space="0"/>
              <w:right w:val="single" w:color="auto" w:sz="4" w:space="0"/>
            </w:tcBorders>
            <w:shd w:val="clear" w:color="auto" w:fill="auto"/>
            <w:vAlign w:val="center"/>
          </w:tcPr>
          <w:p>
            <w:pPr>
              <w:spacing w:after="0" w:line="360" w:lineRule="auto"/>
              <w:ind w:right="58"/>
              <w:jc w:val="center"/>
              <w:rPr>
                <w:b/>
                <w:bCs/>
                <w:color w:val="auto"/>
                <w:kern w:val="0"/>
                <w:szCs w:val="21"/>
                <w:highlight w:val="none"/>
              </w:rPr>
            </w:pPr>
            <w:r>
              <w:rPr>
                <w:rFonts w:hint="eastAsia"/>
                <w:b/>
                <w:bCs/>
                <w:color w:val="auto"/>
                <w:kern w:val="0"/>
                <w:szCs w:val="21"/>
                <w:highlight w:val="none"/>
              </w:rPr>
              <w:t>监控内容</w:t>
            </w:r>
          </w:p>
        </w:tc>
        <w:tc>
          <w:tcPr>
            <w:tcW w:w="983" w:type="pct"/>
            <w:tcBorders>
              <w:top w:val="single" w:color="auto" w:sz="4" w:space="0"/>
              <w:left w:val="nil"/>
              <w:bottom w:val="single" w:color="auto" w:sz="4" w:space="0"/>
              <w:right w:val="single" w:color="auto" w:sz="4" w:space="0"/>
            </w:tcBorders>
            <w:shd w:val="clear" w:color="auto" w:fill="auto"/>
            <w:vAlign w:val="center"/>
          </w:tcPr>
          <w:p>
            <w:pPr>
              <w:spacing w:after="0" w:line="360" w:lineRule="auto"/>
              <w:ind w:right="46"/>
              <w:jc w:val="center"/>
              <w:rPr>
                <w:b/>
                <w:bCs/>
                <w:color w:val="auto"/>
                <w:kern w:val="0"/>
                <w:szCs w:val="21"/>
                <w:highlight w:val="none"/>
              </w:rPr>
            </w:pPr>
            <w:r>
              <w:rPr>
                <w:rFonts w:hint="eastAsia"/>
                <w:b/>
                <w:bCs/>
                <w:color w:val="auto"/>
                <w:kern w:val="0"/>
                <w:szCs w:val="21"/>
                <w:highlight w:val="none"/>
              </w:rPr>
              <w:t>采集方式</w:t>
            </w:r>
          </w:p>
        </w:tc>
        <w:tc>
          <w:tcPr>
            <w:tcW w:w="1336" w:type="pct"/>
            <w:tcBorders>
              <w:top w:val="single" w:color="auto" w:sz="4" w:space="0"/>
              <w:left w:val="nil"/>
              <w:bottom w:val="single" w:color="auto" w:sz="4" w:space="0"/>
              <w:right w:val="single" w:color="auto" w:sz="4" w:space="0"/>
            </w:tcBorders>
            <w:shd w:val="clear" w:color="auto" w:fill="auto"/>
            <w:vAlign w:val="center"/>
          </w:tcPr>
          <w:p>
            <w:pPr>
              <w:spacing w:after="0" w:line="360" w:lineRule="auto"/>
              <w:ind w:right="117"/>
              <w:jc w:val="center"/>
              <w:rPr>
                <w:b/>
                <w:bCs/>
                <w:color w:val="auto"/>
                <w:kern w:val="0"/>
                <w:szCs w:val="21"/>
                <w:highlight w:val="none"/>
              </w:rPr>
            </w:pPr>
            <w:r>
              <w:rPr>
                <w:rFonts w:hint="eastAsia"/>
                <w:b/>
                <w:bCs/>
                <w:color w:val="auto"/>
                <w:kern w:val="0"/>
                <w:szCs w:val="21"/>
                <w:highlight w:val="none"/>
              </w:rPr>
              <w:t>平台对接</w:t>
            </w:r>
          </w:p>
        </w:tc>
      </w:tr>
      <w:tr>
        <w:tblPrEx>
          <w:tblCellMar>
            <w:top w:w="0" w:type="dxa"/>
            <w:left w:w="108" w:type="dxa"/>
            <w:bottom w:w="0" w:type="dxa"/>
            <w:right w:w="108" w:type="dxa"/>
          </w:tblCellMar>
        </w:tblPrEx>
        <w:trPr>
          <w:trHeight w:val="1380" w:hRule="atLeast"/>
        </w:trPr>
        <w:tc>
          <w:tcPr>
            <w:tcW w:w="756" w:type="pct"/>
            <w:tcBorders>
              <w:top w:val="nil"/>
              <w:left w:val="single" w:color="auto" w:sz="4" w:space="0"/>
              <w:bottom w:val="single" w:color="auto" w:sz="4" w:space="0"/>
              <w:right w:val="single" w:color="auto" w:sz="4" w:space="0"/>
            </w:tcBorders>
            <w:shd w:val="clear" w:color="auto" w:fill="auto"/>
            <w:vAlign w:val="center"/>
          </w:tcPr>
          <w:p>
            <w:pPr>
              <w:spacing w:after="0" w:line="360" w:lineRule="auto"/>
              <w:ind w:right="96"/>
              <w:rPr>
                <w:color w:val="auto"/>
                <w:kern w:val="0"/>
                <w:szCs w:val="21"/>
                <w:highlight w:val="none"/>
              </w:rPr>
            </w:pPr>
            <w:r>
              <w:rPr>
                <w:rFonts w:hint="eastAsia"/>
                <w:color w:val="auto"/>
                <w:kern w:val="0"/>
                <w:szCs w:val="21"/>
                <w:highlight w:val="none"/>
              </w:rPr>
              <w:t>电表</w:t>
            </w:r>
          </w:p>
        </w:tc>
        <w:tc>
          <w:tcPr>
            <w:tcW w:w="1924" w:type="pct"/>
            <w:tcBorders>
              <w:top w:val="nil"/>
              <w:left w:val="nil"/>
              <w:bottom w:val="single" w:color="auto" w:sz="4" w:space="0"/>
              <w:right w:val="single" w:color="auto" w:sz="4" w:space="0"/>
            </w:tcBorders>
            <w:shd w:val="clear" w:color="auto" w:fill="auto"/>
            <w:vAlign w:val="center"/>
          </w:tcPr>
          <w:p>
            <w:pPr>
              <w:spacing w:after="0" w:line="360" w:lineRule="auto"/>
              <w:ind w:right="58"/>
              <w:rPr>
                <w:color w:val="auto"/>
                <w:kern w:val="0"/>
                <w:szCs w:val="21"/>
                <w:highlight w:val="none"/>
              </w:rPr>
            </w:pPr>
            <w:r>
              <w:rPr>
                <w:rFonts w:hint="eastAsia"/>
                <w:color w:val="auto"/>
                <w:kern w:val="0"/>
                <w:szCs w:val="21"/>
                <w:highlight w:val="none"/>
              </w:rPr>
              <w:t>有功电能 、无功电能、视在电能、三相电压、线电压、三相电流、有功功率、无功功率、视在功率、功率因数、系统频率F、电流电压相位。</w:t>
            </w:r>
          </w:p>
        </w:tc>
        <w:tc>
          <w:tcPr>
            <w:tcW w:w="983" w:type="pct"/>
            <w:vMerge w:val="restart"/>
            <w:tcBorders>
              <w:top w:val="nil"/>
              <w:left w:val="single" w:color="auto" w:sz="4" w:space="0"/>
              <w:bottom w:val="single" w:color="000000" w:sz="4" w:space="0"/>
              <w:right w:val="single" w:color="auto" w:sz="4" w:space="0"/>
            </w:tcBorders>
            <w:shd w:val="clear" w:color="auto" w:fill="auto"/>
            <w:vAlign w:val="center"/>
          </w:tcPr>
          <w:p>
            <w:pPr>
              <w:spacing w:after="0" w:line="360" w:lineRule="auto"/>
              <w:ind w:right="46"/>
              <w:jc w:val="center"/>
              <w:rPr>
                <w:color w:val="auto"/>
                <w:kern w:val="0"/>
                <w:szCs w:val="21"/>
                <w:highlight w:val="none"/>
              </w:rPr>
            </w:pPr>
            <w:r>
              <w:rPr>
                <w:rFonts w:hint="eastAsia"/>
                <w:color w:val="auto"/>
                <w:kern w:val="0"/>
                <w:szCs w:val="21"/>
                <w:highlight w:val="none"/>
              </w:rPr>
              <w:t>系统厂商布置能耗采集器，经RS485通讯接口上送数据</w:t>
            </w:r>
          </w:p>
        </w:tc>
        <w:tc>
          <w:tcPr>
            <w:tcW w:w="1336" w:type="pct"/>
            <w:vMerge w:val="restart"/>
            <w:tcBorders>
              <w:top w:val="nil"/>
              <w:left w:val="single" w:color="auto" w:sz="4" w:space="0"/>
              <w:bottom w:val="single" w:color="000000" w:sz="4" w:space="0"/>
              <w:right w:val="single" w:color="auto" w:sz="4" w:space="0"/>
            </w:tcBorders>
            <w:shd w:val="clear" w:color="auto" w:fill="auto"/>
            <w:vAlign w:val="center"/>
          </w:tcPr>
          <w:p>
            <w:pPr>
              <w:spacing w:after="0" w:line="360" w:lineRule="auto"/>
              <w:ind w:right="117"/>
              <w:jc w:val="center"/>
              <w:rPr>
                <w:color w:val="auto"/>
                <w:kern w:val="0"/>
                <w:szCs w:val="21"/>
                <w:highlight w:val="none"/>
              </w:rPr>
            </w:pPr>
            <w:r>
              <w:rPr>
                <w:rFonts w:hint="eastAsia"/>
                <w:color w:val="auto"/>
                <w:kern w:val="0"/>
                <w:szCs w:val="21"/>
                <w:highlight w:val="none"/>
              </w:rPr>
              <w:t>由能耗采集器上传至医院后勤智慧运维平台</w:t>
            </w:r>
          </w:p>
        </w:tc>
      </w:tr>
      <w:tr>
        <w:tblPrEx>
          <w:tblCellMar>
            <w:top w:w="0" w:type="dxa"/>
            <w:left w:w="108" w:type="dxa"/>
            <w:bottom w:w="0" w:type="dxa"/>
            <w:right w:w="108" w:type="dxa"/>
          </w:tblCellMar>
        </w:tblPrEx>
        <w:trPr>
          <w:trHeight w:val="280" w:hRule="atLeast"/>
        </w:trPr>
        <w:tc>
          <w:tcPr>
            <w:tcW w:w="756" w:type="pct"/>
            <w:tcBorders>
              <w:top w:val="nil"/>
              <w:left w:val="single" w:color="auto" w:sz="4" w:space="0"/>
              <w:bottom w:val="single" w:color="auto" w:sz="4" w:space="0"/>
              <w:right w:val="single" w:color="auto" w:sz="4" w:space="0"/>
            </w:tcBorders>
            <w:shd w:val="clear" w:color="auto" w:fill="auto"/>
            <w:noWrap/>
            <w:vAlign w:val="bottom"/>
          </w:tcPr>
          <w:p>
            <w:pPr>
              <w:spacing w:after="0" w:line="360" w:lineRule="auto"/>
              <w:ind w:right="96"/>
              <w:rPr>
                <w:color w:val="auto"/>
                <w:kern w:val="0"/>
                <w:szCs w:val="21"/>
                <w:highlight w:val="none"/>
              </w:rPr>
            </w:pPr>
            <w:r>
              <w:rPr>
                <w:rFonts w:hint="eastAsia"/>
                <w:color w:val="auto"/>
                <w:kern w:val="0"/>
                <w:szCs w:val="21"/>
                <w:highlight w:val="none"/>
              </w:rPr>
              <w:t>水表</w:t>
            </w:r>
          </w:p>
        </w:tc>
        <w:tc>
          <w:tcPr>
            <w:tcW w:w="1924" w:type="pct"/>
            <w:tcBorders>
              <w:top w:val="nil"/>
              <w:left w:val="nil"/>
              <w:bottom w:val="single" w:color="auto" w:sz="4" w:space="0"/>
              <w:right w:val="single" w:color="auto" w:sz="4" w:space="0"/>
            </w:tcBorders>
            <w:shd w:val="clear" w:color="auto" w:fill="auto"/>
            <w:noWrap/>
            <w:vAlign w:val="bottom"/>
          </w:tcPr>
          <w:p>
            <w:pPr>
              <w:spacing w:after="0" w:line="360" w:lineRule="auto"/>
              <w:ind w:right="58"/>
              <w:rPr>
                <w:color w:val="auto"/>
                <w:kern w:val="0"/>
                <w:szCs w:val="21"/>
                <w:highlight w:val="none"/>
              </w:rPr>
            </w:pPr>
            <w:r>
              <w:rPr>
                <w:rFonts w:hint="eastAsia"/>
                <w:color w:val="auto"/>
                <w:kern w:val="0"/>
                <w:szCs w:val="21"/>
                <w:highlight w:val="none"/>
              </w:rPr>
              <w:t>用水量</w:t>
            </w:r>
          </w:p>
        </w:tc>
        <w:tc>
          <w:tcPr>
            <w:tcW w:w="983" w:type="pct"/>
            <w:vMerge w:val="continue"/>
            <w:tcBorders>
              <w:top w:val="nil"/>
              <w:left w:val="single" w:color="auto" w:sz="4" w:space="0"/>
              <w:bottom w:val="single" w:color="000000" w:sz="4" w:space="0"/>
              <w:right w:val="single" w:color="auto" w:sz="4" w:space="0"/>
            </w:tcBorders>
            <w:vAlign w:val="center"/>
          </w:tcPr>
          <w:p>
            <w:pPr>
              <w:spacing w:after="0" w:line="360" w:lineRule="auto"/>
              <w:ind w:right="46"/>
              <w:rPr>
                <w:color w:val="auto"/>
                <w:kern w:val="0"/>
                <w:szCs w:val="21"/>
                <w:highlight w:val="none"/>
              </w:rPr>
            </w:pPr>
          </w:p>
        </w:tc>
        <w:tc>
          <w:tcPr>
            <w:tcW w:w="1336" w:type="pct"/>
            <w:vMerge w:val="continue"/>
            <w:tcBorders>
              <w:top w:val="nil"/>
              <w:left w:val="single" w:color="auto" w:sz="4" w:space="0"/>
              <w:bottom w:val="single" w:color="000000" w:sz="4" w:space="0"/>
              <w:right w:val="single" w:color="auto" w:sz="4" w:space="0"/>
            </w:tcBorders>
            <w:vAlign w:val="center"/>
          </w:tcPr>
          <w:p>
            <w:pPr>
              <w:spacing w:after="0" w:line="360" w:lineRule="auto"/>
              <w:ind w:right="117"/>
              <w:rPr>
                <w:color w:val="auto"/>
                <w:kern w:val="0"/>
                <w:szCs w:val="21"/>
                <w:highlight w:val="none"/>
              </w:rPr>
            </w:pPr>
          </w:p>
        </w:tc>
      </w:tr>
      <w:tr>
        <w:tblPrEx>
          <w:tblCellMar>
            <w:top w:w="0" w:type="dxa"/>
            <w:left w:w="108" w:type="dxa"/>
            <w:bottom w:w="0" w:type="dxa"/>
            <w:right w:w="108" w:type="dxa"/>
          </w:tblCellMar>
        </w:tblPrEx>
        <w:trPr>
          <w:trHeight w:val="280" w:hRule="atLeast"/>
        </w:trPr>
        <w:tc>
          <w:tcPr>
            <w:tcW w:w="756" w:type="pct"/>
            <w:tcBorders>
              <w:top w:val="nil"/>
              <w:left w:val="single" w:color="auto" w:sz="4" w:space="0"/>
              <w:bottom w:val="single" w:color="auto" w:sz="4" w:space="0"/>
              <w:right w:val="single" w:color="auto" w:sz="4" w:space="0"/>
            </w:tcBorders>
            <w:shd w:val="clear" w:color="auto" w:fill="auto"/>
            <w:noWrap/>
            <w:vAlign w:val="bottom"/>
          </w:tcPr>
          <w:p>
            <w:pPr>
              <w:spacing w:after="0" w:line="360" w:lineRule="auto"/>
              <w:ind w:right="96"/>
              <w:rPr>
                <w:color w:val="auto"/>
                <w:kern w:val="0"/>
                <w:szCs w:val="21"/>
                <w:highlight w:val="none"/>
              </w:rPr>
            </w:pPr>
            <w:r>
              <w:rPr>
                <w:rFonts w:hint="eastAsia"/>
                <w:color w:val="auto"/>
                <w:kern w:val="0"/>
                <w:szCs w:val="21"/>
                <w:highlight w:val="none"/>
              </w:rPr>
              <w:t>能量表</w:t>
            </w:r>
          </w:p>
        </w:tc>
        <w:tc>
          <w:tcPr>
            <w:tcW w:w="1924" w:type="pct"/>
            <w:tcBorders>
              <w:top w:val="nil"/>
              <w:left w:val="nil"/>
              <w:bottom w:val="single" w:color="auto" w:sz="4" w:space="0"/>
              <w:right w:val="single" w:color="auto" w:sz="4" w:space="0"/>
            </w:tcBorders>
            <w:shd w:val="clear" w:color="auto" w:fill="auto"/>
            <w:noWrap/>
            <w:vAlign w:val="bottom"/>
          </w:tcPr>
          <w:p>
            <w:pPr>
              <w:spacing w:after="0" w:line="360" w:lineRule="auto"/>
              <w:ind w:right="58"/>
              <w:rPr>
                <w:color w:val="auto"/>
                <w:kern w:val="0"/>
                <w:szCs w:val="21"/>
                <w:highlight w:val="none"/>
              </w:rPr>
            </w:pPr>
            <w:r>
              <w:rPr>
                <w:rFonts w:hint="eastAsia"/>
                <w:color w:val="auto"/>
                <w:kern w:val="0"/>
                <w:szCs w:val="21"/>
                <w:highlight w:val="none"/>
              </w:rPr>
              <w:t>用冷量</w:t>
            </w:r>
          </w:p>
        </w:tc>
        <w:tc>
          <w:tcPr>
            <w:tcW w:w="983" w:type="pct"/>
            <w:vMerge w:val="continue"/>
            <w:tcBorders>
              <w:top w:val="nil"/>
              <w:left w:val="single" w:color="auto" w:sz="4" w:space="0"/>
              <w:bottom w:val="single" w:color="000000" w:sz="4" w:space="0"/>
              <w:right w:val="single" w:color="auto" w:sz="4" w:space="0"/>
            </w:tcBorders>
            <w:vAlign w:val="center"/>
          </w:tcPr>
          <w:p>
            <w:pPr>
              <w:spacing w:after="0" w:line="360" w:lineRule="auto"/>
              <w:ind w:right="46"/>
              <w:rPr>
                <w:color w:val="auto"/>
                <w:kern w:val="0"/>
                <w:szCs w:val="21"/>
                <w:highlight w:val="none"/>
              </w:rPr>
            </w:pPr>
          </w:p>
        </w:tc>
        <w:tc>
          <w:tcPr>
            <w:tcW w:w="1336" w:type="pct"/>
            <w:vMerge w:val="continue"/>
            <w:tcBorders>
              <w:top w:val="nil"/>
              <w:left w:val="single" w:color="auto" w:sz="4" w:space="0"/>
              <w:bottom w:val="single" w:color="000000" w:sz="4" w:space="0"/>
              <w:right w:val="single" w:color="auto" w:sz="4" w:space="0"/>
            </w:tcBorders>
            <w:vAlign w:val="center"/>
          </w:tcPr>
          <w:p>
            <w:pPr>
              <w:spacing w:after="0" w:line="360" w:lineRule="auto"/>
              <w:ind w:right="117"/>
              <w:rPr>
                <w:color w:val="auto"/>
                <w:kern w:val="0"/>
                <w:szCs w:val="21"/>
                <w:highlight w:val="none"/>
              </w:rPr>
            </w:pPr>
          </w:p>
        </w:tc>
      </w:tr>
    </w:tbl>
    <w:p>
      <w:pPr>
        <w:spacing w:after="0" w:line="240" w:lineRule="auto"/>
        <w:ind w:right="0"/>
        <w:rPr>
          <w:color w:val="auto"/>
          <w:highlight w:val="none"/>
        </w:rPr>
      </w:pPr>
      <w:r>
        <w:rPr>
          <w:color w:val="auto"/>
          <w:highlight w:val="none"/>
        </w:rPr>
        <w:br w:type="page"/>
      </w:r>
    </w:p>
    <w:p>
      <w:pPr>
        <w:pStyle w:val="2"/>
        <w:tabs>
          <w:tab w:val="center" w:pos="2141"/>
        </w:tabs>
        <w:spacing w:after="0" w:line="360" w:lineRule="auto"/>
        <w:ind w:left="0" w:right="0" w:firstLine="0"/>
        <w:rPr>
          <w:b/>
          <w:color w:val="auto"/>
          <w:sz w:val="30"/>
          <w:szCs w:val="30"/>
          <w:highlight w:val="none"/>
        </w:rPr>
      </w:pPr>
      <w:bookmarkStart w:id="300" w:name="_Toc12991"/>
      <w:bookmarkStart w:id="301" w:name="_Toc30378"/>
      <w:bookmarkStart w:id="302" w:name="_Toc32571"/>
      <w:bookmarkStart w:id="303" w:name="_Toc23776"/>
      <w:bookmarkStart w:id="304" w:name="_Toc3866"/>
      <w:bookmarkStart w:id="305" w:name="_Toc27311"/>
      <w:bookmarkStart w:id="306" w:name="_Toc28537"/>
      <w:bookmarkStart w:id="307" w:name="_Toc18903"/>
      <w:bookmarkStart w:id="308" w:name="_Toc6976"/>
      <w:bookmarkStart w:id="309" w:name="_Toc32436"/>
      <w:bookmarkStart w:id="310" w:name="_Toc22937"/>
      <w:bookmarkStart w:id="311" w:name="_Toc10471"/>
      <w:bookmarkStart w:id="312" w:name="_Toc4674"/>
      <w:bookmarkStart w:id="313" w:name="_Toc15710"/>
      <w:bookmarkStart w:id="314" w:name="_Toc6692"/>
      <w:bookmarkStart w:id="315" w:name="_Toc27968"/>
      <w:bookmarkStart w:id="316" w:name="_Toc26752"/>
      <w:bookmarkStart w:id="317" w:name="_Toc26614"/>
      <w:bookmarkStart w:id="318" w:name="_Toc23772"/>
      <w:bookmarkStart w:id="319" w:name="_Toc740"/>
      <w:bookmarkStart w:id="320" w:name="_Toc1045"/>
      <w:bookmarkStart w:id="321" w:name="_Toc16309"/>
      <w:bookmarkStart w:id="322" w:name="_Toc4167"/>
      <w:bookmarkStart w:id="323" w:name="_Toc29655"/>
      <w:r>
        <w:rPr>
          <w:rFonts w:hint="eastAsia"/>
          <w:b/>
          <w:color w:val="auto"/>
          <w:sz w:val="30"/>
          <w:szCs w:val="30"/>
          <w:highlight w:val="none"/>
        </w:rPr>
        <w:t>附件2：信息网络布线要求</w:t>
      </w:r>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p>
    <w:p>
      <w:pPr>
        <w:pStyle w:val="35"/>
        <w:jc w:val="center"/>
        <w:rPr>
          <w:rFonts w:ascii="宋体" w:hAnsi="宋体"/>
          <w:b/>
          <w:spacing w:val="0"/>
          <w:sz w:val="48"/>
          <w:szCs w:val="48"/>
          <w:highlight w:val="none"/>
        </w:rPr>
      </w:pPr>
      <w:r>
        <w:rPr>
          <w:rFonts w:hint="eastAsia" w:ascii="宋体" w:hAnsi="宋体"/>
          <w:b/>
          <w:spacing w:val="0"/>
          <w:sz w:val="48"/>
          <w:szCs w:val="48"/>
          <w:highlight w:val="none"/>
        </w:rPr>
        <w:t>信息网络布线要求</w:t>
      </w:r>
    </w:p>
    <w:p>
      <w:pPr>
        <w:pStyle w:val="35"/>
        <w:jc w:val="center"/>
        <w:rPr>
          <w:highlight w:val="none"/>
        </w:rPr>
      </w:pPr>
      <w:r>
        <w:rPr>
          <w:rFonts w:hint="eastAsia"/>
          <w:highlight w:val="none"/>
        </w:rPr>
        <w:t>中山大学附属第一医院信息数据中心</w:t>
      </w:r>
    </w:p>
    <w:p>
      <w:pPr>
        <w:pStyle w:val="35"/>
        <w:jc w:val="right"/>
        <w:rPr>
          <w:rFonts w:ascii="宋体" w:hAnsi="宋体"/>
          <w:spacing w:val="0"/>
          <w:sz w:val="18"/>
          <w:szCs w:val="18"/>
          <w:highlight w:val="none"/>
        </w:rPr>
      </w:pPr>
      <w:r>
        <w:rPr>
          <w:rFonts w:hint="eastAsia" w:ascii="宋体" w:hAnsi="宋体"/>
          <w:spacing w:val="0"/>
          <w:sz w:val="18"/>
          <w:szCs w:val="18"/>
          <w:highlight w:val="none"/>
        </w:rPr>
        <w:t>【20</w:t>
      </w:r>
      <w:r>
        <w:rPr>
          <w:rFonts w:ascii="宋体" w:hAnsi="宋体"/>
          <w:spacing w:val="0"/>
          <w:sz w:val="18"/>
          <w:szCs w:val="18"/>
          <w:highlight w:val="none"/>
        </w:rPr>
        <w:t>22</w:t>
      </w:r>
      <w:r>
        <w:rPr>
          <w:rFonts w:hint="eastAsia" w:ascii="宋体" w:hAnsi="宋体"/>
          <w:spacing w:val="0"/>
          <w:sz w:val="18"/>
          <w:szCs w:val="18"/>
          <w:highlight w:val="none"/>
        </w:rPr>
        <w:t>.</w:t>
      </w:r>
      <w:r>
        <w:rPr>
          <w:rFonts w:ascii="宋体" w:hAnsi="宋体"/>
          <w:spacing w:val="0"/>
          <w:sz w:val="18"/>
          <w:szCs w:val="18"/>
          <w:highlight w:val="none"/>
        </w:rPr>
        <w:t>04</w:t>
      </w:r>
      <w:r>
        <w:rPr>
          <w:rFonts w:hint="eastAsia" w:ascii="宋体" w:hAnsi="宋体"/>
          <w:spacing w:val="0"/>
          <w:sz w:val="18"/>
          <w:szCs w:val="18"/>
          <w:highlight w:val="none"/>
        </w:rPr>
        <w:t>.</w:t>
      </w:r>
      <w:r>
        <w:rPr>
          <w:rFonts w:ascii="宋体" w:hAnsi="宋体"/>
          <w:spacing w:val="0"/>
          <w:sz w:val="18"/>
          <w:szCs w:val="18"/>
          <w:highlight w:val="none"/>
        </w:rPr>
        <w:t>20</w:t>
      </w:r>
      <w:r>
        <w:rPr>
          <w:rFonts w:hint="eastAsia" w:ascii="宋体" w:hAnsi="宋体"/>
          <w:spacing w:val="0"/>
          <w:sz w:val="18"/>
          <w:szCs w:val="18"/>
          <w:highlight w:val="none"/>
        </w:rPr>
        <w:t>】</w:t>
      </w:r>
    </w:p>
    <w:p>
      <w:pPr>
        <w:pStyle w:val="35"/>
        <w:jc w:val="center"/>
        <w:rPr>
          <w:highlight w:val="none"/>
        </w:rPr>
      </w:pPr>
    </w:p>
    <w:p>
      <w:pPr>
        <w:pStyle w:val="35"/>
        <w:numPr>
          <w:ilvl w:val="0"/>
          <w:numId w:val="133"/>
        </w:numPr>
        <w:jc w:val="left"/>
        <w:rPr>
          <w:b/>
          <w:sz w:val="28"/>
          <w:szCs w:val="28"/>
          <w:highlight w:val="none"/>
        </w:rPr>
      </w:pPr>
      <w:r>
        <w:rPr>
          <w:rFonts w:hint="eastAsia"/>
          <w:b/>
          <w:sz w:val="28"/>
          <w:szCs w:val="28"/>
          <w:highlight w:val="none"/>
        </w:rPr>
        <w:t>说明</w:t>
      </w:r>
    </w:p>
    <w:p>
      <w:pPr>
        <w:pStyle w:val="35"/>
        <w:numPr>
          <w:ilvl w:val="0"/>
          <w:numId w:val="134"/>
        </w:numPr>
        <w:jc w:val="left"/>
        <w:rPr>
          <w:highlight w:val="none"/>
        </w:rPr>
      </w:pPr>
      <w:r>
        <w:rPr>
          <w:rFonts w:hint="eastAsia"/>
          <w:highlight w:val="none"/>
        </w:rPr>
        <w:t>院内各部门如须进行网络综合布线施工，必须严格按此文档要求施工。</w:t>
      </w:r>
    </w:p>
    <w:p>
      <w:pPr>
        <w:pStyle w:val="35"/>
        <w:numPr>
          <w:ilvl w:val="0"/>
          <w:numId w:val="134"/>
        </w:numPr>
        <w:jc w:val="left"/>
        <w:rPr>
          <w:highlight w:val="none"/>
        </w:rPr>
      </w:pPr>
      <w:r>
        <w:rPr>
          <w:rFonts w:hint="eastAsia"/>
          <w:highlight w:val="none"/>
        </w:rPr>
        <w:t>弱电设计前，请按此文档要求预留好相关耗材与施工的资金预算，避免有缺漏导致无法实施。</w:t>
      </w:r>
    </w:p>
    <w:p>
      <w:pPr>
        <w:pStyle w:val="35"/>
        <w:numPr>
          <w:ilvl w:val="0"/>
          <w:numId w:val="134"/>
        </w:numPr>
        <w:rPr>
          <w:highlight w:val="none"/>
        </w:rPr>
      </w:pPr>
      <w:r>
        <w:rPr>
          <w:rFonts w:hint="eastAsia"/>
          <w:highlight w:val="none"/>
        </w:rPr>
        <w:t>各部门在弱电设计前，提前与信息数据中心对弱电机柜位置、信息点的位置与数量进行预确定，并向信息数据中心提交综合布线设计平面图等文档，信息数据中心回复意见、</w:t>
      </w:r>
      <w:r>
        <w:rPr>
          <w:rFonts w:hint="eastAsia"/>
          <w:b/>
          <w:highlight w:val="none"/>
        </w:rPr>
        <w:t>审核确认后方可施工</w:t>
      </w:r>
      <w:r>
        <w:rPr>
          <w:rFonts w:hint="eastAsia"/>
          <w:highlight w:val="none"/>
        </w:rPr>
        <w:t>。曾经有部门没提前向信息数据中心确认便施工，错将网络布线敷设到安防监控机柜里，导致临床科室无法使用网络，耽误了医院搬迁计划，最终须要重新布线并承担相关费用。</w:t>
      </w:r>
    </w:p>
    <w:p>
      <w:pPr>
        <w:pStyle w:val="35"/>
        <w:numPr>
          <w:ilvl w:val="0"/>
          <w:numId w:val="134"/>
        </w:numPr>
        <w:rPr>
          <w:highlight w:val="none"/>
        </w:rPr>
      </w:pPr>
      <w:r>
        <w:rPr>
          <w:rFonts w:hint="eastAsia"/>
          <w:highlight w:val="none"/>
        </w:rPr>
        <w:t>请严格按照此文档要求的材料规格与安装方式进行施工。在</w:t>
      </w:r>
      <w:r>
        <w:rPr>
          <w:rFonts w:hint="eastAsia"/>
          <w:b/>
          <w:highlight w:val="none"/>
        </w:rPr>
        <w:t>采购前</w:t>
      </w:r>
      <w:r>
        <w:rPr>
          <w:rFonts w:hint="eastAsia"/>
          <w:highlight w:val="none"/>
        </w:rPr>
        <w:t>与信息数据中心确认施工中所用材料的品牌与规格，并</w:t>
      </w:r>
      <w:r>
        <w:rPr>
          <w:rFonts w:hint="eastAsia"/>
          <w:b/>
          <w:highlight w:val="none"/>
        </w:rPr>
        <w:t>提供原厂供货证明</w:t>
      </w:r>
      <w:r>
        <w:rPr>
          <w:rFonts w:hint="eastAsia"/>
          <w:highlight w:val="none"/>
        </w:rPr>
        <w:t>，否则信息数据中心不参与网络部分验收，需要重新整改所产生的费用自负。</w:t>
      </w:r>
    </w:p>
    <w:p>
      <w:pPr>
        <w:pStyle w:val="35"/>
        <w:numPr>
          <w:ilvl w:val="0"/>
          <w:numId w:val="134"/>
        </w:numPr>
        <w:rPr>
          <w:highlight w:val="none"/>
        </w:rPr>
      </w:pPr>
      <w:r>
        <w:rPr>
          <w:rFonts w:hint="eastAsia"/>
          <w:highlight w:val="none"/>
        </w:rPr>
        <w:t>场地原有网络设备及线材应征得信息数据中心同意方可拆除，并在装修后按实际需求进行复原，对于拆除后不再使用的设备应交还信息数据中心。</w:t>
      </w:r>
    </w:p>
    <w:p>
      <w:pPr>
        <w:pStyle w:val="35"/>
        <w:numPr>
          <w:ilvl w:val="0"/>
          <w:numId w:val="134"/>
        </w:numPr>
        <w:rPr>
          <w:rFonts w:ascii="宋体" w:hAnsi="宋体"/>
          <w:sz w:val="21"/>
          <w:szCs w:val="21"/>
          <w:highlight w:val="none"/>
          <w:u w:val="single"/>
        </w:rPr>
      </w:pPr>
      <w:r>
        <w:rPr>
          <w:rFonts w:hint="eastAsia"/>
          <w:highlight w:val="none"/>
        </w:rPr>
        <w:t>施工前对场地原有的机柜、设备、线缆、接口面板等弱电设施做好保护，避免油漆及灰尘掉落覆盖网络设备、配件及标签等。若施工方导致网络设备（如天花板上的无线网络设备等外露设备）损坏或丢失需按设备市场价格对医院进行</w:t>
      </w:r>
      <w:r>
        <w:rPr>
          <w:rFonts w:hint="eastAsia" w:ascii="宋体" w:hAnsi="宋体"/>
          <w:highlight w:val="none"/>
          <w:u w:val="single"/>
        </w:rPr>
        <w:t>赔偿</w:t>
      </w:r>
      <w:r>
        <w:rPr>
          <w:rFonts w:hint="eastAsia" w:ascii="宋体" w:hAnsi="宋体"/>
          <w:highlight w:val="none"/>
        </w:rPr>
        <w:t>。</w:t>
      </w:r>
      <w:r>
        <w:rPr>
          <w:rFonts w:hint="eastAsia" w:ascii="宋体" w:hAnsi="宋体"/>
          <w:sz w:val="21"/>
          <w:szCs w:val="21"/>
          <w:highlight w:val="none"/>
          <w:u w:val="single"/>
        </w:rPr>
        <w:t>（曾有施工方私自拆下无线网络设备并且随便摆放导致设备丢失、随意破坏光纤与有线电视线缆，最终赔偿了医院相同的设备与线缆的恢复费用。）</w:t>
      </w:r>
    </w:p>
    <w:p>
      <w:pPr>
        <w:pStyle w:val="35"/>
        <w:numPr>
          <w:ilvl w:val="0"/>
          <w:numId w:val="134"/>
        </w:numPr>
        <w:rPr>
          <w:highlight w:val="none"/>
        </w:rPr>
      </w:pPr>
      <w:r>
        <w:rPr>
          <w:rFonts w:hint="eastAsia"/>
          <w:highlight w:val="none"/>
        </w:rPr>
        <w:t>施工过程中须联系信息数据中心人员到现场查看弱电管道位置无误后，再进行封墙粉刷。</w:t>
      </w:r>
    </w:p>
    <w:p>
      <w:pPr>
        <w:pStyle w:val="35"/>
        <w:numPr>
          <w:ilvl w:val="0"/>
          <w:numId w:val="134"/>
        </w:numPr>
        <w:rPr>
          <w:highlight w:val="none"/>
        </w:rPr>
      </w:pPr>
      <w:r>
        <w:rPr>
          <w:rFonts w:hint="eastAsia"/>
          <w:highlight w:val="none"/>
        </w:rPr>
        <w:t>网络布线验收前需要（由施工方聘请）第三方公司完成网络综合布线检测，检测安排在正常工作日时间内而且须要联系信息数据中心人员到现场监看，对检测不通过的布线应马上进行整改直至测试通过，提供检测后的报告和网络布线竣工图。</w:t>
      </w:r>
    </w:p>
    <w:p>
      <w:pPr>
        <w:pStyle w:val="35"/>
        <w:numPr>
          <w:ilvl w:val="0"/>
          <w:numId w:val="134"/>
        </w:numPr>
        <w:rPr>
          <w:highlight w:val="none"/>
        </w:rPr>
      </w:pPr>
      <w:r>
        <w:rPr>
          <w:rFonts w:hint="eastAsia"/>
          <w:highlight w:val="none"/>
        </w:rPr>
        <w:t>需要提供的文档有：综合布线设计平面图、材料原厂供货证明、墙体批荡前弱电信息点（底盒和线管）与周边强电（底盒和线管）的照片，天花内线槽布线照片（照片每隔</w:t>
      </w:r>
      <w:r>
        <w:rPr>
          <w:highlight w:val="none"/>
        </w:rPr>
        <w:t>15</w:t>
      </w:r>
      <w:r>
        <w:rPr>
          <w:rFonts w:hint="eastAsia"/>
          <w:highlight w:val="none"/>
        </w:rPr>
        <w:t>米拍摄一张，照片要反应出线缆敷设在线槽内；线槽没有露顶，已封盖）、弱电线槽与线管喷漆备注“弱电线槽”，第三方F</w:t>
      </w:r>
      <w:r>
        <w:rPr>
          <w:highlight w:val="none"/>
        </w:rPr>
        <w:t>LUKE</w:t>
      </w:r>
      <w:r>
        <w:rPr>
          <w:rFonts w:hint="eastAsia"/>
          <w:highlight w:val="none"/>
        </w:rPr>
        <w:t>线缆检测报告、竣工图纸、</w:t>
      </w:r>
      <w:r>
        <w:rPr>
          <w:rFonts w:hint="eastAsia" w:ascii="宋体" w:hAnsi="宋体"/>
          <w:color w:val="000000"/>
          <w:highlight w:val="none"/>
        </w:rPr>
        <w:t>实施效果照片</w:t>
      </w:r>
      <w:r>
        <w:rPr>
          <w:rFonts w:hint="eastAsia"/>
          <w:highlight w:val="none"/>
        </w:rPr>
        <w:t>。</w:t>
      </w:r>
    </w:p>
    <w:p>
      <w:pPr>
        <w:pStyle w:val="35"/>
        <w:numPr>
          <w:ilvl w:val="0"/>
          <w:numId w:val="134"/>
        </w:numPr>
        <w:rPr>
          <w:highlight w:val="none"/>
        </w:rPr>
      </w:pPr>
      <w:r>
        <w:rPr>
          <w:rFonts w:hint="eastAsia"/>
          <w:highlight w:val="none"/>
        </w:rPr>
        <w:t>需要提供的材料有：原厂六类双绞线跳线（电脑端与机柜端，非手打）、六类双绞线缆、六类配线架（含六类模块）、理线器、六类信息面板与模块、7</w:t>
      </w:r>
      <w:r>
        <w:rPr>
          <w:highlight w:val="none"/>
        </w:rPr>
        <w:t>2</w:t>
      </w:r>
      <w:r>
        <w:rPr>
          <w:rFonts w:hint="eastAsia"/>
          <w:highlight w:val="none"/>
        </w:rPr>
        <w:t>芯与2</w:t>
      </w:r>
      <w:r>
        <w:rPr>
          <w:highlight w:val="none"/>
        </w:rPr>
        <w:t>4</w:t>
      </w:r>
      <w:r>
        <w:rPr>
          <w:rFonts w:hint="eastAsia"/>
          <w:highlight w:val="none"/>
        </w:rPr>
        <w:t>芯光纤盘(含尾纤、耦合器等必要材料</w:t>
      </w:r>
      <w:r>
        <w:rPr>
          <w:highlight w:val="none"/>
        </w:rPr>
        <w:t>)</w:t>
      </w:r>
      <w:r>
        <w:rPr>
          <w:rFonts w:hint="eastAsia"/>
          <w:highlight w:val="none"/>
        </w:rPr>
        <w:t>、单模与多模光缆、单模与多模光纤跳线、网络机柜、标签机打印标签（跳线两端、配线架、面板）等。</w:t>
      </w:r>
    </w:p>
    <w:p>
      <w:pPr>
        <w:pStyle w:val="35"/>
        <w:ind w:firstLine="534" w:firstLineChars="191"/>
        <w:rPr>
          <w:highlight w:val="none"/>
        </w:rPr>
      </w:pPr>
    </w:p>
    <w:p>
      <w:pPr>
        <w:pStyle w:val="35"/>
        <w:numPr>
          <w:ilvl w:val="0"/>
          <w:numId w:val="133"/>
        </w:numPr>
        <w:jc w:val="left"/>
        <w:rPr>
          <w:b/>
          <w:sz w:val="28"/>
          <w:szCs w:val="28"/>
          <w:highlight w:val="none"/>
        </w:rPr>
      </w:pPr>
      <w:r>
        <w:rPr>
          <w:rFonts w:hint="eastAsia"/>
          <w:b/>
          <w:sz w:val="28"/>
          <w:szCs w:val="28"/>
          <w:highlight w:val="none"/>
        </w:rPr>
        <w:t>设备材料与施工要求</w:t>
      </w:r>
    </w:p>
    <w:p>
      <w:pPr>
        <w:pStyle w:val="35"/>
        <w:numPr>
          <w:ilvl w:val="0"/>
          <w:numId w:val="135"/>
        </w:numPr>
        <w:rPr>
          <w:rFonts w:ascii="宋体" w:hAnsi="宋体"/>
          <w:spacing w:val="0"/>
          <w:highlight w:val="none"/>
        </w:rPr>
      </w:pPr>
      <w:r>
        <w:rPr>
          <w:rFonts w:hint="eastAsia" w:ascii="宋体" w:hAnsi="宋体"/>
          <w:spacing w:val="0"/>
          <w:highlight w:val="none"/>
        </w:rPr>
        <w:t>超六类双绞线与六类双绞线：</w:t>
      </w:r>
    </w:p>
    <w:p>
      <w:pPr>
        <w:pStyle w:val="35"/>
        <w:numPr>
          <w:ilvl w:val="0"/>
          <w:numId w:val="136"/>
        </w:numPr>
        <w:rPr>
          <w:rFonts w:ascii="宋体" w:hAnsi="宋体"/>
          <w:spacing w:val="0"/>
          <w:highlight w:val="none"/>
        </w:rPr>
      </w:pPr>
      <w:r>
        <w:rPr>
          <w:rFonts w:hint="eastAsia" w:ascii="宋体" w:hAnsi="宋体"/>
          <w:spacing w:val="0"/>
          <w:highlight w:val="none"/>
        </w:rPr>
        <w:t>新增的线缆与机柜内原有的其他线缆保持颜色一致，如弱电机柜内原有的网线均为蓝色，则新增布线也要使用蓝色。</w:t>
      </w:r>
    </w:p>
    <w:p>
      <w:pPr>
        <w:pStyle w:val="35"/>
        <w:numPr>
          <w:ilvl w:val="0"/>
          <w:numId w:val="136"/>
        </w:numPr>
        <w:rPr>
          <w:rFonts w:ascii="宋体" w:hAnsi="宋体"/>
          <w:spacing w:val="0"/>
          <w:highlight w:val="none"/>
        </w:rPr>
      </w:pPr>
      <w:r>
        <w:rPr>
          <w:rFonts w:hint="eastAsia" w:ascii="宋体" w:hAnsi="宋体"/>
          <w:spacing w:val="0"/>
          <w:highlight w:val="none"/>
        </w:rPr>
        <w:t>详细参数请看下文“技术参数要求”。</w:t>
      </w:r>
    </w:p>
    <w:p>
      <w:pPr>
        <w:pStyle w:val="35"/>
        <w:numPr>
          <w:ilvl w:val="0"/>
          <w:numId w:val="135"/>
        </w:numPr>
        <w:rPr>
          <w:rFonts w:ascii="宋体" w:hAnsi="宋体"/>
          <w:spacing w:val="0"/>
          <w:highlight w:val="none"/>
        </w:rPr>
      </w:pPr>
      <w:r>
        <w:rPr>
          <w:rFonts w:hint="eastAsia" w:ascii="宋体" w:hAnsi="宋体"/>
          <w:spacing w:val="0"/>
          <w:highlight w:val="none"/>
        </w:rPr>
        <w:t>六类非屏蔽跳线：</w:t>
      </w:r>
    </w:p>
    <w:p>
      <w:pPr>
        <w:pStyle w:val="35"/>
        <w:numPr>
          <w:ilvl w:val="0"/>
          <w:numId w:val="137"/>
        </w:numPr>
        <w:rPr>
          <w:rFonts w:ascii="宋体" w:hAnsi="宋体"/>
          <w:spacing w:val="0"/>
          <w:highlight w:val="none"/>
        </w:rPr>
      </w:pPr>
      <w:r>
        <w:rPr>
          <w:rFonts w:hint="eastAsia" w:ascii="宋体" w:hAnsi="宋体"/>
          <w:spacing w:val="0"/>
          <w:highlight w:val="none"/>
        </w:rPr>
        <w:t>机柜端预留3米跳线，使用原厂六类双绞线跳线，不使用手工跳线。</w:t>
      </w:r>
    </w:p>
    <w:p>
      <w:pPr>
        <w:pStyle w:val="35"/>
        <w:numPr>
          <w:ilvl w:val="0"/>
          <w:numId w:val="137"/>
        </w:numPr>
        <w:rPr>
          <w:rFonts w:ascii="宋体" w:hAnsi="宋体"/>
          <w:spacing w:val="0"/>
          <w:highlight w:val="none"/>
        </w:rPr>
      </w:pPr>
      <w:r>
        <w:rPr>
          <w:rFonts w:hint="eastAsia" w:ascii="宋体" w:hAnsi="宋体"/>
          <w:spacing w:val="0"/>
          <w:highlight w:val="none"/>
        </w:rPr>
        <w:t>电脑端预留</w:t>
      </w:r>
      <w:r>
        <w:rPr>
          <w:rFonts w:ascii="宋体" w:hAnsi="宋体"/>
          <w:spacing w:val="0"/>
          <w:highlight w:val="none"/>
        </w:rPr>
        <w:t>3</w:t>
      </w:r>
      <w:r>
        <w:rPr>
          <w:rFonts w:hint="eastAsia" w:ascii="宋体" w:hAnsi="宋体"/>
          <w:spacing w:val="0"/>
          <w:highlight w:val="none"/>
        </w:rPr>
        <w:t>米跳线、使用原厂六类双绞线跳线，不使用手工跳线。</w:t>
      </w:r>
    </w:p>
    <w:p>
      <w:pPr>
        <w:pStyle w:val="35"/>
        <w:numPr>
          <w:ilvl w:val="0"/>
          <w:numId w:val="137"/>
        </w:numPr>
        <w:rPr>
          <w:rFonts w:ascii="宋体" w:hAnsi="宋体"/>
          <w:spacing w:val="0"/>
          <w:highlight w:val="none"/>
        </w:rPr>
      </w:pPr>
      <w:r>
        <w:rPr>
          <w:rFonts w:hint="eastAsia" w:ascii="宋体" w:hAnsi="宋体"/>
          <w:spacing w:val="0"/>
          <w:highlight w:val="none"/>
        </w:rPr>
        <w:t>有特别需求时，提前与信息数据中心联系，可以根据实际需求采购不同长度的原厂跳线。</w:t>
      </w:r>
    </w:p>
    <w:p>
      <w:pPr>
        <w:pStyle w:val="35"/>
        <w:numPr>
          <w:ilvl w:val="0"/>
          <w:numId w:val="137"/>
        </w:numPr>
        <w:rPr>
          <w:rFonts w:ascii="宋体" w:hAnsi="宋体"/>
          <w:spacing w:val="0"/>
          <w:highlight w:val="none"/>
        </w:rPr>
      </w:pPr>
      <w:r>
        <w:rPr>
          <w:rFonts w:hint="eastAsia" w:ascii="宋体" w:hAnsi="宋体"/>
          <w:spacing w:val="0"/>
          <w:highlight w:val="none"/>
        </w:rPr>
        <w:t>详细参数请看下文“技术参数要求”。</w:t>
      </w:r>
    </w:p>
    <w:p>
      <w:pPr>
        <w:pStyle w:val="35"/>
        <w:numPr>
          <w:ilvl w:val="0"/>
          <w:numId w:val="135"/>
        </w:numPr>
        <w:rPr>
          <w:rFonts w:ascii="宋体" w:hAnsi="宋体"/>
          <w:spacing w:val="0"/>
          <w:highlight w:val="none"/>
        </w:rPr>
      </w:pPr>
      <w:r>
        <w:rPr>
          <w:rFonts w:hint="eastAsia" w:ascii="宋体" w:hAnsi="宋体"/>
          <w:spacing w:val="0"/>
          <w:highlight w:val="none"/>
        </w:rPr>
        <w:t>网络机柜：</w:t>
      </w:r>
    </w:p>
    <w:p>
      <w:pPr>
        <w:pStyle w:val="35"/>
        <w:numPr>
          <w:ilvl w:val="0"/>
          <w:numId w:val="138"/>
        </w:numPr>
        <w:rPr>
          <w:rFonts w:ascii="宋体" w:hAnsi="宋体"/>
          <w:spacing w:val="0"/>
          <w:highlight w:val="none"/>
        </w:rPr>
      </w:pPr>
      <w:r>
        <w:rPr>
          <w:rFonts w:hint="eastAsia" w:ascii="宋体" w:hAnsi="宋体"/>
          <w:spacing w:val="0"/>
          <w:highlight w:val="none"/>
        </w:rPr>
        <w:t>若空间足够，尽量采用4</w:t>
      </w:r>
      <w:r>
        <w:rPr>
          <w:rFonts w:ascii="宋体" w:hAnsi="宋体"/>
          <w:spacing w:val="0"/>
          <w:highlight w:val="none"/>
        </w:rPr>
        <w:t>2U 600</w:t>
      </w:r>
      <w:r>
        <w:rPr>
          <w:rFonts w:hint="eastAsia" w:ascii="宋体" w:hAnsi="宋体"/>
          <w:spacing w:val="0"/>
          <w:highlight w:val="none"/>
        </w:rPr>
        <w:t>*</w:t>
      </w:r>
      <w:r>
        <w:rPr>
          <w:rFonts w:ascii="宋体" w:hAnsi="宋体"/>
          <w:spacing w:val="0"/>
          <w:highlight w:val="none"/>
        </w:rPr>
        <w:t>600</w:t>
      </w:r>
      <w:r>
        <w:rPr>
          <w:rFonts w:hint="eastAsia" w:ascii="宋体" w:hAnsi="宋体"/>
          <w:spacing w:val="0"/>
          <w:highlight w:val="none"/>
        </w:rPr>
        <w:t>机柜。</w:t>
      </w:r>
    </w:p>
    <w:p>
      <w:pPr>
        <w:pStyle w:val="35"/>
        <w:numPr>
          <w:ilvl w:val="0"/>
          <w:numId w:val="138"/>
        </w:numPr>
        <w:rPr>
          <w:rFonts w:ascii="宋体" w:hAnsi="宋体"/>
          <w:spacing w:val="0"/>
          <w:highlight w:val="none"/>
        </w:rPr>
      </w:pPr>
      <w:r>
        <w:rPr>
          <w:rFonts w:hint="eastAsia" w:ascii="宋体" w:hAnsi="宋体"/>
          <w:spacing w:val="0"/>
          <w:highlight w:val="none"/>
        </w:rPr>
        <w:t>因空间限制以及有特定需求时，提前与信息数据中心联系，根据实际需求采购大小适合的机柜。</w:t>
      </w:r>
    </w:p>
    <w:p>
      <w:pPr>
        <w:pStyle w:val="35"/>
        <w:numPr>
          <w:ilvl w:val="0"/>
          <w:numId w:val="138"/>
        </w:numPr>
        <w:rPr>
          <w:rFonts w:ascii="宋体" w:hAnsi="宋体"/>
          <w:spacing w:val="0"/>
          <w:highlight w:val="none"/>
        </w:rPr>
      </w:pPr>
      <w:r>
        <w:rPr>
          <w:rFonts w:hint="eastAsia" w:ascii="宋体" w:hAnsi="宋体"/>
          <w:spacing w:val="0"/>
          <w:highlight w:val="none"/>
        </w:rPr>
        <w:t>详细参数请看下文“技术参数要求”。</w:t>
      </w:r>
    </w:p>
    <w:p>
      <w:pPr>
        <w:pStyle w:val="35"/>
        <w:numPr>
          <w:ilvl w:val="0"/>
          <w:numId w:val="135"/>
        </w:numPr>
        <w:rPr>
          <w:rFonts w:ascii="宋体" w:hAnsi="宋体"/>
          <w:spacing w:val="0"/>
          <w:highlight w:val="none"/>
        </w:rPr>
      </w:pPr>
      <w:r>
        <w:rPr>
          <w:rFonts w:hint="eastAsia" w:ascii="宋体" w:hAnsi="宋体"/>
          <w:spacing w:val="0"/>
          <w:highlight w:val="none"/>
        </w:rPr>
        <w:t>配线架：</w:t>
      </w:r>
    </w:p>
    <w:p>
      <w:pPr>
        <w:pStyle w:val="35"/>
        <w:numPr>
          <w:ilvl w:val="0"/>
          <w:numId w:val="139"/>
        </w:numPr>
        <w:rPr>
          <w:rFonts w:ascii="宋体" w:hAnsi="宋体"/>
          <w:spacing w:val="0"/>
          <w:highlight w:val="none"/>
        </w:rPr>
      </w:pPr>
      <w:r>
        <w:rPr>
          <w:rFonts w:hint="eastAsia" w:ascii="宋体" w:hAnsi="宋体"/>
          <w:spacing w:val="0"/>
          <w:highlight w:val="none"/>
        </w:rPr>
        <w:t>六类</w:t>
      </w:r>
      <w:r>
        <w:rPr>
          <w:rFonts w:ascii="宋体" w:hAnsi="宋体"/>
          <w:spacing w:val="0"/>
          <w:highlight w:val="none"/>
        </w:rPr>
        <w:t>48</w:t>
      </w:r>
      <w:r>
        <w:rPr>
          <w:rFonts w:hint="eastAsia" w:ascii="宋体" w:hAnsi="宋体"/>
          <w:spacing w:val="0"/>
          <w:highlight w:val="none"/>
        </w:rPr>
        <w:t>口或2</w:t>
      </w:r>
      <w:r>
        <w:rPr>
          <w:rFonts w:ascii="宋体" w:hAnsi="宋体"/>
          <w:spacing w:val="0"/>
          <w:highlight w:val="none"/>
        </w:rPr>
        <w:t>4</w:t>
      </w:r>
      <w:r>
        <w:rPr>
          <w:rFonts w:hint="eastAsia" w:ascii="宋体" w:hAnsi="宋体"/>
          <w:spacing w:val="0"/>
          <w:highlight w:val="none"/>
        </w:rPr>
        <w:t>口模块化配线架，高度都是1U，由于院内弱电机柜空间普遍紧张，优先使用1</w:t>
      </w:r>
      <w:r>
        <w:rPr>
          <w:rFonts w:ascii="宋体" w:hAnsi="宋体"/>
          <w:spacing w:val="0"/>
          <w:highlight w:val="none"/>
        </w:rPr>
        <w:t>U48</w:t>
      </w:r>
      <w:r>
        <w:rPr>
          <w:rFonts w:hint="eastAsia" w:ascii="宋体" w:hAnsi="宋体"/>
          <w:spacing w:val="0"/>
          <w:highlight w:val="none"/>
        </w:rPr>
        <w:t>口配线架。每一个模块都能单独拆卸更换。配线架与理线器相互独立，不要采用连为一体的配线架。下图为配线架的独立可拆卸模块。</w:t>
      </w:r>
    </w:p>
    <w:p>
      <w:pPr>
        <w:pStyle w:val="35"/>
        <w:jc w:val="center"/>
        <w:rPr>
          <w:highlight w:val="none"/>
        </w:rPr>
      </w:pPr>
      <w:r>
        <w:rPr>
          <w:highlight w:val="none"/>
        </w:rPr>
        <w:drawing>
          <wp:inline distT="0" distB="0" distL="114300" distR="114300">
            <wp:extent cx="2410460" cy="1313815"/>
            <wp:effectExtent l="0" t="0" r="8890" b="635"/>
            <wp:docPr id="2" name="图片 2" descr="2014314171457991946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2014314171457991946b"/>
                    <pic:cNvPicPr>
                      <a:picLocks noChangeAspect="1"/>
                    </pic:cNvPicPr>
                  </pic:nvPicPr>
                  <pic:blipFill>
                    <a:blip r:embed="rId14"/>
                    <a:stretch>
                      <a:fillRect/>
                    </a:stretch>
                  </pic:blipFill>
                  <pic:spPr>
                    <a:xfrm>
                      <a:off x="0" y="0"/>
                      <a:ext cx="2410460" cy="1313815"/>
                    </a:xfrm>
                    <a:prstGeom prst="rect">
                      <a:avLst/>
                    </a:prstGeom>
                    <a:noFill/>
                    <a:ln>
                      <a:noFill/>
                    </a:ln>
                  </pic:spPr>
                </pic:pic>
              </a:graphicData>
            </a:graphic>
          </wp:inline>
        </w:drawing>
      </w:r>
    </w:p>
    <w:p>
      <w:pPr>
        <w:pStyle w:val="35"/>
        <w:numPr>
          <w:ilvl w:val="0"/>
          <w:numId w:val="139"/>
        </w:numPr>
        <w:rPr>
          <w:rFonts w:ascii="宋体" w:hAnsi="宋体"/>
          <w:spacing w:val="0"/>
          <w:highlight w:val="none"/>
        </w:rPr>
      </w:pPr>
      <w:r>
        <w:rPr>
          <w:rFonts w:hint="eastAsia" w:ascii="宋体" w:hAnsi="宋体"/>
          <w:spacing w:val="0"/>
          <w:highlight w:val="none"/>
        </w:rPr>
        <w:t>详细参数请看下文“技术参数要求”。</w:t>
      </w:r>
    </w:p>
    <w:p>
      <w:pPr>
        <w:pStyle w:val="35"/>
        <w:numPr>
          <w:ilvl w:val="0"/>
          <w:numId w:val="135"/>
        </w:numPr>
        <w:rPr>
          <w:rFonts w:ascii="宋体" w:hAnsi="宋体"/>
          <w:spacing w:val="0"/>
          <w:highlight w:val="none"/>
        </w:rPr>
      </w:pPr>
      <w:r>
        <w:rPr>
          <w:rFonts w:hint="eastAsia" w:ascii="宋体" w:hAnsi="宋体"/>
          <w:spacing w:val="0"/>
          <w:highlight w:val="none"/>
        </w:rPr>
        <w:t>理线器：</w:t>
      </w:r>
    </w:p>
    <w:p>
      <w:pPr>
        <w:pStyle w:val="35"/>
        <w:numPr>
          <w:ilvl w:val="0"/>
          <w:numId w:val="140"/>
        </w:numPr>
        <w:rPr>
          <w:rFonts w:ascii="宋体" w:hAnsi="宋体"/>
          <w:spacing w:val="0"/>
          <w:highlight w:val="none"/>
        </w:rPr>
      </w:pPr>
      <w:r>
        <w:rPr>
          <w:rFonts w:hint="eastAsia" w:ascii="宋体" w:hAnsi="宋体"/>
          <w:spacing w:val="0"/>
          <w:highlight w:val="none"/>
        </w:rPr>
        <w:t>高度1U，底部要求镂空，方便线缆能够从镂空部分往机柜内部方向穿线，如下图。</w:t>
      </w:r>
    </w:p>
    <w:p>
      <w:pPr>
        <w:pStyle w:val="35"/>
        <w:ind w:firstLine="0"/>
        <w:rPr>
          <w:highlight w:val="none"/>
        </w:rPr>
      </w:pPr>
      <w:r>
        <w:rPr>
          <w:highlight w:val="none"/>
        </w:rPr>
        <w:drawing>
          <wp:inline distT="0" distB="0" distL="114300" distR="114300">
            <wp:extent cx="6099175" cy="2648585"/>
            <wp:effectExtent l="0" t="0" r="15875" b="1841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5"/>
                    <a:stretch>
                      <a:fillRect/>
                    </a:stretch>
                  </pic:blipFill>
                  <pic:spPr>
                    <a:xfrm>
                      <a:off x="0" y="0"/>
                      <a:ext cx="6099175" cy="2648585"/>
                    </a:xfrm>
                    <a:prstGeom prst="rect">
                      <a:avLst/>
                    </a:prstGeom>
                    <a:noFill/>
                    <a:ln>
                      <a:noFill/>
                    </a:ln>
                  </pic:spPr>
                </pic:pic>
              </a:graphicData>
            </a:graphic>
          </wp:inline>
        </w:drawing>
      </w:r>
    </w:p>
    <w:p>
      <w:pPr>
        <w:pStyle w:val="35"/>
        <w:numPr>
          <w:ilvl w:val="0"/>
          <w:numId w:val="140"/>
        </w:numPr>
        <w:rPr>
          <w:highlight w:val="none"/>
        </w:rPr>
      </w:pPr>
      <w:r>
        <w:rPr>
          <w:rFonts w:hint="eastAsia" w:ascii="宋体" w:hAnsi="宋体"/>
          <w:spacing w:val="0"/>
          <w:highlight w:val="none"/>
        </w:rPr>
        <w:t>详细参数请看下文“技术参数要求”。</w:t>
      </w:r>
    </w:p>
    <w:p>
      <w:pPr>
        <w:pStyle w:val="35"/>
        <w:numPr>
          <w:ilvl w:val="0"/>
          <w:numId w:val="135"/>
        </w:numPr>
        <w:rPr>
          <w:rFonts w:ascii="宋体" w:hAnsi="宋体"/>
          <w:spacing w:val="0"/>
          <w:highlight w:val="none"/>
        </w:rPr>
      </w:pPr>
      <w:r>
        <w:rPr>
          <w:rFonts w:hint="eastAsia" w:ascii="宋体" w:hAnsi="宋体"/>
          <w:spacing w:val="0"/>
          <w:highlight w:val="none"/>
        </w:rPr>
        <w:t>光纤盘：</w:t>
      </w:r>
    </w:p>
    <w:p>
      <w:pPr>
        <w:pStyle w:val="35"/>
        <w:numPr>
          <w:ilvl w:val="0"/>
          <w:numId w:val="141"/>
        </w:numPr>
        <w:rPr>
          <w:rFonts w:ascii="宋体" w:hAnsi="宋体"/>
          <w:spacing w:val="0"/>
          <w:highlight w:val="none"/>
        </w:rPr>
      </w:pPr>
      <w:r>
        <w:rPr>
          <w:rFonts w:hint="eastAsia" w:ascii="宋体" w:hAnsi="宋体"/>
          <w:spacing w:val="0"/>
          <w:highlight w:val="none"/>
        </w:rPr>
        <w:t>核心与汇聚机房以及空间紧张的机柜均使用7</w:t>
      </w:r>
      <w:r>
        <w:rPr>
          <w:rFonts w:ascii="宋体" w:hAnsi="宋体"/>
          <w:spacing w:val="0"/>
          <w:highlight w:val="none"/>
        </w:rPr>
        <w:t>2</w:t>
      </w:r>
      <w:r>
        <w:rPr>
          <w:rFonts w:hint="eastAsia" w:ascii="宋体" w:hAnsi="宋体"/>
          <w:spacing w:val="0"/>
          <w:highlight w:val="none"/>
        </w:rPr>
        <w:t>芯或更高密度的光纤盘；</w:t>
      </w:r>
    </w:p>
    <w:p>
      <w:pPr>
        <w:pStyle w:val="35"/>
        <w:numPr>
          <w:ilvl w:val="0"/>
          <w:numId w:val="141"/>
        </w:numPr>
        <w:rPr>
          <w:rFonts w:ascii="宋体" w:hAnsi="宋体"/>
          <w:spacing w:val="0"/>
          <w:highlight w:val="none"/>
        </w:rPr>
      </w:pPr>
      <w:r>
        <w:rPr>
          <w:rFonts w:hint="eastAsia" w:ascii="宋体" w:hAnsi="宋体"/>
          <w:spacing w:val="0"/>
          <w:highlight w:val="none"/>
        </w:rPr>
        <w:t>其余情况使用2</w:t>
      </w:r>
      <w:r>
        <w:rPr>
          <w:rFonts w:ascii="宋体" w:hAnsi="宋体"/>
          <w:spacing w:val="0"/>
          <w:highlight w:val="none"/>
        </w:rPr>
        <w:t>4</w:t>
      </w:r>
      <w:r>
        <w:rPr>
          <w:rFonts w:hint="eastAsia" w:ascii="宋体" w:hAnsi="宋体"/>
          <w:spacing w:val="0"/>
          <w:highlight w:val="none"/>
        </w:rPr>
        <w:t>芯光纤盘；</w:t>
      </w:r>
    </w:p>
    <w:p>
      <w:pPr>
        <w:pStyle w:val="35"/>
        <w:numPr>
          <w:ilvl w:val="0"/>
          <w:numId w:val="141"/>
        </w:numPr>
        <w:rPr>
          <w:rFonts w:ascii="宋体" w:hAnsi="宋体"/>
          <w:spacing w:val="0"/>
          <w:highlight w:val="none"/>
        </w:rPr>
      </w:pPr>
      <w:r>
        <w:rPr>
          <w:rFonts w:hint="eastAsia" w:ascii="宋体" w:hAnsi="宋体"/>
          <w:spacing w:val="0"/>
          <w:highlight w:val="none"/>
        </w:rPr>
        <w:t>详细参数请看下文“技术参数要求”。</w:t>
      </w:r>
    </w:p>
    <w:p>
      <w:pPr>
        <w:pStyle w:val="35"/>
        <w:numPr>
          <w:ilvl w:val="0"/>
          <w:numId w:val="135"/>
        </w:numPr>
        <w:rPr>
          <w:rFonts w:ascii="宋体" w:hAnsi="宋体"/>
          <w:spacing w:val="0"/>
          <w:highlight w:val="none"/>
        </w:rPr>
      </w:pPr>
      <w:r>
        <w:rPr>
          <w:rFonts w:hint="eastAsia" w:ascii="宋体" w:hAnsi="宋体"/>
          <w:spacing w:val="0"/>
          <w:highlight w:val="none"/>
        </w:rPr>
        <w:t>安装要求：</w:t>
      </w:r>
    </w:p>
    <w:p>
      <w:pPr>
        <w:pStyle w:val="35"/>
        <w:numPr>
          <w:ilvl w:val="0"/>
          <w:numId w:val="142"/>
        </w:numPr>
        <w:rPr>
          <w:rFonts w:ascii="宋体" w:hAnsi="宋体"/>
          <w:spacing w:val="0"/>
          <w:highlight w:val="none"/>
        </w:rPr>
      </w:pPr>
      <w:r>
        <w:rPr>
          <w:rFonts w:hint="eastAsia" w:ascii="宋体" w:hAnsi="宋体"/>
          <w:spacing w:val="0"/>
          <w:highlight w:val="none"/>
        </w:rPr>
        <w:t>光纤盘安装在机柜最顶部，然后空1</w:t>
      </w:r>
      <w:r>
        <w:rPr>
          <w:rFonts w:ascii="宋体" w:hAnsi="宋体"/>
          <w:spacing w:val="0"/>
          <w:highlight w:val="none"/>
        </w:rPr>
        <w:t>U</w:t>
      </w:r>
      <w:r>
        <w:rPr>
          <w:rFonts w:hint="eastAsia" w:ascii="宋体" w:hAnsi="宋体"/>
          <w:spacing w:val="0"/>
          <w:highlight w:val="none"/>
        </w:rPr>
        <w:t>再安装交换机等网络设备；</w:t>
      </w:r>
    </w:p>
    <w:p>
      <w:pPr>
        <w:pStyle w:val="35"/>
        <w:numPr>
          <w:ilvl w:val="0"/>
          <w:numId w:val="142"/>
        </w:numPr>
        <w:rPr>
          <w:rFonts w:ascii="宋体" w:hAnsi="宋体"/>
          <w:spacing w:val="0"/>
          <w:highlight w:val="none"/>
        </w:rPr>
      </w:pPr>
      <w:r>
        <w:rPr>
          <w:rFonts w:hint="eastAsia" w:ascii="宋体" w:hAnsi="宋体"/>
          <w:spacing w:val="0"/>
          <w:highlight w:val="none"/>
        </w:rPr>
        <w:t>交换机等网络设备依次往下递增安装，交换机下方需要加装理线器；</w:t>
      </w:r>
    </w:p>
    <w:p>
      <w:pPr>
        <w:pStyle w:val="35"/>
        <w:numPr>
          <w:ilvl w:val="0"/>
          <w:numId w:val="142"/>
        </w:numPr>
        <w:rPr>
          <w:rFonts w:ascii="宋体" w:hAnsi="宋体"/>
          <w:spacing w:val="0"/>
          <w:highlight w:val="none"/>
        </w:rPr>
      </w:pPr>
      <w:r>
        <w:rPr>
          <w:rFonts w:hint="eastAsia" w:ascii="宋体" w:hAnsi="宋体"/>
          <w:spacing w:val="0"/>
          <w:highlight w:val="none"/>
        </w:rPr>
        <w:t>配线架从机柜最底部往上递增安装；</w:t>
      </w:r>
    </w:p>
    <w:p>
      <w:pPr>
        <w:pStyle w:val="35"/>
        <w:numPr>
          <w:ilvl w:val="0"/>
          <w:numId w:val="142"/>
        </w:numPr>
        <w:rPr>
          <w:rFonts w:ascii="宋体" w:hAnsi="宋体"/>
          <w:spacing w:val="0"/>
          <w:highlight w:val="none"/>
        </w:rPr>
      </w:pPr>
      <w:r>
        <w:rPr>
          <w:rFonts w:hint="eastAsia" w:ascii="宋体" w:hAnsi="宋体"/>
          <w:spacing w:val="0"/>
          <w:highlight w:val="none"/>
        </w:rPr>
        <w:t>交换机、配线架、理线器之间紧贴安装，不留空格；</w:t>
      </w:r>
    </w:p>
    <w:p>
      <w:pPr>
        <w:pStyle w:val="35"/>
        <w:numPr>
          <w:ilvl w:val="0"/>
          <w:numId w:val="142"/>
        </w:numPr>
        <w:rPr>
          <w:rFonts w:ascii="宋体" w:hAnsi="宋体"/>
          <w:spacing w:val="0"/>
          <w:highlight w:val="none"/>
        </w:rPr>
      </w:pPr>
      <w:r>
        <w:rPr>
          <w:rFonts w:hint="eastAsia" w:ascii="宋体" w:hAnsi="宋体"/>
          <w:spacing w:val="0"/>
          <w:highlight w:val="none"/>
        </w:rPr>
        <w:t>跳线两端均须要从理线器镂空部分向机柜内部方向穿线；</w:t>
      </w:r>
    </w:p>
    <w:p>
      <w:pPr>
        <w:pStyle w:val="35"/>
        <w:numPr>
          <w:ilvl w:val="0"/>
          <w:numId w:val="142"/>
        </w:numPr>
        <w:rPr>
          <w:rFonts w:ascii="宋体" w:hAnsi="宋体"/>
          <w:spacing w:val="0"/>
          <w:highlight w:val="none"/>
        </w:rPr>
      </w:pPr>
      <w:r>
        <w:rPr>
          <w:rFonts w:hint="eastAsia" w:ascii="宋体" w:hAnsi="宋体"/>
          <w:spacing w:val="0"/>
          <w:highlight w:val="none"/>
        </w:rPr>
        <w:t>跳线须绑在机柜后方支柱上，水平方向要用魔术贴分组捆绑，不要使用一次性的塑料扎带；垂直方向可以使用一次性的塑料扎带捆绑；</w:t>
      </w:r>
    </w:p>
    <w:p>
      <w:pPr>
        <w:pStyle w:val="45"/>
        <w:ind w:left="397"/>
        <w:jc w:val="center"/>
        <w:rPr>
          <w:highlight w:val="none"/>
        </w:rPr>
      </w:pPr>
    </w:p>
    <w:p>
      <w:pPr>
        <w:pStyle w:val="45"/>
        <w:jc w:val="both"/>
        <w:rPr>
          <w:highlight w:val="none"/>
        </w:rPr>
      </w:pPr>
      <w:r>
        <w:rPr>
          <w:highlight w:val="none"/>
        </w:rPr>
        <w:drawing>
          <wp:inline distT="0" distB="0" distL="114300" distR="114300">
            <wp:extent cx="5854065" cy="2386330"/>
            <wp:effectExtent l="0" t="0" r="13335" b="13970"/>
            <wp:docPr id="1" name="图片 1" descr="15610802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1561080268(1)"/>
                    <pic:cNvPicPr>
                      <a:picLocks noChangeAspect="1"/>
                    </pic:cNvPicPr>
                  </pic:nvPicPr>
                  <pic:blipFill>
                    <a:blip r:embed="rId16"/>
                    <a:stretch>
                      <a:fillRect/>
                    </a:stretch>
                  </pic:blipFill>
                  <pic:spPr>
                    <a:xfrm>
                      <a:off x="0" y="0"/>
                      <a:ext cx="5854065" cy="2386330"/>
                    </a:xfrm>
                    <a:prstGeom prst="rect">
                      <a:avLst/>
                    </a:prstGeom>
                    <a:noFill/>
                    <a:ln>
                      <a:noFill/>
                    </a:ln>
                  </pic:spPr>
                </pic:pic>
              </a:graphicData>
            </a:graphic>
          </wp:inline>
        </w:drawing>
      </w:r>
    </w:p>
    <w:p>
      <w:pPr>
        <w:pStyle w:val="45"/>
        <w:ind w:left="397"/>
        <w:jc w:val="center"/>
        <w:rPr>
          <w:highlight w:val="none"/>
        </w:rPr>
      </w:pPr>
      <w:r>
        <w:rPr>
          <w:rFonts w:hint="eastAsia"/>
          <w:highlight w:val="none"/>
        </w:rPr>
        <w:t>网络设备与理线器上架示例图</w:t>
      </w:r>
    </w:p>
    <w:p>
      <w:pPr>
        <w:pStyle w:val="45"/>
        <w:jc w:val="both"/>
        <w:rPr>
          <w:highlight w:val="none"/>
        </w:rPr>
      </w:pPr>
      <w:r>
        <w:rPr>
          <w:highlight w:val="none"/>
        </w:rPr>
        <w:drawing>
          <wp:inline distT="0" distB="0" distL="114300" distR="114300">
            <wp:extent cx="6107430" cy="1184910"/>
            <wp:effectExtent l="0" t="0" r="7620" b="15240"/>
            <wp:docPr id="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5"/>
                    <pic:cNvPicPr>
                      <a:picLocks noChangeAspect="1"/>
                    </pic:cNvPicPr>
                  </pic:nvPicPr>
                  <pic:blipFill>
                    <a:blip r:embed="rId17"/>
                    <a:stretch>
                      <a:fillRect/>
                    </a:stretch>
                  </pic:blipFill>
                  <pic:spPr>
                    <a:xfrm>
                      <a:off x="0" y="0"/>
                      <a:ext cx="6107430" cy="1184910"/>
                    </a:xfrm>
                    <a:prstGeom prst="rect">
                      <a:avLst/>
                    </a:prstGeom>
                    <a:noFill/>
                    <a:ln>
                      <a:noFill/>
                    </a:ln>
                  </pic:spPr>
                </pic:pic>
              </a:graphicData>
            </a:graphic>
          </wp:inline>
        </w:drawing>
      </w:r>
    </w:p>
    <w:p>
      <w:pPr>
        <w:pStyle w:val="45"/>
        <w:ind w:left="397"/>
        <w:jc w:val="center"/>
        <w:rPr>
          <w:highlight w:val="none"/>
        </w:rPr>
      </w:pPr>
      <w:r>
        <w:rPr>
          <w:rFonts w:hint="eastAsia"/>
          <w:highlight w:val="none"/>
        </w:rPr>
        <w:t>配线架与理线器上架示例图</w:t>
      </w:r>
    </w:p>
    <w:p>
      <w:pPr>
        <w:pStyle w:val="45"/>
        <w:ind w:left="397"/>
        <w:jc w:val="center"/>
        <w:rPr>
          <w:highlight w:val="none"/>
        </w:rPr>
      </w:pPr>
      <w:r>
        <w:rPr>
          <w:highlight w:val="none"/>
        </w:rPr>
        <w:drawing>
          <wp:inline distT="0" distB="0" distL="114300" distR="114300">
            <wp:extent cx="5339080" cy="4677410"/>
            <wp:effectExtent l="0" t="0" r="13970" b="8890"/>
            <wp:docPr id="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6"/>
                    <pic:cNvPicPr>
                      <a:picLocks noChangeAspect="1"/>
                    </pic:cNvPicPr>
                  </pic:nvPicPr>
                  <pic:blipFill>
                    <a:blip r:embed="rId18"/>
                    <a:srcRect b="34444"/>
                    <a:stretch>
                      <a:fillRect/>
                    </a:stretch>
                  </pic:blipFill>
                  <pic:spPr>
                    <a:xfrm>
                      <a:off x="0" y="0"/>
                      <a:ext cx="5339080" cy="4677410"/>
                    </a:xfrm>
                    <a:prstGeom prst="rect">
                      <a:avLst/>
                    </a:prstGeom>
                    <a:noFill/>
                    <a:ln>
                      <a:noFill/>
                    </a:ln>
                  </pic:spPr>
                </pic:pic>
              </a:graphicData>
            </a:graphic>
          </wp:inline>
        </w:drawing>
      </w:r>
    </w:p>
    <w:p>
      <w:pPr>
        <w:pStyle w:val="45"/>
        <w:ind w:left="397"/>
        <w:jc w:val="center"/>
        <w:rPr>
          <w:highlight w:val="none"/>
        </w:rPr>
      </w:pPr>
      <w:r>
        <w:rPr>
          <w:rFonts w:hint="eastAsia"/>
          <w:highlight w:val="none"/>
        </w:rPr>
        <w:t xml:space="preserve">跳线整理示例图 </w:t>
      </w:r>
    </w:p>
    <w:p>
      <w:pPr>
        <w:pStyle w:val="45"/>
        <w:ind w:left="397"/>
        <w:jc w:val="center"/>
        <w:rPr>
          <w:highlight w:val="none"/>
        </w:rPr>
      </w:pPr>
      <w:r>
        <w:rPr>
          <w:highlight w:val="none"/>
        </w:rPr>
        <w:drawing>
          <wp:inline distT="0" distB="0" distL="114300" distR="114300">
            <wp:extent cx="2002790" cy="1283970"/>
            <wp:effectExtent l="0" t="0" r="16510" b="11430"/>
            <wp:docPr id="10" name="图片 7" descr="914d78e0de9543d0bf1506d3fab7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7" descr="914d78e0de9543d0bf1506d3fab7341"/>
                    <pic:cNvPicPr>
                      <a:picLocks noChangeAspect="1"/>
                    </pic:cNvPicPr>
                  </pic:nvPicPr>
                  <pic:blipFill>
                    <a:blip r:embed="rId19"/>
                    <a:stretch>
                      <a:fillRect/>
                    </a:stretch>
                  </pic:blipFill>
                  <pic:spPr>
                    <a:xfrm>
                      <a:off x="0" y="0"/>
                      <a:ext cx="2002790" cy="1283970"/>
                    </a:xfrm>
                    <a:prstGeom prst="rect">
                      <a:avLst/>
                    </a:prstGeom>
                    <a:noFill/>
                    <a:ln>
                      <a:noFill/>
                    </a:ln>
                  </pic:spPr>
                </pic:pic>
              </a:graphicData>
            </a:graphic>
          </wp:inline>
        </w:drawing>
      </w:r>
      <w:r>
        <w:rPr>
          <w:rFonts w:hint="eastAsia"/>
          <w:highlight w:val="none"/>
        </w:rPr>
        <w:drawing>
          <wp:inline distT="0" distB="0" distL="114300" distR="114300">
            <wp:extent cx="1583690" cy="1096645"/>
            <wp:effectExtent l="0" t="0" r="16510" b="8255"/>
            <wp:docPr id="12" name="图片 8" descr="item-52CB1D5C-30C0BCA8000000000401000035EC6F7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8" descr="item-52CB1D5C-30C0BCA8000000000401000035EC6F7C"/>
                    <pic:cNvPicPr>
                      <a:picLocks noChangeAspect="1"/>
                    </pic:cNvPicPr>
                  </pic:nvPicPr>
                  <pic:blipFill>
                    <a:blip r:embed="rId20"/>
                    <a:stretch>
                      <a:fillRect/>
                    </a:stretch>
                  </pic:blipFill>
                  <pic:spPr>
                    <a:xfrm>
                      <a:off x="0" y="0"/>
                      <a:ext cx="1583690" cy="1096645"/>
                    </a:xfrm>
                    <a:prstGeom prst="rect">
                      <a:avLst/>
                    </a:prstGeom>
                    <a:noFill/>
                    <a:ln>
                      <a:noFill/>
                    </a:ln>
                  </pic:spPr>
                </pic:pic>
              </a:graphicData>
            </a:graphic>
          </wp:inline>
        </w:drawing>
      </w:r>
    </w:p>
    <w:p>
      <w:pPr>
        <w:pStyle w:val="45"/>
        <w:ind w:left="397"/>
        <w:jc w:val="center"/>
        <w:rPr>
          <w:highlight w:val="none"/>
        </w:rPr>
      </w:pPr>
      <w:r>
        <w:rPr>
          <w:rFonts w:hint="eastAsia"/>
          <w:highlight w:val="none"/>
        </w:rPr>
        <w:t>魔术贴扎带捆绑示例图</w:t>
      </w:r>
    </w:p>
    <w:p>
      <w:pPr>
        <w:pStyle w:val="35"/>
        <w:ind w:left="817" w:firstLine="0"/>
        <w:jc w:val="center"/>
        <w:rPr>
          <w:rFonts w:ascii="宋体" w:hAnsi="宋体"/>
          <w:spacing w:val="0"/>
          <w:highlight w:val="none"/>
        </w:rPr>
      </w:pPr>
    </w:p>
    <w:p>
      <w:pPr>
        <w:pStyle w:val="35"/>
        <w:numPr>
          <w:ilvl w:val="0"/>
          <w:numId w:val="135"/>
        </w:numPr>
        <w:rPr>
          <w:rFonts w:ascii="宋体" w:hAnsi="宋体"/>
          <w:spacing w:val="0"/>
          <w:highlight w:val="none"/>
        </w:rPr>
      </w:pPr>
      <w:r>
        <w:rPr>
          <w:rFonts w:hint="eastAsia" w:ascii="宋体" w:hAnsi="宋体"/>
          <w:spacing w:val="0"/>
          <w:highlight w:val="none"/>
        </w:rPr>
        <w:t>标签要求:</w:t>
      </w:r>
    </w:p>
    <w:p>
      <w:pPr>
        <w:pStyle w:val="35"/>
        <w:numPr>
          <w:ilvl w:val="0"/>
          <w:numId w:val="143"/>
        </w:numPr>
        <w:rPr>
          <w:rFonts w:ascii="宋体" w:hAnsi="宋体"/>
          <w:spacing w:val="0"/>
          <w:highlight w:val="none"/>
        </w:rPr>
      </w:pPr>
      <w:r>
        <w:rPr>
          <w:rFonts w:hint="eastAsia" w:ascii="宋体" w:hAnsi="宋体"/>
          <w:spacing w:val="0"/>
          <w:highlight w:val="none"/>
        </w:rPr>
        <w:t>标签需要用专用的标签机与标签色带打印，不能手写，不能用普通A4纸打印。</w:t>
      </w:r>
    </w:p>
    <w:p>
      <w:pPr>
        <w:pStyle w:val="35"/>
        <w:numPr>
          <w:ilvl w:val="0"/>
          <w:numId w:val="143"/>
        </w:numPr>
        <w:rPr>
          <w:rFonts w:ascii="宋体" w:hAnsi="宋体"/>
          <w:spacing w:val="0"/>
          <w:highlight w:val="none"/>
        </w:rPr>
      </w:pPr>
      <w:r>
        <w:rPr>
          <w:rFonts w:hint="eastAsia" w:ascii="宋体" w:hAnsi="宋体"/>
          <w:spacing w:val="0"/>
          <w:highlight w:val="none"/>
        </w:rPr>
        <w:t>标签粘贴要整齐不歪斜，要粘贴牢固。</w:t>
      </w:r>
    </w:p>
    <w:p>
      <w:pPr>
        <w:pStyle w:val="35"/>
        <w:numPr>
          <w:ilvl w:val="0"/>
          <w:numId w:val="143"/>
        </w:numPr>
        <w:rPr>
          <w:rFonts w:ascii="宋体" w:hAnsi="宋体"/>
          <w:spacing w:val="0"/>
          <w:highlight w:val="none"/>
        </w:rPr>
      </w:pPr>
      <w:r>
        <w:rPr>
          <w:rFonts w:hint="eastAsia" w:ascii="宋体" w:hAnsi="宋体"/>
          <w:spacing w:val="0"/>
          <w:highlight w:val="none"/>
        </w:rPr>
        <w:t>不同类型链路要使用不同颜色的标签色带进行粘贴以示区分。普通电脑等接入终端链路使用黄底黑字标签色带，上行主干与下行主干使用红底黑字色带。</w:t>
      </w:r>
    </w:p>
    <w:p>
      <w:pPr>
        <w:pStyle w:val="35"/>
        <w:numPr>
          <w:ilvl w:val="0"/>
          <w:numId w:val="143"/>
        </w:numPr>
        <w:rPr>
          <w:rFonts w:ascii="宋体" w:hAnsi="宋体"/>
          <w:spacing w:val="0"/>
          <w:highlight w:val="none"/>
        </w:rPr>
      </w:pPr>
      <w:r>
        <w:rPr>
          <w:rFonts w:hint="eastAsia" w:ascii="宋体" w:hAnsi="宋体"/>
          <w:spacing w:val="0"/>
          <w:highlight w:val="none"/>
        </w:rPr>
        <w:t>机柜端配线架需要粘贴标签，每6个模块的上方打印一个整体标签；</w:t>
      </w:r>
    </w:p>
    <w:p>
      <w:pPr>
        <w:pStyle w:val="35"/>
        <w:numPr>
          <w:ilvl w:val="0"/>
          <w:numId w:val="143"/>
        </w:numPr>
        <w:rPr>
          <w:rFonts w:ascii="宋体" w:hAnsi="宋体"/>
          <w:spacing w:val="0"/>
          <w:highlight w:val="none"/>
        </w:rPr>
      </w:pPr>
      <w:r>
        <w:rPr>
          <w:rFonts w:hint="eastAsia" w:ascii="宋体" w:hAnsi="宋体"/>
          <w:spacing w:val="0"/>
          <w:highlight w:val="none"/>
        </w:rPr>
        <w:t>机柜端跳线的两端都需要粘贴标签；当水晶头金属条朝上时，标签色带往右边伸展；标签正反两面都需要打印标签号；标签粘贴在距离水晶头顶部5厘米处；标签向外预留长度不少于2厘米；</w:t>
      </w:r>
    </w:p>
    <w:p>
      <w:pPr>
        <w:pStyle w:val="35"/>
        <w:numPr>
          <w:ilvl w:val="0"/>
          <w:numId w:val="143"/>
        </w:numPr>
        <w:rPr>
          <w:rFonts w:ascii="宋体" w:hAnsi="宋体"/>
          <w:spacing w:val="0"/>
          <w:highlight w:val="none"/>
        </w:rPr>
      </w:pPr>
      <w:r>
        <w:rPr>
          <w:rFonts w:hint="eastAsia" w:ascii="宋体" w:hAnsi="宋体"/>
          <w:spacing w:val="0"/>
          <w:highlight w:val="none"/>
        </w:rPr>
        <w:t>电脑端面板需要粘贴标签，标签需粘贴在面板上可拆卸的塑料透明挡板内；</w:t>
      </w:r>
    </w:p>
    <w:p>
      <w:pPr>
        <w:pStyle w:val="35"/>
        <w:numPr>
          <w:ilvl w:val="0"/>
          <w:numId w:val="143"/>
        </w:numPr>
        <w:rPr>
          <w:rFonts w:ascii="宋体" w:hAnsi="宋体"/>
          <w:spacing w:val="0"/>
          <w:highlight w:val="none"/>
        </w:rPr>
      </w:pPr>
      <w:r>
        <w:rPr>
          <w:rFonts w:hint="eastAsia" w:ascii="宋体" w:hAnsi="宋体"/>
          <w:spacing w:val="0"/>
          <w:highlight w:val="none"/>
        </w:rPr>
        <w:t>同一个信息点的以上三种标签号需要一样。</w:t>
      </w:r>
    </w:p>
    <w:p>
      <w:pPr>
        <w:pStyle w:val="35"/>
        <w:numPr>
          <w:ilvl w:val="0"/>
          <w:numId w:val="143"/>
        </w:numPr>
        <w:rPr>
          <w:rFonts w:ascii="宋体" w:hAnsi="宋体"/>
          <w:spacing w:val="0"/>
          <w:highlight w:val="none"/>
        </w:rPr>
      </w:pPr>
      <w:r>
        <w:rPr>
          <w:rFonts w:hint="eastAsia" w:ascii="宋体" w:hAnsi="宋体"/>
          <w:spacing w:val="0"/>
          <w:highlight w:val="none"/>
        </w:rPr>
        <w:t>主干标签格式，分成三行，内容如下：</w:t>
      </w:r>
    </w:p>
    <w:p>
      <w:pPr>
        <w:pStyle w:val="35"/>
        <w:ind w:left="1237" w:firstLine="0"/>
        <w:rPr>
          <w:rFonts w:ascii="宋体" w:hAnsi="宋体"/>
          <w:spacing w:val="0"/>
          <w:highlight w:val="none"/>
        </w:rPr>
      </w:pPr>
      <w:r>
        <w:rPr>
          <w:rFonts w:ascii="宋体" w:hAnsi="宋体"/>
          <w:spacing w:val="0"/>
          <w:highlight w:val="none"/>
        </w:rPr>
        <w:t>FR</w:t>
      </w:r>
      <w:r>
        <w:rPr>
          <w:rFonts w:hint="eastAsia" w:ascii="宋体" w:hAnsi="宋体"/>
          <w:spacing w:val="0"/>
          <w:highlight w:val="none"/>
        </w:rPr>
        <w:t xml:space="preserve">:几号楼哪个机房 哪个机柜 哪个设备 哪个端口 </w:t>
      </w:r>
    </w:p>
    <w:p>
      <w:pPr>
        <w:pStyle w:val="35"/>
        <w:ind w:left="1237" w:firstLine="0"/>
        <w:rPr>
          <w:rFonts w:ascii="宋体" w:hAnsi="宋体"/>
          <w:spacing w:val="0"/>
          <w:highlight w:val="none"/>
        </w:rPr>
      </w:pPr>
      <w:r>
        <w:rPr>
          <w:rFonts w:ascii="宋体" w:hAnsi="宋体"/>
          <w:spacing w:val="0"/>
          <w:highlight w:val="none"/>
        </w:rPr>
        <w:t>TO</w:t>
      </w:r>
      <w:r>
        <w:rPr>
          <w:rFonts w:hint="eastAsia" w:ascii="宋体" w:hAnsi="宋体"/>
          <w:spacing w:val="0"/>
          <w:highlight w:val="none"/>
        </w:rPr>
        <w:t>:几号楼哪个机房 哪个机柜 哪个配线架 哪个端口</w:t>
      </w:r>
    </w:p>
    <w:p>
      <w:pPr>
        <w:pStyle w:val="35"/>
        <w:ind w:left="1237" w:firstLine="0"/>
        <w:rPr>
          <w:rFonts w:ascii="宋体" w:hAnsi="宋体"/>
          <w:spacing w:val="0"/>
          <w:highlight w:val="none"/>
        </w:rPr>
      </w:pPr>
      <w:r>
        <w:rPr>
          <w:rFonts w:ascii="宋体" w:hAnsi="宋体"/>
          <w:spacing w:val="0"/>
          <w:highlight w:val="none"/>
        </w:rPr>
        <w:t>TO</w:t>
      </w:r>
      <w:r>
        <w:rPr>
          <w:rFonts w:hint="eastAsia" w:ascii="宋体" w:hAnsi="宋体"/>
          <w:spacing w:val="0"/>
          <w:highlight w:val="none"/>
        </w:rPr>
        <w:t>:几号楼哪个机房 哪个机柜 哪个设备 哪个端口</w:t>
      </w:r>
    </w:p>
    <w:p>
      <w:pPr>
        <w:pStyle w:val="35"/>
        <w:rPr>
          <w:highlight w:val="none"/>
        </w:rPr>
      </w:pPr>
      <w:r>
        <w:rPr>
          <w:highlight w:val="none"/>
        </w:rPr>
        <w:drawing>
          <wp:inline distT="0" distB="0" distL="114300" distR="114300">
            <wp:extent cx="5507990" cy="1080135"/>
            <wp:effectExtent l="0" t="0" r="16510" b="5715"/>
            <wp:docPr id="1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9"/>
                    <pic:cNvPicPr>
                      <a:picLocks noChangeAspect="1"/>
                    </pic:cNvPicPr>
                  </pic:nvPicPr>
                  <pic:blipFill>
                    <a:blip r:embed="rId21"/>
                    <a:stretch>
                      <a:fillRect/>
                    </a:stretch>
                  </pic:blipFill>
                  <pic:spPr>
                    <a:xfrm>
                      <a:off x="0" y="0"/>
                      <a:ext cx="5507990" cy="1080135"/>
                    </a:xfrm>
                    <a:prstGeom prst="rect">
                      <a:avLst/>
                    </a:prstGeom>
                    <a:noFill/>
                    <a:ln>
                      <a:noFill/>
                    </a:ln>
                  </pic:spPr>
                </pic:pic>
              </a:graphicData>
            </a:graphic>
          </wp:inline>
        </w:drawing>
      </w:r>
    </w:p>
    <w:p>
      <w:pPr>
        <w:pStyle w:val="35"/>
        <w:ind w:left="1237" w:firstLine="0"/>
        <w:rPr>
          <w:highlight w:val="none"/>
        </w:rPr>
      </w:pPr>
      <w:r>
        <w:rPr>
          <w:rFonts w:hint="eastAsia"/>
          <w:highlight w:val="none"/>
        </w:rPr>
        <w:t>如上图，标签表示本端为2号楼9楼</w:t>
      </w:r>
      <w:r>
        <w:rPr>
          <w:highlight w:val="none"/>
        </w:rPr>
        <w:t>A10</w:t>
      </w:r>
      <w:r>
        <w:rPr>
          <w:rFonts w:hint="eastAsia"/>
          <w:highlight w:val="none"/>
        </w:rPr>
        <w:t>机柜</w:t>
      </w:r>
      <w:r>
        <w:rPr>
          <w:highlight w:val="none"/>
        </w:rPr>
        <w:t>NW02-09F-S7503E-IRF2</w:t>
      </w:r>
      <w:r>
        <w:rPr>
          <w:rFonts w:hint="eastAsia"/>
          <w:highlight w:val="none"/>
        </w:rPr>
        <w:t>设备的X</w:t>
      </w:r>
      <w:r>
        <w:rPr>
          <w:highlight w:val="none"/>
        </w:rPr>
        <w:t>GE2/2/0/7</w:t>
      </w:r>
      <w:r>
        <w:rPr>
          <w:rFonts w:hint="eastAsia"/>
          <w:highlight w:val="none"/>
        </w:rPr>
        <w:t>端口，下一跳为2号楼9楼</w:t>
      </w:r>
      <w:r>
        <w:rPr>
          <w:highlight w:val="none"/>
        </w:rPr>
        <w:t>A7</w:t>
      </w:r>
      <w:r>
        <w:rPr>
          <w:rFonts w:hint="eastAsia"/>
          <w:highlight w:val="none"/>
        </w:rPr>
        <w:t>机柜3</w:t>
      </w:r>
      <w:r>
        <w:rPr>
          <w:highlight w:val="none"/>
        </w:rPr>
        <w:t>7U</w:t>
      </w:r>
      <w:r>
        <w:rPr>
          <w:rFonts w:hint="eastAsia"/>
          <w:highlight w:val="none"/>
        </w:rPr>
        <w:t>光盘的1板0</w:t>
      </w:r>
      <w:r>
        <w:rPr>
          <w:highlight w:val="none"/>
        </w:rPr>
        <w:t>304</w:t>
      </w:r>
      <w:r>
        <w:rPr>
          <w:rFonts w:hint="eastAsia"/>
          <w:highlight w:val="none"/>
        </w:rPr>
        <w:t>芯，对端为2号楼</w:t>
      </w:r>
      <w:r>
        <w:rPr>
          <w:highlight w:val="none"/>
        </w:rPr>
        <w:t>8</w:t>
      </w:r>
      <w:r>
        <w:rPr>
          <w:rFonts w:hint="eastAsia"/>
          <w:highlight w:val="none"/>
        </w:rPr>
        <w:t>楼</w:t>
      </w:r>
      <w:r>
        <w:rPr>
          <w:highlight w:val="none"/>
        </w:rPr>
        <w:t>NW02-08F-S5130S-01</w:t>
      </w:r>
      <w:r>
        <w:rPr>
          <w:rFonts w:hint="eastAsia"/>
          <w:highlight w:val="none"/>
        </w:rPr>
        <w:t>-irf</w:t>
      </w:r>
      <w:r>
        <w:rPr>
          <w:highlight w:val="none"/>
        </w:rPr>
        <w:t>2</w:t>
      </w:r>
      <w:r>
        <w:rPr>
          <w:rFonts w:hint="eastAsia"/>
          <w:highlight w:val="none"/>
        </w:rPr>
        <w:t>设备的X</w:t>
      </w:r>
      <w:r>
        <w:rPr>
          <w:highlight w:val="none"/>
        </w:rPr>
        <w:t>GE2/0/49</w:t>
      </w:r>
      <w:r>
        <w:rPr>
          <w:rFonts w:hint="eastAsia"/>
          <w:highlight w:val="none"/>
        </w:rPr>
        <w:t>端口。</w:t>
      </w:r>
    </w:p>
    <w:p>
      <w:pPr>
        <w:pStyle w:val="35"/>
        <w:numPr>
          <w:ilvl w:val="0"/>
          <w:numId w:val="143"/>
        </w:numPr>
        <w:rPr>
          <w:rFonts w:ascii="宋体" w:hAnsi="宋体"/>
          <w:spacing w:val="0"/>
          <w:highlight w:val="none"/>
        </w:rPr>
      </w:pPr>
      <w:r>
        <w:rPr>
          <w:rFonts w:hint="eastAsia" w:ascii="宋体" w:hAnsi="宋体"/>
          <w:spacing w:val="0"/>
          <w:highlight w:val="none"/>
        </w:rPr>
        <w:t>接入标签格式为：“楼层-方向-编号”，例如：3楼东边第一个，“3FE001”，16楼西边第26个，“16FW026”。</w:t>
      </w:r>
    </w:p>
    <w:p>
      <w:pPr>
        <w:pStyle w:val="35"/>
        <w:numPr>
          <w:ilvl w:val="0"/>
          <w:numId w:val="143"/>
        </w:numPr>
        <w:rPr>
          <w:rFonts w:ascii="宋体" w:hAnsi="宋体"/>
          <w:spacing w:val="0"/>
          <w:highlight w:val="none"/>
        </w:rPr>
      </w:pPr>
      <w:r>
        <w:rPr>
          <w:rFonts w:hint="eastAsia" w:ascii="宋体" w:hAnsi="宋体"/>
          <w:spacing w:val="0"/>
          <w:highlight w:val="none"/>
        </w:rPr>
        <w:t>打印标签前，要检查配线架上原有的其他标签上的标签号信息，避免新旧标签上的标签号信息重复。</w:t>
      </w:r>
    </w:p>
    <w:p>
      <w:pPr>
        <w:pStyle w:val="35"/>
        <w:numPr>
          <w:ilvl w:val="0"/>
          <w:numId w:val="143"/>
        </w:numPr>
        <w:rPr>
          <w:rFonts w:ascii="宋体" w:hAnsi="宋体"/>
          <w:spacing w:val="0"/>
          <w:highlight w:val="none"/>
        </w:rPr>
      </w:pPr>
      <w:r>
        <w:rPr>
          <w:rFonts w:hint="eastAsia" w:ascii="宋体" w:hAnsi="宋体"/>
          <w:spacing w:val="0"/>
          <w:highlight w:val="none"/>
        </w:rPr>
        <w:t>配线架上的标签要按顺序排列粘贴，错误顺序：4FE003，4FE007，4FE002……，正确顺序：4FE001，4FE002，4FE003……。</w:t>
      </w:r>
    </w:p>
    <w:p>
      <w:pPr>
        <w:pStyle w:val="35"/>
        <w:numPr>
          <w:ilvl w:val="0"/>
          <w:numId w:val="143"/>
        </w:numPr>
        <w:rPr>
          <w:rFonts w:ascii="宋体" w:hAnsi="宋体"/>
          <w:spacing w:val="0"/>
          <w:highlight w:val="none"/>
        </w:rPr>
      </w:pPr>
      <w:r>
        <w:rPr>
          <w:rFonts w:hint="eastAsia" w:ascii="宋体" w:hAnsi="宋体"/>
          <w:spacing w:val="0"/>
          <w:highlight w:val="none"/>
        </w:rPr>
        <w:t>打印标签时，记录好信息点的物理方位，在竣工图纸上要在对应的位置标上对应的标签号。</w:t>
      </w:r>
    </w:p>
    <w:p>
      <w:pPr>
        <w:pStyle w:val="35"/>
        <w:ind w:firstLine="0"/>
        <w:rPr>
          <w:rFonts w:ascii="宋体" w:hAnsi="宋体"/>
          <w:spacing w:val="0"/>
          <w:highlight w:val="none"/>
        </w:rPr>
      </w:pPr>
      <w:r>
        <w:rPr>
          <w:rFonts w:ascii="宋体" w:hAnsi="宋体"/>
          <w:spacing w:val="0"/>
          <w:highlight w:val="none"/>
        </w:rPr>
        <w:drawing>
          <wp:inline distT="0" distB="0" distL="114300" distR="114300">
            <wp:extent cx="2750185" cy="3650615"/>
            <wp:effectExtent l="0" t="0" r="12065" b="6985"/>
            <wp:docPr id="13" name="图片 10" descr="49da24fca4acb80b8b7fb641395ed8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0" descr="49da24fca4acb80b8b7fb641395ed8e"/>
                    <pic:cNvPicPr>
                      <a:picLocks noChangeAspect="1"/>
                    </pic:cNvPicPr>
                  </pic:nvPicPr>
                  <pic:blipFill>
                    <a:blip r:embed="rId22"/>
                    <a:srcRect l="5280" t="1671" r="2174" b="4057"/>
                    <a:stretch>
                      <a:fillRect/>
                    </a:stretch>
                  </pic:blipFill>
                  <pic:spPr>
                    <a:xfrm>
                      <a:off x="0" y="0"/>
                      <a:ext cx="2750185" cy="3650615"/>
                    </a:xfrm>
                    <a:prstGeom prst="rect">
                      <a:avLst/>
                    </a:prstGeom>
                    <a:noFill/>
                    <a:ln>
                      <a:noFill/>
                    </a:ln>
                  </pic:spPr>
                </pic:pic>
              </a:graphicData>
            </a:graphic>
          </wp:inline>
        </w:drawing>
      </w:r>
      <w:r>
        <w:rPr>
          <w:rFonts w:ascii="宋体" w:hAnsi="宋体"/>
          <w:spacing w:val="0"/>
          <w:highlight w:val="none"/>
        </w:rPr>
        <w:drawing>
          <wp:inline distT="0" distB="0" distL="114300" distR="114300">
            <wp:extent cx="2910840" cy="3655695"/>
            <wp:effectExtent l="0" t="0" r="3810" b="1905"/>
            <wp:docPr id="5" name="图片 11" descr="eb00bd91eaa0f9cd06aded218abfc5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1" descr="eb00bd91eaa0f9cd06aded218abfc5b"/>
                    <pic:cNvPicPr>
                      <a:picLocks noChangeAspect="1"/>
                    </pic:cNvPicPr>
                  </pic:nvPicPr>
                  <pic:blipFill>
                    <a:blip r:embed="rId23"/>
                    <a:srcRect r="3395" b="3194"/>
                    <a:stretch>
                      <a:fillRect/>
                    </a:stretch>
                  </pic:blipFill>
                  <pic:spPr>
                    <a:xfrm>
                      <a:off x="0" y="0"/>
                      <a:ext cx="2910840" cy="3655695"/>
                    </a:xfrm>
                    <a:prstGeom prst="rect">
                      <a:avLst/>
                    </a:prstGeom>
                    <a:noFill/>
                    <a:ln>
                      <a:noFill/>
                    </a:ln>
                  </pic:spPr>
                </pic:pic>
              </a:graphicData>
            </a:graphic>
          </wp:inline>
        </w:drawing>
      </w:r>
    </w:p>
    <w:p>
      <w:pPr>
        <w:pStyle w:val="35"/>
        <w:ind w:firstLine="0"/>
        <w:jc w:val="center"/>
        <w:rPr>
          <w:rFonts w:ascii="宋体" w:hAnsi="宋体"/>
          <w:spacing w:val="0"/>
          <w:highlight w:val="none"/>
        </w:rPr>
      </w:pPr>
      <w:r>
        <w:rPr>
          <w:rFonts w:hint="eastAsia" w:ascii="宋体" w:hAnsi="宋体"/>
          <w:spacing w:val="0"/>
          <w:highlight w:val="none"/>
        </w:rPr>
        <w:t>原装六类跳线标签粘贴的示例</w:t>
      </w:r>
    </w:p>
    <w:p>
      <w:pPr>
        <w:pStyle w:val="35"/>
        <w:ind w:firstLine="0"/>
        <w:rPr>
          <w:rFonts w:ascii="宋体" w:hAnsi="宋体"/>
          <w:spacing w:val="0"/>
          <w:highlight w:val="none"/>
        </w:rPr>
      </w:pPr>
    </w:p>
    <w:p>
      <w:pPr>
        <w:pStyle w:val="35"/>
        <w:ind w:left="397" w:firstLine="0"/>
        <w:jc w:val="center"/>
        <w:rPr>
          <w:highlight w:val="none"/>
        </w:rPr>
      </w:pPr>
      <w:r>
        <w:rPr>
          <w:highlight w:val="none"/>
        </w:rPr>
        <w:drawing>
          <wp:inline distT="0" distB="0" distL="114300" distR="114300">
            <wp:extent cx="4314825" cy="1387475"/>
            <wp:effectExtent l="0" t="0" r="9525" b="3175"/>
            <wp:docPr id="21" name="图片 12" descr="15610796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2" descr="1561079672(1)"/>
                    <pic:cNvPicPr>
                      <a:picLocks noChangeAspect="1"/>
                    </pic:cNvPicPr>
                  </pic:nvPicPr>
                  <pic:blipFill>
                    <a:blip r:embed="rId24"/>
                    <a:stretch>
                      <a:fillRect/>
                    </a:stretch>
                  </pic:blipFill>
                  <pic:spPr>
                    <a:xfrm>
                      <a:off x="0" y="0"/>
                      <a:ext cx="4314825" cy="1387475"/>
                    </a:xfrm>
                    <a:prstGeom prst="rect">
                      <a:avLst/>
                    </a:prstGeom>
                    <a:noFill/>
                    <a:ln>
                      <a:noFill/>
                    </a:ln>
                  </pic:spPr>
                </pic:pic>
              </a:graphicData>
            </a:graphic>
          </wp:inline>
        </w:drawing>
      </w:r>
    </w:p>
    <w:p>
      <w:pPr>
        <w:pStyle w:val="35"/>
        <w:ind w:left="397" w:firstLine="0"/>
        <w:jc w:val="center"/>
        <w:rPr>
          <w:sz w:val="21"/>
          <w:szCs w:val="21"/>
          <w:highlight w:val="none"/>
        </w:rPr>
      </w:pPr>
      <w:r>
        <w:rPr>
          <w:rFonts w:hint="eastAsia"/>
          <w:sz w:val="21"/>
          <w:szCs w:val="21"/>
          <w:highlight w:val="none"/>
        </w:rPr>
        <w:t>错误示例：每个模块标签单独打印与粘贴，对不齐且容易掉落</w:t>
      </w:r>
    </w:p>
    <w:p>
      <w:pPr>
        <w:pStyle w:val="35"/>
        <w:ind w:left="397" w:firstLine="0"/>
        <w:jc w:val="center"/>
        <w:rPr>
          <w:sz w:val="21"/>
          <w:szCs w:val="21"/>
          <w:highlight w:val="none"/>
        </w:rPr>
      </w:pPr>
    </w:p>
    <w:p>
      <w:pPr>
        <w:pStyle w:val="35"/>
        <w:ind w:left="397" w:firstLine="0"/>
        <w:jc w:val="center"/>
        <w:rPr>
          <w:sz w:val="21"/>
          <w:szCs w:val="21"/>
          <w:highlight w:val="none"/>
        </w:rPr>
      </w:pPr>
      <w:r>
        <w:rPr>
          <w:sz w:val="21"/>
          <w:szCs w:val="21"/>
          <w:highlight w:val="none"/>
        </w:rPr>
        <w:drawing>
          <wp:inline distT="0" distB="0" distL="114300" distR="114300">
            <wp:extent cx="4526915" cy="1704340"/>
            <wp:effectExtent l="0" t="0" r="6985" b="10160"/>
            <wp:docPr id="25" name="图片 13" descr="15610795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3" descr="1561079585(1)"/>
                    <pic:cNvPicPr>
                      <a:picLocks noChangeAspect="1"/>
                    </pic:cNvPicPr>
                  </pic:nvPicPr>
                  <pic:blipFill>
                    <a:blip r:embed="rId25"/>
                    <a:stretch>
                      <a:fillRect/>
                    </a:stretch>
                  </pic:blipFill>
                  <pic:spPr>
                    <a:xfrm>
                      <a:off x="0" y="0"/>
                      <a:ext cx="4526915" cy="1704340"/>
                    </a:xfrm>
                    <a:prstGeom prst="rect">
                      <a:avLst/>
                    </a:prstGeom>
                    <a:noFill/>
                    <a:ln>
                      <a:noFill/>
                    </a:ln>
                  </pic:spPr>
                </pic:pic>
              </a:graphicData>
            </a:graphic>
          </wp:inline>
        </w:drawing>
      </w:r>
    </w:p>
    <w:p>
      <w:pPr>
        <w:pStyle w:val="35"/>
        <w:ind w:left="397" w:firstLine="0"/>
        <w:jc w:val="center"/>
        <w:rPr>
          <w:sz w:val="21"/>
          <w:szCs w:val="21"/>
          <w:highlight w:val="none"/>
        </w:rPr>
      </w:pPr>
      <w:r>
        <w:rPr>
          <w:rFonts w:hint="eastAsia"/>
          <w:sz w:val="21"/>
          <w:szCs w:val="21"/>
          <w:highlight w:val="none"/>
        </w:rPr>
        <w:t>正确示例：每6个模块上方打印一个整体标签</w:t>
      </w:r>
    </w:p>
    <w:p>
      <w:pPr>
        <w:pStyle w:val="35"/>
        <w:ind w:left="397" w:firstLine="0"/>
        <w:jc w:val="center"/>
        <w:rPr>
          <w:sz w:val="21"/>
          <w:szCs w:val="21"/>
          <w:highlight w:val="none"/>
        </w:rPr>
      </w:pPr>
    </w:p>
    <w:p>
      <w:pPr>
        <w:pStyle w:val="35"/>
        <w:ind w:left="397" w:firstLine="0"/>
        <w:jc w:val="center"/>
        <w:rPr>
          <w:highlight w:val="none"/>
        </w:rPr>
      </w:pPr>
      <w:r>
        <w:rPr>
          <w:rFonts w:hint="eastAsia"/>
          <w:highlight w:val="none"/>
        </w:rPr>
        <w:drawing>
          <wp:inline distT="0" distB="0" distL="114300" distR="114300">
            <wp:extent cx="2646680" cy="2646680"/>
            <wp:effectExtent l="0" t="0" r="1270" b="1270"/>
            <wp:docPr id="19" name="图片 14" descr="2014-11-20_15-28-00_684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4" descr="2014-11-20_15-28-00_684b"/>
                    <pic:cNvPicPr>
                      <a:picLocks noChangeAspect="1"/>
                    </pic:cNvPicPr>
                  </pic:nvPicPr>
                  <pic:blipFill>
                    <a:blip r:embed="rId26"/>
                    <a:stretch>
                      <a:fillRect/>
                    </a:stretch>
                  </pic:blipFill>
                  <pic:spPr>
                    <a:xfrm>
                      <a:off x="0" y="0"/>
                      <a:ext cx="2646680" cy="2646680"/>
                    </a:xfrm>
                    <a:prstGeom prst="rect">
                      <a:avLst/>
                    </a:prstGeom>
                    <a:noFill/>
                    <a:ln>
                      <a:noFill/>
                    </a:ln>
                  </pic:spPr>
                </pic:pic>
              </a:graphicData>
            </a:graphic>
          </wp:inline>
        </w:drawing>
      </w:r>
      <w:r>
        <w:rPr>
          <w:rFonts w:hint="eastAsia"/>
          <w:highlight w:val="none"/>
        </w:rPr>
        <w:drawing>
          <wp:inline distT="0" distB="0" distL="114300" distR="114300">
            <wp:extent cx="2818130" cy="2613025"/>
            <wp:effectExtent l="0" t="0" r="1270" b="15875"/>
            <wp:docPr id="20" name="图片 15" descr="2014-11-24_15-50-43_892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5" descr="2014-11-24_15-50-43_892b"/>
                    <pic:cNvPicPr>
                      <a:picLocks noChangeAspect="1"/>
                    </pic:cNvPicPr>
                  </pic:nvPicPr>
                  <pic:blipFill>
                    <a:blip r:embed="rId27"/>
                    <a:stretch>
                      <a:fillRect/>
                    </a:stretch>
                  </pic:blipFill>
                  <pic:spPr>
                    <a:xfrm>
                      <a:off x="0" y="0"/>
                      <a:ext cx="2818130" cy="2613025"/>
                    </a:xfrm>
                    <a:prstGeom prst="rect">
                      <a:avLst/>
                    </a:prstGeom>
                    <a:noFill/>
                    <a:ln>
                      <a:noFill/>
                    </a:ln>
                  </pic:spPr>
                </pic:pic>
              </a:graphicData>
            </a:graphic>
          </wp:inline>
        </w:drawing>
      </w:r>
    </w:p>
    <w:p>
      <w:pPr>
        <w:pStyle w:val="35"/>
        <w:ind w:left="397" w:firstLine="0"/>
        <w:jc w:val="center"/>
        <w:rPr>
          <w:rFonts w:ascii="宋体" w:hAnsi="宋体"/>
          <w:sz w:val="21"/>
          <w:szCs w:val="21"/>
          <w:highlight w:val="none"/>
        </w:rPr>
      </w:pPr>
      <w:r>
        <w:rPr>
          <w:rFonts w:hint="eastAsia"/>
          <w:sz w:val="21"/>
          <w:szCs w:val="21"/>
          <w:highlight w:val="none"/>
        </w:rPr>
        <w:t>面板标签安装示例：</w:t>
      </w:r>
      <w:r>
        <w:rPr>
          <w:rFonts w:hint="eastAsia" w:ascii="宋体" w:hAnsi="宋体"/>
          <w:sz w:val="21"/>
          <w:szCs w:val="21"/>
          <w:highlight w:val="none"/>
        </w:rPr>
        <w:t>面板上要有可拆卸的塑料透明挡板覆盖保护标签</w:t>
      </w:r>
    </w:p>
    <w:p>
      <w:pPr>
        <w:pStyle w:val="35"/>
        <w:spacing w:line="240" w:lineRule="auto"/>
        <w:ind w:left="757" w:firstLine="0"/>
        <w:rPr>
          <w:rFonts w:ascii="宋体" w:hAnsi="宋体"/>
          <w:spacing w:val="0"/>
          <w:highlight w:val="none"/>
        </w:rPr>
      </w:pPr>
    </w:p>
    <w:p>
      <w:pPr>
        <w:pStyle w:val="30"/>
        <w:numPr>
          <w:ilvl w:val="0"/>
          <w:numId w:val="135"/>
        </w:numPr>
        <w:spacing w:line="360" w:lineRule="auto"/>
        <w:ind w:right="-9" w:firstLineChars="0"/>
        <w:rPr>
          <w:kern w:val="0"/>
          <w:szCs w:val="24"/>
          <w:highlight w:val="none"/>
        </w:rPr>
      </w:pPr>
      <w:r>
        <w:rPr>
          <w:rFonts w:hint="eastAsia"/>
          <w:kern w:val="0"/>
          <w:szCs w:val="24"/>
          <w:highlight w:val="none"/>
        </w:rPr>
        <w:t>所有配线间内均采用上进线、上出线的封闭式桥架走线方式，且吊装安装，桥架需做防火措施。</w:t>
      </w:r>
    </w:p>
    <w:p>
      <w:pPr>
        <w:pStyle w:val="30"/>
        <w:numPr>
          <w:ilvl w:val="0"/>
          <w:numId w:val="135"/>
        </w:numPr>
        <w:spacing w:line="360" w:lineRule="auto"/>
        <w:ind w:right="-9" w:firstLineChars="0"/>
        <w:rPr>
          <w:kern w:val="0"/>
          <w:szCs w:val="24"/>
          <w:highlight w:val="none"/>
        </w:rPr>
      </w:pPr>
      <w:r>
        <w:rPr>
          <w:rFonts w:hint="eastAsia"/>
          <w:kern w:val="0"/>
          <w:szCs w:val="24"/>
          <w:highlight w:val="none"/>
        </w:rPr>
        <w:t>线缆采用机柜底部进线方式时，机柜底部进线口要用金属线槽覆盖，不能让线缆裸露。</w:t>
      </w:r>
    </w:p>
    <w:p>
      <w:pPr>
        <w:pStyle w:val="30"/>
        <w:numPr>
          <w:ilvl w:val="0"/>
          <w:numId w:val="135"/>
        </w:numPr>
        <w:spacing w:line="360" w:lineRule="auto"/>
        <w:ind w:right="-9" w:firstLineChars="0"/>
        <w:rPr>
          <w:kern w:val="0"/>
          <w:szCs w:val="24"/>
          <w:highlight w:val="none"/>
        </w:rPr>
      </w:pPr>
      <w:r>
        <w:rPr>
          <w:rFonts w:hint="eastAsia"/>
          <w:kern w:val="0"/>
          <w:szCs w:val="24"/>
          <w:highlight w:val="none"/>
        </w:rPr>
        <w:t>水平布线子系统将电缆从配线间的配线架连接到各用户工作区的信息插座上，数据信息点均采用6类4对非屏蔽双绞线；按规范标准要求水平区线缆长度不超过90米（包含配线架、模块等连接）。</w:t>
      </w:r>
    </w:p>
    <w:p>
      <w:pPr>
        <w:pStyle w:val="30"/>
        <w:numPr>
          <w:ilvl w:val="0"/>
          <w:numId w:val="135"/>
        </w:numPr>
        <w:spacing w:line="360" w:lineRule="auto"/>
        <w:ind w:right="-9" w:firstLineChars="0"/>
        <w:rPr>
          <w:kern w:val="0"/>
          <w:szCs w:val="24"/>
          <w:highlight w:val="none"/>
        </w:rPr>
      </w:pPr>
      <w:r>
        <w:rPr>
          <w:rFonts w:hint="eastAsia"/>
          <w:kern w:val="0"/>
          <w:szCs w:val="24"/>
          <w:highlight w:val="none"/>
        </w:rPr>
        <w:t>若布线点数小于或等于5个，且原有网络配线架有位置，则可以使用原有配线架，若原有配线架没位置或布线点数大于5，施工方应提供网络配线架。</w:t>
      </w:r>
    </w:p>
    <w:p>
      <w:pPr>
        <w:pStyle w:val="30"/>
        <w:numPr>
          <w:ilvl w:val="0"/>
          <w:numId w:val="135"/>
        </w:numPr>
        <w:spacing w:line="360" w:lineRule="auto"/>
        <w:ind w:right="-9" w:firstLineChars="0"/>
        <w:rPr>
          <w:kern w:val="0"/>
          <w:szCs w:val="24"/>
          <w:highlight w:val="none"/>
        </w:rPr>
      </w:pPr>
      <w:r>
        <w:rPr>
          <w:rFonts w:hint="eastAsia"/>
          <w:kern w:val="0"/>
          <w:szCs w:val="24"/>
          <w:highlight w:val="none"/>
        </w:rPr>
        <w:t>水平槽采用200mm*100mm、</w:t>
      </w:r>
      <w:r>
        <w:rPr>
          <w:kern w:val="0"/>
          <w:szCs w:val="24"/>
          <w:highlight w:val="none"/>
        </w:rPr>
        <w:t>3</w:t>
      </w:r>
      <w:r>
        <w:rPr>
          <w:rFonts w:hint="eastAsia"/>
          <w:kern w:val="0"/>
          <w:szCs w:val="24"/>
          <w:highlight w:val="none"/>
        </w:rPr>
        <w:t>00mm*100mm等不同规格的镀锌铁槽，具体情况视楼层信息点数而定；线槽天花吊装。从线槽至工作区子系统部分线缆穿线管敷设，线管均采用镀锌钢管，线管直径采用20和25两种规格，具体情况视信息点数而定；进房支管采取埋墙暗敷方式，线缆由墙壁下到各信息点位置。隐蔽工程里线槽与线管均需要每隔15米进行喷漆标识</w:t>
      </w:r>
      <w:r>
        <w:rPr>
          <w:kern w:val="0"/>
          <w:szCs w:val="24"/>
          <w:highlight w:val="none"/>
        </w:rPr>
        <w:t>，</w:t>
      </w:r>
      <w:r>
        <w:rPr>
          <w:rFonts w:hint="eastAsia"/>
          <w:kern w:val="0"/>
          <w:szCs w:val="24"/>
          <w:highlight w:val="none"/>
        </w:rPr>
        <w:t>注明“弱电”用途。</w:t>
      </w:r>
    </w:p>
    <w:p>
      <w:pPr>
        <w:pStyle w:val="30"/>
        <w:spacing w:line="360" w:lineRule="auto"/>
        <w:ind w:firstLineChars="0"/>
        <w:jc w:val="center"/>
        <w:rPr>
          <w:kern w:val="0"/>
          <w:szCs w:val="24"/>
          <w:highlight w:val="none"/>
        </w:rPr>
      </w:pPr>
      <w:r>
        <w:rPr>
          <w:kern w:val="0"/>
          <w:szCs w:val="24"/>
          <w:highlight w:val="none"/>
        </w:rPr>
        <w:drawing>
          <wp:inline distT="0" distB="0" distL="114300" distR="114300">
            <wp:extent cx="4352925" cy="3324860"/>
            <wp:effectExtent l="0" t="0" r="9525" b="8890"/>
            <wp:docPr id="22" name="图片 16" descr="IMG_3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6" descr="IMG_3088"/>
                    <pic:cNvPicPr>
                      <a:picLocks noChangeAspect="1"/>
                    </pic:cNvPicPr>
                  </pic:nvPicPr>
                  <pic:blipFill>
                    <a:blip r:embed="rId28"/>
                    <a:srcRect l="19736" t="17752" r="21649" b="22289"/>
                    <a:stretch>
                      <a:fillRect/>
                    </a:stretch>
                  </pic:blipFill>
                  <pic:spPr>
                    <a:xfrm>
                      <a:off x="0" y="0"/>
                      <a:ext cx="4352925" cy="3324860"/>
                    </a:xfrm>
                    <a:prstGeom prst="rect">
                      <a:avLst/>
                    </a:prstGeom>
                    <a:noFill/>
                    <a:ln>
                      <a:noFill/>
                    </a:ln>
                  </pic:spPr>
                </pic:pic>
              </a:graphicData>
            </a:graphic>
          </wp:inline>
        </w:drawing>
      </w:r>
    </w:p>
    <w:p>
      <w:pPr>
        <w:pStyle w:val="30"/>
        <w:spacing w:line="360" w:lineRule="auto"/>
        <w:ind w:firstLineChars="0"/>
        <w:jc w:val="center"/>
        <w:rPr>
          <w:spacing w:val="20"/>
          <w:kern w:val="0"/>
          <w:szCs w:val="21"/>
          <w:highlight w:val="none"/>
        </w:rPr>
      </w:pPr>
      <w:r>
        <w:rPr>
          <w:rFonts w:hint="eastAsia"/>
          <w:spacing w:val="20"/>
          <w:kern w:val="0"/>
          <w:szCs w:val="21"/>
          <w:highlight w:val="none"/>
        </w:rPr>
        <w:t>弱电线槽喷漆标识</w:t>
      </w:r>
    </w:p>
    <w:p>
      <w:pPr>
        <w:pStyle w:val="30"/>
        <w:spacing w:line="360" w:lineRule="auto"/>
        <w:ind w:firstLineChars="0"/>
        <w:jc w:val="center"/>
        <w:rPr>
          <w:spacing w:val="20"/>
          <w:kern w:val="0"/>
          <w:szCs w:val="21"/>
          <w:highlight w:val="none"/>
        </w:rPr>
      </w:pPr>
    </w:p>
    <w:p>
      <w:pPr>
        <w:pStyle w:val="30"/>
        <w:numPr>
          <w:ilvl w:val="0"/>
          <w:numId w:val="135"/>
        </w:numPr>
        <w:spacing w:line="360" w:lineRule="auto"/>
        <w:ind w:firstLineChars="0"/>
        <w:rPr>
          <w:kern w:val="0"/>
          <w:szCs w:val="24"/>
          <w:highlight w:val="none"/>
        </w:rPr>
      </w:pPr>
      <w:r>
        <w:rPr>
          <w:rFonts w:hint="eastAsia"/>
          <w:kern w:val="0"/>
          <w:szCs w:val="24"/>
          <w:highlight w:val="none"/>
        </w:rPr>
        <w:t>根据实际情况的不同，可采用以下两种不同的敷设方式。</w:t>
      </w:r>
    </w:p>
    <w:p>
      <w:pPr>
        <w:pStyle w:val="30"/>
        <w:numPr>
          <w:ilvl w:val="0"/>
          <w:numId w:val="144"/>
        </w:numPr>
        <w:spacing w:line="360" w:lineRule="auto"/>
        <w:ind w:right="-9" w:firstLineChars="0"/>
        <w:rPr>
          <w:kern w:val="0"/>
          <w:szCs w:val="24"/>
          <w:highlight w:val="none"/>
        </w:rPr>
      </w:pPr>
      <w:r>
        <w:rPr>
          <w:rFonts w:hint="eastAsia"/>
          <w:kern w:val="0"/>
          <w:szCs w:val="24"/>
          <w:highlight w:val="none"/>
        </w:rPr>
        <w:t>采用走吊顶的轻型槽型电缆线槽的方式：为水平线缆提供机械保护和支持的装配式槽型电缆线槽，是一种闭合式金属线槽，安装在吊顶内，从</w:t>
      </w:r>
      <w:r>
        <w:rPr>
          <w:rFonts w:hint="eastAsia"/>
          <w:b/>
          <w:szCs w:val="24"/>
          <w:highlight w:val="none"/>
        </w:rPr>
        <w:t>弱电竖井</w:t>
      </w:r>
      <w:r>
        <w:rPr>
          <w:rFonts w:hint="eastAsia"/>
          <w:szCs w:val="24"/>
          <w:highlight w:val="none"/>
        </w:rPr>
        <w:t>引</w:t>
      </w:r>
      <w:r>
        <w:rPr>
          <w:rFonts w:hint="eastAsia"/>
          <w:kern w:val="0"/>
          <w:szCs w:val="24"/>
          <w:highlight w:val="none"/>
        </w:rPr>
        <w:t>向设有信息点的房间，使用埋墙暗敷金属管，将线路出入其中，并引到墙上的暗装金属盒内。</w:t>
      </w:r>
    </w:p>
    <w:p>
      <w:pPr>
        <w:pStyle w:val="30"/>
        <w:numPr>
          <w:ilvl w:val="0"/>
          <w:numId w:val="144"/>
        </w:numPr>
        <w:spacing w:line="360" w:lineRule="auto"/>
        <w:ind w:right="-9" w:firstLineChars="0"/>
        <w:rPr>
          <w:szCs w:val="24"/>
          <w:highlight w:val="none"/>
        </w:rPr>
      </w:pPr>
      <w:r>
        <w:rPr>
          <w:rFonts w:hint="eastAsia"/>
          <w:kern w:val="0"/>
          <w:szCs w:val="24"/>
          <w:highlight w:val="none"/>
        </w:rPr>
        <w:t>采用地面线槽走线方式：先在地面垫层中预埋金属线槽或线槽地板。主干槽从弱电竖井引出，沿走廊引向设有信息点的各房间，再用支架槽引向房间内的信息点出线口，</w:t>
      </w:r>
      <w:r>
        <w:rPr>
          <w:rFonts w:hint="eastAsia"/>
          <w:b/>
          <w:szCs w:val="24"/>
          <w:highlight w:val="none"/>
        </w:rPr>
        <w:t>强电线路可以与弱电线路平等配置，但需分隔于不同的线槽中。弱电管线和强电管线平行走线需要至少</w:t>
      </w:r>
      <w:r>
        <w:rPr>
          <w:b/>
          <w:szCs w:val="24"/>
          <w:highlight w:val="none"/>
        </w:rPr>
        <w:t>15</w:t>
      </w:r>
      <w:r>
        <w:rPr>
          <w:rFonts w:hint="eastAsia"/>
          <w:b/>
          <w:szCs w:val="24"/>
          <w:highlight w:val="none"/>
        </w:rPr>
        <w:t>cm距离，若条件不允许，可用屏蔽双绞线或用镀锌铁管来代替PVC管。强电、弱电的插座相隔距离最少</w:t>
      </w:r>
      <w:r>
        <w:rPr>
          <w:b/>
          <w:szCs w:val="24"/>
          <w:highlight w:val="none"/>
        </w:rPr>
        <w:t>15</w:t>
      </w:r>
      <w:r>
        <w:rPr>
          <w:rFonts w:hint="eastAsia"/>
          <w:b/>
          <w:szCs w:val="24"/>
          <w:highlight w:val="none"/>
        </w:rPr>
        <w:t>cm，若条件不允许，可使用金属地板盒。强电和弱电走线交叉时，要呈90度角跨过。</w:t>
      </w:r>
    </w:p>
    <w:p>
      <w:pPr>
        <w:pStyle w:val="30"/>
        <w:numPr>
          <w:ilvl w:val="0"/>
          <w:numId w:val="135"/>
        </w:numPr>
        <w:spacing w:line="360" w:lineRule="auto"/>
        <w:ind w:right="-9" w:firstLineChars="0"/>
        <w:rPr>
          <w:kern w:val="0"/>
          <w:szCs w:val="24"/>
          <w:highlight w:val="none"/>
        </w:rPr>
      </w:pPr>
      <w:r>
        <w:rPr>
          <w:rFonts w:hint="eastAsia"/>
          <w:kern w:val="0"/>
          <w:szCs w:val="24"/>
          <w:highlight w:val="none"/>
        </w:rPr>
        <w:t>封天花前, 天花内线槽与布线要拍照片留底用作验收材料之一。每隔1</w:t>
      </w:r>
      <w:r>
        <w:rPr>
          <w:kern w:val="0"/>
          <w:szCs w:val="24"/>
          <w:highlight w:val="none"/>
        </w:rPr>
        <w:t>5</w:t>
      </w:r>
      <w:r>
        <w:rPr>
          <w:rFonts w:hint="eastAsia"/>
          <w:kern w:val="0"/>
          <w:szCs w:val="24"/>
          <w:highlight w:val="none"/>
        </w:rPr>
        <w:t>米拍一张照片，照片能反映出：线槽顶已封盖，没有线缆裸露在线槽外。</w:t>
      </w:r>
    </w:p>
    <w:p>
      <w:pPr>
        <w:pStyle w:val="30"/>
        <w:numPr>
          <w:ilvl w:val="0"/>
          <w:numId w:val="135"/>
        </w:numPr>
        <w:spacing w:line="360" w:lineRule="auto"/>
        <w:ind w:right="-9" w:firstLineChars="0"/>
        <w:rPr>
          <w:kern w:val="0"/>
          <w:szCs w:val="24"/>
          <w:highlight w:val="none"/>
        </w:rPr>
      </w:pPr>
      <w:r>
        <w:rPr>
          <w:rFonts w:hint="eastAsia"/>
          <w:kern w:val="0"/>
          <w:szCs w:val="24"/>
          <w:highlight w:val="none"/>
        </w:rPr>
        <w:t>墙体批荡前，弱电信息点要拍照片留底用作验收材料之一。照片要反应出强弱电没有共用底盒与线管，弱电信息点（底盒和线管）与周边强电（底盒和线管）相隔1</w:t>
      </w:r>
      <w:r>
        <w:rPr>
          <w:kern w:val="0"/>
          <w:szCs w:val="24"/>
          <w:highlight w:val="none"/>
        </w:rPr>
        <w:t>5</w:t>
      </w:r>
      <w:r>
        <w:rPr>
          <w:rFonts w:hint="eastAsia"/>
          <w:kern w:val="0"/>
          <w:szCs w:val="24"/>
          <w:highlight w:val="none"/>
        </w:rPr>
        <w:t>厘米。</w:t>
      </w:r>
    </w:p>
    <w:p>
      <w:pPr>
        <w:pStyle w:val="30"/>
        <w:spacing w:line="360" w:lineRule="auto"/>
        <w:ind w:left="757" w:firstLine="0" w:firstLineChars="0"/>
        <w:rPr>
          <w:kern w:val="0"/>
          <w:szCs w:val="24"/>
          <w:highlight w:val="none"/>
        </w:rPr>
      </w:pPr>
    </w:p>
    <w:p>
      <w:pPr>
        <w:pStyle w:val="30"/>
        <w:numPr>
          <w:ilvl w:val="0"/>
          <w:numId w:val="133"/>
        </w:numPr>
        <w:spacing w:line="360" w:lineRule="auto"/>
        <w:ind w:firstLineChars="0"/>
        <w:rPr>
          <w:kern w:val="0"/>
          <w:szCs w:val="24"/>
          <w:highlight w:val="none"/>
        </w:rPr>
      </w:pPr>
      <w:r>
        <w:rPr>
          <w:rFonts w:hint="eastAsia" w:ascii="Times New Roman" w:hAnsi="Times New Roman"/>
          <w:b/>
          <w:spacing w:val="20"/>
          <w:kern w:val="0"/>
          <w:sz w:val="28"/>
          <w:szCs w:val="28"/>
          <w:highlight w:val="none"/>
        </w:rPr>
        <w:t>网络综合布线测试</w:t>
      </w:r>
    </w:p>
    <w:p>
      <w:pPr>
        <w:pStyle w:val="30"/>
        <w:numPr>
          <w:ilvl w:val="1"/>
          <w:numId w:val="135"/>
        </w:numPr>
        <w:spacing w:line="360" w:lineRule="auto"/>
        <w:ind w:right="-9" w:firstLineChars="0"/>
        <w:rPr>
          <w:kern w:val="0"/>
          <w:szCs w:val="24"/>
          <w:highlight w:val="none"/>
        </w:rPr>
      </w:pPr>
      <w:r>
        <w:rPr>
          <w:rFonts w:hint="eastAsia"/>
          <w:kern w:val="0"/>
          <w:szCs w:val="24"/>
          <w:highlight w:val="none"/>
        </w:rPr>
        <w:t>为确保综合布线系统性能，确认布线系统的元器件性能及安装质量，工程完工后需要由第三方机构按TIA /EIA568-A/B规定的标准对超六类与六类系统进行测试，光缆需要采用光功率仪进行光功率衰减测试。</w:t>
      </w:r>
    </w:p>
    <w:p>
      <w:pPr>
        <w:pStyle w:val="30"/>
        <w:numPr>
          <w:ilvl w:val="1"/>
          <w:numId w:val="135"/>
        </w:numPr>
        <w:spacing w:line="360" w:lineRule="auto"/>
        <w:ind w:right="-9" w:firstLineChars="0"/>
        <w:rPr>
          <w:kern w:val="0"/>
          <w:szCs w:val="24"/>
          <w:highlight w:val="none"/>
        </w:rPr>
      </w:pPr>
      <w:r>
        <w:rPr>
          <w:rFonts w:hint="eastAsia"/>
          <w:kern w:val="0"/>
          <w:szCs w:val="24"/>
          <w:highlight w:val="none"/>
        </w:rPr>
        <w:t>测试安排在工作日时间内，测试时需要有信息数据中心人员在现场监看。</w:t>
      </w:r>
    </w:p>
    <w:p>
      <w:pPr>
        <w:pStyle w:val="30"/>
        <w:numPr>
          <w:ilvl w:val="1"/>
          <w:numId w:val="135"/>
        </w:numPr>
        <w:spacing w:line="360" w:lineRule="auto"/>
        <w:ind w:right="-9" w:firstLineChars="0"/>
        <w:rPr>
          <w:kern w:val="0"/>
          <w:szCs w:val="24"/>
          <w:highlight w:val="none"/>
        </w:rPr>
      </w:pPr>
      <w:r>
        <w:rPr>
          <w:rFonts w:hint="eastAsia"/>
          <w:kern w:val="0"/>
          <w:szCs w:val="24"/>
          <w:highlight w:val="none"/>
        </w:rPr>
        <w:t>测试仪器采用如下之一（或更高级别型号）：</w:t>
      </w:r>
    </w:p>
    <w:p>
      <w:pPr>
        <w:pStyle w:val="30"/>
        <w:spacing w:line="360" w:lineRule="auto"/>
        <w:ind w:left="1237" w:right="-9" w:firstLine="0" w:firstLineChars="0"/>
        <w:rPr>
          <w:kern w:val="0"/>
          <w:szCs w:val="24"/>
          <w:highlight w:val="none"/>
        </w:rPr>
      </w:pPr>
      <w:r>
        <w:rPr>
          <w:kern w:val="0"/>
          <w:szCs w:val="24"/>
          <w:highlight w:val="none"/>
        </w:rPr>
        <w:t>DSX-8000</w:t>
      </w:r>
      <w:r>
        <w:rPr>
          <w:rFonts w:hint="eastAsia"/>
          <w:kern w:val="0"/>
          <w:szCs w:val="24"/>
          <w:highlight w:val="none"/>
        </w:rPr>
        <w:t>、</w:t>
      </w:r>
      <w:r>
        <w:rPr>
          <w:kern w:val="0"/>
          <w:szCs w:val="24"/>
          <w:highlight w:val="none"/>
        </w:rPr>
        <w:t>DSX-5000</w:t>
      </w:r>
      <w:r>
        <w:rPr>
          <w:rFonts w:hint="eastAsia"/>
          <w:kern w:val="0"/>
          <w:szCs w:val="24"/>
          <w:highlight w:val="none"/>
        </w:rPr>
        <w:t>、</w:t>
      </w:r>
      <w:r>
        <w:rPr>
          <w:kern w:val="0"/>
          <w:szCs w:val="24"/>
          <w:highlight w:val="none"/>
        </w:rPr>
        <w:t>DTX-1800 (Fluke Corporation)</w:t>
      </w:r>
    </w:p>
    <w:p>
      <w:pPr>
        <w:pStyle w:val="30"/>
        <w:numPr>
          <w:ilvl w:val="1"/>
          <w:numId w:val="135"/>
        </w:numPr>
        <w:spacing w:line="360" w:lineRule="auto"/>
        <w:ind w:right="-9" w:firstLineChars="0"/>
        <w:rPr>
          <w:kern w:val="0"/>
          <w:szCs w:val="24"/>
          <w:highlight w:val="none"/>
        </w:rPr>
      </w:pPr>
      <w:r>
        <w:rPr>
          <w:rFonts w:hint="eastAsia"/>
          <w:kern w:val="0"/>
          <w:szCs w:val="24"/>
          <w:highlight w:val="none"/>
        </w:rPr>
        <w:t>根据过往经验，测试时候部分信息点需要重新打模块，更换模块等处理后才能通过检测，建议测试人员先自行测试一遍，对不通过的点位进行整改直至全部通过测试后，再通知我中心人员前往正式测试。</w:t>
      </w:r>
    </w:p>
    <w:p>
      <w:pPr>
        <w:numPr>
          <w:ilvl w:val="1"/>
          <w:numId w:val="135"/>
        </w:numPr>
        <w:spacing w:line="360" w:lineRule="auto"/>
        <w:ind w:right="-9"/>
        <w:rPr>
          <w:szCs w:val="24"/>
          <w:highlight w:val="none"/>
        </w:rPr>
      </w:pPr>
      <w:r>
        <w:rPr>
          <w:rFonts w:hint="eastAsia"/>
          <w:szCs w:val="24"/>
          <w:highlight w:val="none"/>
        </w:rPr>
        <w:t>需提交第三方公司检测报告（由检测方公司盖公章）</w:t>
      </w:r>
    </w:p>
    <w:p>
      <w:pPr>
        <w:pStyle w:val="45"/>
        <w:numPr>
          <w:ilvl w:val="1"/>
          <w:numId w:val="135"/>
        </w:numPr>
        <w:rPr>
          <w:highlight w:val="none"/>
        </w:rPr>
      </w:pPr>
      <w:r>
        <w:rPr>
          <w:rFonts w:hint="eastAsia"/>
          <w:highlight w:val="none"/>
        </w:rPr>
        <w:t>铜缆系统测试，包括以下几项内容：</w:t>
      </w:r>
    </w:p>
    <w:tbl>
      <w:tblPr>
        <w:tblStyle w:val="18"/>
        <w:tblW w:w="9026" w:type="dxa"/>
        <w:tblInd w:w="1248" w:type="dxa"/>
        <w:tblLayout w:type="autofit"/>
        <w:tblCellMar>
          <w:top w:w="0" w:type="dxa"/>
          <w:left w:w="108" w:type="dxa"/>
          <w:bottom w:w="0" w:type="dxa"/>
          <w:right w:w="108" w:type="dxa"/>
        </w:tblCellMar>
      </w:tblPr>
      <w:tblGrid>
        <w:gridCol w:w="4860"/>
        <w:gridCol w:w="4166"/>
      </w:tblGrid>
      <w:tr>
        <w:tc>
          <w:tcPr>
            <w:tcW w:w="4860" w:type="dxa"/>
            <w:shd w:val="clear" w:color="auto" w:fill="auto"/>
          </w:tcPr>
          <w:p>
            <w:pPr>
              <w:numPr>
                <w:ilvl w:val="0"/>
                <w:numId w:val="145"/>
              </w:numPr>
              <w:spacing w:line="360" w:lineRule="auto"/>
              <w:ind w:right="84"/>
              <w:rPr>
                <w:szCs w:val="24"/>
                <w:highlight w:val="none"/>
              </w:rPr>
            </w:pPr>
            <w:r>
              <w:rPr>
                <w:rFonts w:hint="eastAsia"/>
                <w:szCs w:val="24"/>
                <w:highlight w:val="none"/>
              </w:rPr>
              <w:t>极性、连续性、短路、断路测试及长度</w:t>
            </w:r>
          </w:p>
        </w:tc>
        <w:tc>
          <w:tcPr>
            <w:tcW w:w="4166" w:type="dxa"/>
            <w:shd w:val="clear" w:color="auto" w:fill="auto"/>
          </w:tcPr>
          <w:p>
            <w:pPr>
              <w:numPr>
                <w:ilvl w:val="0"/>
                <w:numId w:val="145"/>
              </w:numPr>
              <w:spacing w:line="360" w:lineRule="auto"/>
              <w:rPr>
                <w:szCs w:val="24"/>
                <w:highlight w:val="none"/>
              </w:rPr>
            </w:pPr>
            <w:r>
              <w:rPr>
                <w:rFonts w:hint="eastAsia"/>
                <w:szCs w:val="24"/>
                <w:highlight w:val="none"/>
              </w:rPr>
              <w:t>信号全程衰减测试</w:t>
            </w:r>
          </w:p>
        </w:tc>
      </w:tr>
      <w:tr>
        <w:tblPrEx>
          <w:tblCellMar>
            <w:top w:w="0" w:type="dxa"/>
            <w:left w:w="108" w:type="dxa"/>
            <w:bottom w:w="0" w:type="dxa"/>
            <w:right w:w="108" w:type="dxa"/>
          </w:tblCellMar>
        </w:tblPrEx>
        <w:tc>
          <w:tcPr>
            <w:tcW w:w="4860" w:type="dxa"/>
            <w:shd w:val="clear" w:color="auto" w:fill="auto"/>
          </w:tcPr>
          <w:p>
            <w:pPr>
              <w:pStyle w:val="30"/>
              <w:numPr>
                <w:ilvl w:val="0"/>
                <w:numId w:val="145"/>
              </w:numPr>
              <w:spacing w:line="360" w:lineRule="auto"/>
              <w:ind w:right="84" w:firstLineChars="0"/>
              <w:rPr>
                <w:szCs w:val="24"/>
                <w:highlight w:val="none"/>
              </w:rPr>
            </w:pPr>
            <w:r>
              <w:rPr>
                <w:rFonts w:hint="eastAsia"/>
                <w:szCs w:val="24"/>
                <w:highlight w:val="none"/>
              </w:rPr>
              <w:t>信号近，远串音衰耗测试</w:t>
            </w:r>
          </w:p>
        </w:tc>
        <w:tc>
          <w:tcPr>
            <w:tcW w:w="4166" w:type="dxa"/>
            <w:shd w:val="clear" w:color="auto" w:fill="auto"/>
          </w:tcPr>
          <w:p>
            <w:pPr>
              <w:pStyle w:val="30"/>
              <w:numPr>
                <w:ilvl w:val="0"/>
                <w:numId w:val="145"/>
              </w:numPr>
              <w:spacing w:line="360" w:lineRule="auto"/>
              <w:ind w:firstLineChars="0"/>
              <w:rPr>
                <w:szCs w:val="24"/>
                <w:highlight w:val="none"/>
              </w:rPr>
            </w:pPr>
            <w:r>
              <w:rPr>
                <w:rFonts w:hint="eastAsia"/>
                <w:szCs w:val="24"/>
                <w:highlight w:val="none"/>
              </w:rPr>
              <w:t>结构回转衰耗SRL</w:t>
            </w:r>
          </w:p>
        </w:tc>
      </w:tr>
      <w:tr>
        <w:tc>
          <w:tcPr>
            <w:tcW w:w="4860" w:type="dxa"/>
            <w:shd w:val="clear" w:color="auto" w:fill="auto"/>
          </w:tcPr>
          <w:p>
            <w:pPr>
              <w:numPr>
                <w:ilvl w:val="0"/>
                <w:numId w:val="145"/>
              </w:numPr>
              <w:spacing w:line="360" w:lineRule="auto"/>
              <w:rPr>
                <w:szCs w:val="24"/>
                <w:highlight w:val="none"/>
              </w:rPr>
            </w:pPr>
            <w:r>
              <w:rPr>
                <w:rFonts w:hint="eastAsia"/>
                <w:szCs w:val="24"/>
                <w:highlight w:val="none"/>
              </w:rPr>
              <w:t>特性阻抗</w:t>
            </w:r>
          </w:p>
        </w:tc>
        <w:tc>
          <w:tcPr>
            <w:tcW w:w="4166" w:type="dxa"/>
            <w:shd w:val="clear" w:color="auto" w:fill="auto"/>
          </w:tcPr>
          <w:p>
            <w:pPr>
              <w:pStyle w:val="30"/>
              <w:numPr>
                <w:ilvl w:val="0"/>
                <w:numId w:val="145"/>
              </w:numPr>
              <w:spacing w:line="360" w:lineRule="auto"/>
              <w:ind w:firstLineChars="0"/>
              <w:rPr>
                <w:szCs w:val="24"/>
                <w:highlight w:val="none"/>
              </w:rPr>
            </w:pPr>
            <w:r>
              <w:rPr>
                <w:rFonts w:hint="eastAsia"/>
                <w:szCs w:val="24"/>
                <w:highlight w:val="none"/>
              </w:rPr>
              <w:t>传输延时</w:t>
            </w:r>
          </w:p>
        </w:tc>
      </w:tr>
    </w:tbl>
    <w:p>
      <w:pPr>
        <w:pStyle w:val="45"/>
        <w:ind w:left="1344" w:leftChars="560"/>
        <w:rPr>
          <w:highlight w:val="none"/>
        </w:rPr>
      </w:pPr>
    </w:p>
    <w:p>
      <w:pPr>
        <w:pStyle w:val="45"/>
        <w:numPr>
          <w:ilvl w:val="1"/>
          <w:numId w:val="135"/>
        </w:numPr>
        <w:rPr>
          <w:highlight w:val="none"/>
        </w:rPr>
      </w:pPr>
      <w:r>
        <w:rPr>
          <w:rFonts w:hint="eastAsia"/>
          <w:highlight w:val="none"/>
        </w:rPr>
        <w:t>光缆系统测试，包括以下几项内容：</w:t>
      </w:r>
    </w:p>
    <w:tbl>
      <w:tblPr>
        <w:tblStyle w:val="18"/>
        <w:tblW w:w="9026" w:type="dxa"/>
        <w:tblInd w:w="1248" w:type="dxa"/>
        <w:tblLayout w:type="autofit"/>
        <w:tblCellMar>
          <w:top w:w="0" w:type="dxa"/>
          <w:left w:w="108" w:type="dxa"/>
          <w:bottom w:w="0" w:type="dxa"/>
          <w:right w:w="108" w:type="dxa"/>
        </w:tblCellMar>
      </w:tblPr>
      <w:tblGrid>
        <w:gridCol w:w="4860"/>
        <w:gridCol w:w="4166"/>
      </w:tblGrid>
      <w:tr>
        <w:tblPrEx>
          <w:tblCellMar>
            <w:top w:w="0" w:type="dxa"/>
            <w:left w:w="108" w:type="dxa"/>
            <w:bottom w:w="0" w:type="dxa"/>
            <w:right w:w="108" w:type="dxa"/>
          </w:tblCellMar>
        </w:tblPrEx>
        <w:tc>
          <w:tcPr>
            <w:tcW w:w="4860" w:type="dxa"/>
            <w:shd w:val="clear" w:color="auto" w:fill="auto"/>
          </w:tcPr>
          <w:p>
            <w:pPr>
              <w:numPr>
                <w:ilvl w:val="0"/>
                <w:numId w:val="146"/>
              </w:numPr>
              <w:spacing w:line="360" w:lineRule="auto"/>
              <w:rPr>
                <w:szCs w:val="24"/>
                <w:highlight w:val="none"/>
              </w:rPr>
            </w:pPr>
            <w:r>
              <w:rPr>
                <w:rFonts w:hint="eastAsia"/>
                <w:szCs w:val="24"/>
                <w:highlight w:val="none"/>
              </w:rPr>
              <w:t>衰减系数</w:t>
            </w:r>
          </w:p>
        </w:tc>
        <w:tc>
          <w:tcPr>
            <w:tcW w:w="4166" w:type="dxa"/>
            <w:shd w:val="clear" w:color="auto" w:fill="auto"/>
          </w:tcPr>
          <w:p>
            <w:pPr>
              <w:numPr>
                <w:ilvl w:val="0"/>
                <w:numId w:val="146"/>
              </w:numPr>
              <w:spacing w:line="360" w:lineRule="auto"/>
              <w:rPr>
                <w:szCs w:val="24"/>
                <w:highlight w:val="none"/>
              </w:rPr>
            </w:pPr>
            <w:r>
              <w:rPr>
                <w:rFonts w:hint="eastAsia"/>
                <w:szCs w:val="24"/>
                <w:highlight w:val="none"/>
              </w:rPr>
              <w:t>色散系数</w:t>
            </w:r>
          </w:p>
        </w:tc>
      </w:tr>
      <w:tr>
        <w:tblPrEx>
          <w:tblCellMar>
            <w:top w:w="0" w:type="dxa"/>
            <w:left w:w="108" w:type="dxa"/>
            <w:bottom w:w="0" w:type="dxa"/>
            <w:right w:w="108" w:type="dxa"/>
          </w:tblCellMar>
        </w:tblPrEx>
        <w:tc>
          <w:tcPr>
            <w:tcW w:w="4860" w:type="dxa"/>
            <w:shd w:val="clear" w:color="auto" w:fill="auto"/>
          </w:tcPr>
          <w:p>
            <w:pPr>
              <w:pStyle w:val="30"/>
              <w:numPr>
                <w:ilvl w:val="0"/>
                <w:numId w:val="146"/>
              </w:numPr>
              <w:spacing w:line="360" w:lineRule="auto"/>
              <w:ind w:firstLineChars="0"/>
              <w:rPr>
                <w:szCs w:val="24"/>
                <w:highlight w:val="none"/>
              </w:rPr>
            </w:pPr>
            <w:r>
              <w:rPr>
                <w:rFonts w:hint="eastAsia"/>
                <w:szCs w:val="24"/>
                <w:highlight w:val="none"/>
              </w:rPr>
              <w:t>模场直径</w:t>
            </w:r>
          </w:p>
        </w:tc>
        <w:tc>
          <w:tcPr>
            <w:tcW w:w="4166" w:type="dxa"/>
            <w:shd w:val="clear" w:color="auto" w:fill="auto"/>
          </w:tcPr>
          <w:p>
            <w:pPr>
              <w:pStyle w:val="30"/>
              <w:numPr>
                <w:ilvl w:val="0"/>
                <w:numId w:val="146"/>
              </w:numPr>
              <w:spacing w:line="360" w:lineRule="auto"/>
              <w:ind w:firstLineChars="0"/>
              <w:rPr>
                <w:szCs w:val="24"/>
                <w:highlight w:val="none"/>
              </w:rPr>
            </w:pPr>
            <w:r>
              <w:rPr>
                <w:rFonts w:hint="eastAsia"/>
                <w:szCs w:val="24"/>
                <w:highlight w:val="none"/>
              </w:rPr>
              <w:t>截止波长</w:t>
            </w:r>
          </w:p>
        </w:tc>
      </w:tr>
      <w:tr>
        <w:tblPrEx>
          <w:tblCellMar>
            <w:top w:w="0" w:type="dxa"/>
            <w:left w:w="108" w:type="dxa"/>
            <w:bottom w:w="0" w:type="dxa"/>
            <w:right w:w="108" w:type="dxa"/>
          </w:tblCellMar>
        </w:tblPrEx>
        <w:tc>
          <w:tcPr>
            <w:tcW w:w="4860" w:type="dxa"/>
            <w:shd w:val="clear" w:color="auto" w:fill="auto"/>
          </w:tcPr>
          <w:p>
            <w:pPr>
              <w:numPr>
                <w:ilvl w:val="0"/>
                <w:numId w:val="146"/>
              </w:numPr>
              <w:spacing w:line="360" w:lineRule="auto"/>
              <w:rPr>
                <w:szCs w:val="24"/>
                <w:highlight w:val="none"/>
              </w:rPr>
            </w:pPr>
            <w:r>
              <w:rPr>
                <w:rFonts w:hint="eastAsia"/>
                <w:szCs w:val="24"/>
                <w:highlight w:val="none"/>
              </w:rPr>
              <w:t>偏振模色散系数</w:t>
            </w:r>
          </w:p>
        </w:tc>
        <w:tc>
          <w:tcPr>
            <w:tcW w:w="4166" w:type="dxa"/>
            <w:shd w:val="clear" w:color="auto" w:fill="auto"/>
          </w:tcPr>
          <w:p>
            <w:pPr>
              <w:pStyle w:val="30"/>
              <w:numPr>
                <w:ilvl w:val="0"/>
                <w:numId w:val="146"/>
              </w:numPr>
              <w:spacing w:line="360" w:lineRule="auto"/>
              <w:ind w:firstLineChars="0"/>
              <w:rPr>
                <w:szCs w:val="24"/>
                <w:highlight w:val="none"/>
              </w:rPr>
            </w:pPr>
            <w:r>
              <w:rPr>
                <w:rFonts w:hint="eastAsia"/>
                <w:szCs w:val="24"/>
                <w:highlight w:val="none"/>
              </w:rPr>
              <w:t>几何尺寸</w:t>
            </w:r>
          </w:p>
        </w:tc>
      </w:tr>
    </w:tbl>
    <w:p>
      <w:pPr>
        <w:ind w:right="-9"/>
        <w:jc w:val="center"/>
        <w:rPr>
          <w:kern w:val="0"/>
          <w:szCs w:val="24"/>
          <w:highlight w:val="none"/>
        </w:rPr>
      </w:pPr>
      <w:r>
        <w:rPr>
          <w:highlight w:val="none"/>
        </w:rPr>
        <w:drawing>
          <wp:inline distT="0" distB="0" distL="114300" distR="114300">
            <wp:extent cx="2831465" cy="3662045"/>
            <wp:effectExtent l="0" t="0" r="6985" b="14605"/>
            <wp:docPr id="24"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7"/>
                    <pic:cNvPicPr>
                      <a:picLocks noChangeAspect="1"/>
                    </pic:cNvPicPr>
                  </pic:nvPicPr>
                  <pic:blipFill>
                    <a:blip r:embed="rId29"/>
                    <a:stretch>
                      <a:fillRect/>
                    </a:stretch>
                  </pic:blipFill>
                  <pic:spPr>
                    <a:xfrm>
                      <a:off x="0" y="0"/>
                      <a:ext cx="2831465" cy="3662045"/>
                    </a:xfrm>
                    <a:prstGeom prst="rect">
                      <a:avLst/>
                    </a:prstGeom>
                    <a:noFill/>
                    <a:ln>
                      <a:noFill/>
                    </a:ln>
                  </pic:spPr>
                </pic:pic>
              </a:graphicData>
            </a:graphic>
          </wp:inline>
        </w:drawing>
      </w:r>
      <w:r>
        <w:rPr>
          <w:highlight w:val="none"/>
        </w:rPr>
        <w:drawing>
          <wp:inline distT="0" distB="0" distL="114300" distR="114300">
            <wp:extent cx="2719070" cy="3665855"/>
            <wp:effectExtent l="0" t="0" r="5080" b="10795"/>
            <wp:docPr id="2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8"/>
                    <pic:cNvPicPr>
                      <a:picLocks noChangeAspect="1"/>
                    </pic:cNvPicPr>
                  </pic:nvPicPr>
                  <pic:blipFill>
                    <a:blip r:embed="rId30"/>
                    <a:stretch>
                      <a:fillRect/>
                    </a:stretch>
                  </pic:blipFill>
                  <pic:spPr>
                    <a:xfrm>
                      <a:off x="0" y="0"/>
                      <a:ext cx="2719070" cy="3665855"/>
                    </a:xfrm>
                    <a:prstGeom prst="rect">
                      <a:avLst/>
                    </a:prstGeom>
                    <a:noFill/>
                    <a:ln>
                      <a:noFill/>
                    </a:ln>
                  </pic:spPr>
                </pic:pic>
              </a:graphicData>
            </a:graphic>
          </wp:inline>
        </w:drawing>
      </w:r>
    </w:p>
    <w:p>
      <w:pPr>
        <w:spacing w:line="360" w:lineRule="auto"/>
        <w:ind w:firstLine="360" w:firstLineChars="150"/>
        <w:jc w:val="center"/>
        <w:rPr>
          <w:kern w:val="0"/>
          <w:szCs w:val="24"/>
          <w:highlight w:val="none"/>
        </w:rPr>
      </w:pPr>
      <w:r>
        <w:rPr>
          <w:szCs w:val="21"/>
          <w:highlight w:val="none"/>
        </w:rPr>
        <w:t>测试报告封面和测试报告内容示例</w:t>
      </w:r>
      <w:r>
        <w:rPr>
          <w:rFonts w:hint="eastAsia"/>
          <w:kern w:val="0"/>
          <w:szCs w:val="24"/>
          <w:highlight w:val="none"/>
        </w:rPr>
        <w:t xml:space="preserve"> </w:t>
      </w:r>
    </w:p>
    <w:p>
      <w:pPr>
        <w:numPr>
          <w:ilvl w:val="0"/>
          <w:numId w:val="133"/>
        </w:numPr>
        <w:spacing w:line="360" w:lineRule="auto"/>
        <w:rPr>
          <w:b/>
          <w:kern w:val="0"/>
          <w:sz w:val="28"/>
          <w:szCs w:val="28"/>
          <w:highlight w:val="none"/>
        </w:rPr>
      </w:pPr>
      <w:r>
        <w:rPr>
          <w:rFonts w:hint="eastAsia"/>
          <w:b/>
          <w:kern w:val="0"/>
          <w:sz w:val="28"/>
          <w:szCs w:val="28"/>
          <w:highlight w:val="none"/>
        </w:rPr>
        <w:t>验收</w:t>
      </w:r>
    </w:p>
    <w:p>
      <w:pPr>
        <w:pStyle w:val="30"/>
        <w:spacing w:line="360" w:lineRule="auto"/>
        <w:ind w:left="757" w:right="-9" w:firstLine="0" w:firstLineChars="0"/>
        <w:rPr>
          <w:kern w:val="0"/>
          <w:szCs w:val="24"/>
          <w:highlight w:val="none"/>
        </w:rPr>
      </w:pPr>
      <w:r>
        <w:rPr>
          <w:rFonts w:hint="eastAsia"/>
          <w:kern w:val="0"/>
          <w:szCs w:val="24"/>
          <w:highlight w:val="none"/>
        </w:rPr>
        <w:t>验收前需要完成的事项以及提交的资料（包括但不限于）：</w:t>
      </w:r>
    </w:p>
    <w:p>
      <w:pPr>
        <w:pStyle w:val="30"/>
        <w:numPr>
          <w:ilvl w:val="0"/>
          <w:numId w:val="147"/>
        </w:numPr>
        <w:spacing w:line="360" w:lineRule="auto"/>
        <w:ind w:right="-9" w:firstLineChars="0"/>
        <w:rPr>
          <w:kern w:val="0"/>
          <w:szCs w:val="24"/>
          <w:highlight w:val="none"/>
        </w:rPr>
      </w:pPr>
      <w:r>
        <w:rPr>
          <w:rFonts w:hint="eastAsia"/>
          <w:kern w:val="0"/>
          <w:szCs w:val="24"/>
          <w:highlight w:val="none"/>
        </w:rPr>
        <w:t>按此文档要求进行施工，对不符合要求的事项进行整改；</w:t>
      </w:r>
    </w:p>
    <w:p>
      <w:pPr>
        <w:pStyle w:val="30"/>
        <w:numPr>
          <w:ilvl w:val="0"/>
          <w:numId w:val="147"/>
        </w:numPr>
        <w:spacing w:line="360" w:lineRule="auto"/>
        <w:ind w:right="-9" w:firstLineChars="0"/>
        <w:rPr>
          <w:kern w:val="0"/>
          <w:szCs w:val="24"/>
          <w:highlight w:val="none"/>
        </w:rPr>
      </w:pPr>
      <w:r>
        <w:rPr>
          <w:rFonts w:hint="eastAsia"/>
          <w:kern w:val="0"/>
          <w:szCs w:val="24"/>
          <w:highlight w:val="none"/>
        </w:rPr>
        <w:t>提交综合布线设计平面图；</w:t>
      </w:r>
    </w:p>
    <w:p>
      <w:pPr>
        <w:pStyle w:val="30"/>
        <w:numPr>
          <w:ilvl w:val="0"/>
          <w:numId w:val="147"/>
        </w:numPr>
        <w:spacing w:line="360" w:lineRule="auto"/>
        <w:ind w:right="-9" w:firstLineChars="0"/>
        <w:rPr>
          <w:kern w:val="0"/>
          <w:szCs w:val="24"/>
          <w:highlight w:val="none"/>
        </w:rPr>
      </w:pPr>
      <w:r>
        <w:rPr>
          <w:rFonts w:hint="eastAsia"/>
          <w:kern w:val="0"/>
          <w:szCs w:val="24"/>
          <w:highlight w:val="none"/>
        </w:rPr>
        <w:t>提交材料原厂供货证明；</w:t>
      </w:r>
    </w:p>
    <w:p>
      <w:pPr>
        <w:pStyle w:val="30"/>
        <w:numPr>
          <w:ilvl w:val="0"/>
          <w:numId w:val="147"/>
        </w:numPr>
        <w:spacing w:line="360" w:lineRule="auto"/>
        <w:ind w:right="-9" w:firstLineChars="0"/>
        <w:rPr>
          <w:kern w:val="0"/>
          <w:szCs w:val="24"/>
          <w:highlight w:val="none"/>
        </w:rPr>
      </w:pPr>
      <w:r>
        <w:rPr>
          <w:rFonts w:hint="eastAsia"/>
          <w:kern w:val="0"/>
          <w:szCs w:val="24"/>
          <w:highlight w:val="none"/>
        </w:rPr>
        <w:t>提交</w:t>
      </w:r>
      <w:bookmarkStart w:id="324" w:name="OLE_LINK1"/>
      <w:r>
        <w:rPr>
          <w:rFonts w:hint="eastAsia"/>
          <w:kern w:val="0"/>
          <w:szCs w:val="24"/>
          <w:highlight w:val="none"/>
        </w:rPr>
        <w:t>天花内线槽与布线照片，每隔1</w:t>
      </w:r>
      <w:r>
        <w:rPr>
          <w:kern w:val="0"/>
          <w:szCs w:val="24"/>
          <w:highlight w:val="none"/>
        </w:rPr>
        <w:t>5</w:t>
      </w:r>
      <w:r>
        <w:rPr>
          <w:rFonts w:hint="eastAsia"/>
          <w:kern w:val="0"/>
          <w:szCs w:val="24"/>
          <w:highlight w:val="none"/>
        </w:rPr>
        <w:t>米拍一张照片，照片能反映出：线槽顶已封盖，没有线缆裸露在线槽外；</w:t>
      </w:r>
      <w:bookmarkEnd w:id="324"/>
    </w:p>
    <w:p>
      <w:pPr>
        <w:pStyle w:val="30"/>
        <w:numPr>
          <w:ilvl w:val="0"/>
          <w:numId w:val="147"/>
        </w:numPr>
        <w:spacing w:line="360" w:lineRule="auto"/>
        <w:ind w:right="-9" w:firstLineChars="0"/>
        <w:rPr>
          <w:kern w:val="0"/>
          <w:szCs w:val="24"/>
          <w:highlight w:val="none"/>
        </w:rPr>
      </w:pPr>
      <w:r>
        <w:rPr>
          <w:rFonts w:hint="eastAsia"/>
          <w:kern w:val="0"/>
          <w:szCs w:val="24"/>
          <w:highlight w:val="none"/>
        </w:rPr>
        <w:t>提交墙体批荡前弱电信息点（底盒和线管）与周边强电（底盒和线管）的照片，照片要反应出强弱电没有共用底盒与线管，而且弱电信息点（底盒和线管）与周边强电（底盒和线管）相隔1</w:t>
      </w:r>
      <w:r>
        <w:rPr>
          <w:kern w:val="0"/>
          <w:szCs w:val="24"/>
          <w:highlight w:val="none"/>
        </w:rPr>
        <w:t>5</w:t>
      </w:r>
      <w:r>
        <w:rPr>
          <w:rFonts w:hint="eastAsia"/>
          <w:kern w:val="0"/>
          <w:szCs w:val="24"/>
          <w:highlight w:val="none"/>
        </w:rPr>
        <w:t>厘米。</w:t>
      </w:r>
    </w:p>
    <w:p>
      <w:pPr>
        <w:pStyle w:val="30"/>
        <w:numPr>
          <w:ilvl w:val="0"/>
          <w:numId w:val="147"/>
        </w:numPr>
        <w:spacing w:line="360" w:lineRule="auto"/>
        <w:ind w:right="-9" w:firstLineChars="0"/>
        <w:rPr>
          <w:kern w:val="0"/>
          <w:szCs w:val="24"/>
          <w:highlight w:val="none"/>
        </w:rPr>
      </w:pPr>
      <w:r>
        <w:rPr>
          <w:rFonts w:hint="eastAsia"/>
          <w:kern w:val="0"/>
          <w:szCs w:val="24"/>
          <w:highlight w:val="none"/>
        </w:rPr>
        <w:t>提交第三方F</w:t>
      </w:r>
      <w:r>
        <w:rPr>
          <w:kern w:val="0"/>
          <w:szCs w:val="24"/>
          <w:highlight w:val="none"/>
        </w:rPr>
        <w:t>LUKE</w:t>
      </w:r>
      <w:r>
        <w:rPr>
          <w:rFonts w:hint="eastAsia"/>
          <w:kern w:val="0"/>
          <w:szCs w:val="24"/>
          <w:highlight w:val="none"/>
        </w:rPr>
        <w:t>线缆检测报告；</w:t>
      </w:r>
    </w:p>
    <w:p>
      <w:pPr>
        <w:pStyle w:val="30"/>
        <w:numPr>
          <w:ilvl w:val="0"/>
          <w:numId w:val="147"/>
        </w:numPr>
        <w:spacing w:line="360" w:lineRule="auto"/>
        <w:ind w:right="-9" w:firstLineChars="0"/>
        <w:rPr>
          <w:kern w:val="0"/>
          <w:szCs w:val="24"/>
          <w:highlight w:val="none"/>
        </w:rPr>
      </w:pPr>
      <w:r>
        <w:rPr>
          <w:rFonts w:hint="eastAsia"/>
          <w:kern w:val="0"/>
          <w:szCs w:val="24"/>
          <w:highlight w:val="none"/>
        </w:rPr>
        <w:t>提交竣工图纸与文档，竣工图纸要在对应位置上标有各个信息点的标签号；竣工文档要含上述设计、施工、整改等阶段的图纸与文档，以及竣工阶段的实施效果照片（</w:t>
      </w:r>
      <w:bookmarkStart w:id="325" w:name="OLE_LINK3"/>
      <w:bookmarkStart w:id="326" w:name="OLE_LINK2"/>
      <w:r>
        <w:rPr>
          <w:rFonts w:hint="eastAsia"/>
          <w:kern w:val="0"/>
          <w:szCs w:val="24"/>
          <w:highlight w:val="none"/>
        </w:rPr>
        <w:t>弱电机柜端和网点接入端抽验照片</w:t>
      </w:r>
      <w:bookmarkEnd w:id="325"/>
      <w:bookmarkEnd w:id="326"/>
      <w:r>
        <w:rPr>
          <w:rFonts w:hint="eastAsia"/>
          <w:kern w:val="0"/>
          <w:szCs w:val="24"/>
          <w:highlight w:val="none"/>
        </w:rPr>
        <w:t>）</w:t>
      </w:r>
    </w:p>
    <w:p>
      <w:pPr>
        <w:pStyle w:val="30"/>
        <w:numPr>
          <w:ilvl w:val="0"/>
          <w:numId w:val="133"/>
        </w:numPr>
        <w:spacing w:line="360" w:lineRule="auto"/>
        <w:ind w:firstLineChars="0"/>
        <w:rPr>
          <w:b/>
          <w:kern w:val="0"/>
          <w:sz w:val="28"/>
          <w:szCs w:val="28"/>
          <w:highlight w:val="none"/>
        </w:rPr>
      </w:pPr>
      <w:r>
        <w:rPr>
          <w:rFonts w:hint="eastAsia"/>
          <w:b/>
          <w:kern w:val="0"/>
          <w:sz w:val="28"/>
          <w:szCs w:val="28"/>
          <w:highlight w:val="none"/>
        </w:rPr>
        <w:t>技术参数要求</w:t>
      </w:r>
    </w:p>
    <w:p>
      <w:pPr>
        <w:spacing w:line="360" w:lineRule="auto"/>
        <w:ind w:right="-9" w:firstLine="480" w:firstLineChars="200"/>
        <w:rPr>
          <w:highlight w:val="none"/>
        </w:rPr>
      </w:pPr>
      <w:r>
        <w:rPr>
          <w:rFonts w:hint="eastAsia"/>
          <w:highlight w:val="none"/>
        </w:rPr>
        <w:t>技术参数要求和参考品牌以招标文件为准。</w:t>
      </w:r>
    </w:p>
    <w:p>
      <w:pPr>
        <w:spacing w:line="360" w:lineRule="auto"/>
        <w:ind w:right="-9" w:firstLine="480" w:firstLineChars="200"/>
        <w:rPr>
          <w:highlight w:val="none"/>
        </w:rPr>
      </w:pPr>
      <w:r>
        <w:rPr>
          <w:rFonts w:hint="eastAsia"/>
          <w:kern w:val="0"/>
          <w:szCs w:val="24"/>
          <w:highlight w:val="none"/>
        </w:rPr>
        <w:t>所有的布线产品（模块、面板、配线架、双绞线缆、水晶头、铜缆跳线、光缆、光纤跳线、光纤配线架等）都选用同一品牌的原厂产品。</w:t>
      </w:r>
    </w:p>
    <w:p>
      <w:pPr>
        <w:spacing w:line="360" w:lineRule="auto"/>
        <w:ind w:right="-9" w:firstLine="480" w:firstLineChars="200"/>
        <w:rPr>
          <w:highlight w:val="none"/>
        </w:rPr>
      </w:pPr>
      <w:r>
        <w:rPr>
          <w:rFonts w:hint="eastAsia"/>
          <w:kern w:val="0"/>
          <w:szCs w:val="24"/>
          <w:highlight w:val="none"/>
        </w:rPr>
        <w:t>所用产品必须具有工信部（原国家信息产业部）通信产品质量监督检验中心单个产品的检验及链路测试报告，需提供相关报告复印件，并提供原厂供货证明。</w:t>
      </w:r>
    </w:p>
    <w:p>
      <w:pPr>
        <w:spacing w:line="360" w:lineRule="auto"/>
        <w:rPr>
          <w:highlight w:val="none"/>
        </w:rPr>
      </w:pPr>
    </w:p>
    <w:p>
      <w:pPr>
        <w:pStyle w:val="35"/>
        <w:ind w:left="397" w:firstLine="0"/>
        <w:jc w:val="right"/>
        <w:rPr>
          <w:highlight w:val="none"/>
        </w:rPr>
      </w:pPr>
      <w:r>
        <w:rPr>
          <w:rFonts w:hint="eastAsia"/>
          <w:highlight w:val="none"/>
        </w:rPr>
        <w:t>中山大学附属第一医院</w:t>
      </w:r>
    </w:p>
    <w:p>
      <w:pPr>
        <w:pStyle w:val="35"/>
        <w:ind w:left="397" w:firstLine="0"/>
        <w:jc w:val="right"/>
        <w:rPr>
          <w:rFonts w:ascii="宋体" w:hAnsi="宋体"/>
          <w:highlight w:val="none"/>
        </w:rPr>
      </w:pPr>
      <w:r>
        <w:rPr>
          <w:rFonts w:hint="eastAsia"/>
          <w:highlight w:val="none"/>
        </w:rPr>
        <w:t>信息数据中心</w:t>
      </w:r>
    </w:p>
    <w:p>
      <w:pPr>
        <w:pStyle w:val="35"/>
        <w:ind w:left="397" w:firstLine="0"/>
        <w:jc w:val="right"/>
        <w:rPr>
          <w:highlight w:val="none"/>
        </w:rPr>
      </w:pPr>
      <w:r>
        <w:rPr>
          <w:rFonts w:hint="eastAsia"/>
          <w:highlight w:val="none"/>
        </w:rPr>
        <w:t>20</w:t>
      </w:r>
      <w:r>
        <w:rPr>
          <w:highlight w:val="none"/>
        </w:rPr>
        <w:t>22</w:t>
      </w:r>
      <w:r>
        <w:rPr>
          <w:rFonts w:hint="eastAsia"/>
          <w:highlight w:val="none"/>
        </w:rPr>
        <w:t>年</w:t>
      </w:r>
      <w:r>
        <w:rPr>
          <w:highlight w:val="none"/>
        </w:rPr>
        <w:t>4</w:t>
      </w:r>
      <w:r>
        <w:rPr>
          <w:rFonts w:hint="eastAsia"/>
          <w:highlight w:val="none"/>
        </w:rPr>
        <w:t>月</w:t>
      </w:r>
      <w:r>
        <w:rPr>
          <w:highlight w:val="none"/>
        </w:rPr>
        <w:t>20</w:t>
      </w:r>
      <w:r>
        <w:rPr>
          <w:rFonts w:hint="eastAsia"/>
          <w:highlight w:val="none"/>
        </w:rPr>
        <w:t>日</w:t>
      </w:r>
    </w:p>
    <w:p>
      <w:pPr>
        <w:rPr>
          <w:b/>
          <w:color w:val="auto"/>
          <w:sz w:val="30"/>
          <w:szCs w:val="30"/>
          <w:highlight w:val="none"/>
        </w:rPr>
      </w:pPr>
      <w:r>
        <w:rPr>
          <w:rFonts w:hint="eastAsia"/>
          <w:b/>
          <w:color w:val="auto"/>
          <w:sz w:val="30"/>
          <w:szCs w:val="30"/>
          <w:highlight w:val="none"/>
        </w:rPr>
        <w:br w:type="page"/>
      </w:r>
    </w:p>
    <w:p>
      <w:pPr>
        <w:pStyle w:val="2"/>
        <w:tabs>
          <w:tab w:val="center" w:pos="2141"/>
        </w:tabs>
        <w:spacing w:after="0" w:line="360" w:lineRule="auto"/>
        <w:ind w:left="0" w:right="0" w:firstLine="0"/>
        <w:rPr>
          <w:b/>
          <w:color w:val="auto"/>
          <w:sz w:val="30"/>
          <w:szCs w:val="30"/>
          <w:highlight w:val="none"/>
        </w:rPr>
      </w:pPr>
      <w:bookmarkStart w:id="327" w:name="_Toc10861"/>
      <w:bookmarkStart w:id="328" w:name="_Toc2505"/>
      <w:bookmarkStart w:id="329" w:name="_Toc31543"/>
      <w:bookmarkStart w:id="330" w:name="_Toc25234"/>
      <w:bookmarkStart w:id="331" w:name="_Toc26790"/>
      <w:bookmarkStart w:id="332" w:name="_Toc18007"/>
      <w:bookmarkStart w:id="333" w:name="_Toc5208"/>
      <w:bookmarkStart w:id="334" w:name="_Toc16252"/>
      <w:bookmarkStart w:id="335" w:name="_Toc561"/>
      <w:bookmarkStart w:id="336" w:name="_Toc3009"/>
      <w:bookmarkStart w:id="337" w:name="_Toc31446"/>
      <w:bookmarkStart w:id="338" w:name="_Toc997"/>
      <w:bookmarkStart w:id="339" w:name="_Toc5775"/>
      <w:r>
        <w:rPr>
          <w:rFonts w:hint="eastAsia"/>
          <w:b/>
          <w:color w:val="auto"/>
          <w:sz w:val="30"/>
          <w:szCs w:val="30"/>
          <w:highlight w:val="none"/>
        </w:rPr>
        <w:t>附件3：中山大学附属第一医院应用系统安全评审指南</w:t>
      </w:r>
      <w:bookmarkEnd w:id="323"/>
      <w:bookmarkEnd w:id="327"/>
      <w:bookmarkEnd w:id="328"/>
      <w:bookmarkEnd w:id="329"/>
      <w:bookmarkEnd w:id="330"/>
      <w:bookmarkEnd w:id="331"/>
      <w:bookmarkEnd w:id="332"/>
      <w:bookmarkEnd w:id="333"/>
      <w:bookmarkEnd w:id="334"/>
      <w:bookmarkEnd w:id="335"/>
      <w:bookmarkEnd w:id="336"/>
      <w:bookmarkEnd w:id="337"/>
      <w:bookmarkEnd w:id="338"/>
      <w:bookmarkEnd w:id="339"/>
    </w:p>
    <w:p>
      <w:pPr>
        <w:jc w:val="center"/>
        <w:rPr>
          <w:rFonts w:ascii="仿宋" w:hAnsi="仿宋" w:eastAsia="仿宋"/>
          <w:b/>
          <w:sz w:val="72"/>
          <w:szCs w:val="72"/>
          <w:highlight w:val="none"/>
        </w:rPr>
      </w:pPr>
      <w:bookmarkStart w:id="340" w:name="_Toc145903886"/>
      <w:bookmarkStart w:id="341" w:name="_Toc486527073"/>
      <w:bookmarkStart w:id="342" w:name="_Toc486524372"/>
    </w:p>
    <w:p>
      <w:pPr>
        <w:jc w:val="center"/>
        <w:rPr>
          <w:rFonts w:ascii="仿宋" w:hAnsi="仿宋" w:eastAsia="仿宋"/>
          <w:b/>
          <w:sz w:val="72"/>
          <w:szCs w:val="72"/>
          <w:highlight w:val="none"/>
        </w:rPr>
      </w:pPr>
    </w:p>
    <w:p>
      <w:pPr>
        <w:jc w:val="center"/>
        <w:rPr>
          <w:rFonts w:ascii="仿宋" w:hAnsi="仿宋" w:eastAsia="仿宋"/>
          <w:b/>
          <w:sz w:val="52"/>
          <w:szCs w:val="52"/>
          <w:highlight w:val="none"/>
        </w:rPr>
      </w:pPr>
      <w:r>
        <w:rPr>
          <w:rFonts w:ascii="仿宋" w:hAnsi="仿宋" w:eastAsia="仿宋"/>
          <w:b/>
          <w:sz w:val="52"/>
          <w:szCs w:val="52"/>
          <w:highlight w:val="none"/>
        </w:rPr>
        <w:t>中山大学附属第一医院</w:t>
      </w:r>
    </w:p>
    <w:p>
      <w:pPr>
        <w:spacing w:line="360" w:lineRule="auto"/>
        <w:jc w:val="center"/>
        <w:rPr>
          <w:rFonts w:ascii="仿宋" w:hAnsi="仿宋" w:eastAsia="仿宋"/>
          <w:b/>
          <w:sz w:val="40"/>
          <w:szCs w:val="40"/>
          <w:highlight w:val="none"/>
        </w:rPr>
      </w:pPr>
      <w:r>
        <w:rPr>
          <w:rFonts w:hint="eastAsia" w:ascii="仿宋" w:hAnsi="仿宋" w:eastAsia="仿宋"/>
          <w:b/>
          <w:sz w:val="40"/>
          <w:szCs w:val="40"/>
          <w:highlight w:val="none"/>
        </w:rPr>
        <w:t>应用系统安全评审指南</w:t>
      </w:r>
    </w:p>
    <w:p>
      <w:pPr>
        <w:spacing w:after="120" w:afterLines="50"/>
        <w:rPr>
          <w:rFonts w:ascii="仿宋" w:hAnsi="仿宋" w:eastAsia="仿宋"/>
          <w:b/>
          <w:sz w:val="32"/>
          <w:szCs w:val="21"/>
          <w:highlight w:val="none"/>
        </w:rPr>
      </w:pPr>
      <w:r>
        <w:rPr>
          <w:rFonts w:ascii="仿宋" w:hAnsi="仿宋" w:eastAsia="仿宋"/>
          <w:b/>
          <w:sz w:val="32"/>
          <w:highlight w:val="none"/>
        </w:rPr>
        <w:br w:type="page"/>
      </w:r>
      <w:r>
        <w:rPr>
          <w:rFonts w:hint="eastAsia" w:ascii="仿宋" w:hAnsi="仿宋" w:eastAsia="仿宋"/>
          <w:b/>
          <w:sz w:val="32"/>
          <w:szCs w:val="21"/>
          <w:highlight w:val="none"/>
        </w:rPr>
        <w:t>文档信息</w:t>
      </w:r>
    </w:p>
    <w:tbl>
      <w:tblPr>
        <w:tblStyle w:val="1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840"/>
        <w:gridCol w:w="2841"/>
        <w:gridCol w:w="284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trPr>
        <w:tc>
          <w:tcPr>
            <w:tcW w:w="2840" w:type="dxa"/>
          </w:tcPr>
          <w:p>
            <w:pPr>
              <w:ind w:right="-16"/>
              <w:rPr>
                <w:rFonts w:ascii="仿宋" w:hAnsi="仿宋" w:eastAsia="仿宋"/>
                <w:sz w:val="18"/>
                <w:szCs w:val="18"/>
                <w:highlight w:val="none"/>
              </w:rPr>
            </w:pPr>
            <w:bookmarkStart w:id="343" w:name="_Toc317164060"/>
            <w:r>
              <w:rPr>
                <w:rFonts w:hint="eastAsia" w:ascii="仿宋" w:hAnsi="仿宋" w:eastAsia="仿宋"/>
                <w:sz w:val="18"/>
                <w:szCs w:val="18"/>
                <w:highlight w:val="none"/>
              </w:rPr>
              <w:t>制度编号:</w:t>
            </w:r>
            <w:bookmarkEnd w:id="343"/>
            <w:r>
              <w:rPr>
                <w:rFonts w:hint="eastAsia" w:ascii="仿宋" w:hAnsi="仿宋" w:eastAsia="仿宋"/>
                <w:sz w:val="18"/>
                <w:szCs w:val="18"/>
                <w:highlight w:val="none"/>
              </w:rPr>
              <w:t>zsyy**-*</w:t>
            </w:r>
          </w:p>
        </w:tc>
        <w:tc>
          <w:tcPr>
            <w:tcW w:w="2841" w:type="dxa"/>
          </w:tcPr>
          <w:p>
            <w:pPr>
              <w:rPr>
                <w:rFonts w:ascii="仿宋" w:hAnsi="仿宋" w:eastAsia="仿宋"/>
                <w:sz w:val="18"/>
                <w:szCs w:val="18"/>
                <w:highlight w:val="none"/>
              </w:rPr>
            </w:pPr>
            <w:bookmarkStart w:id="344" w:name="_Toc317164061"/>
            <w:r>
              <w:rPr>
                <w:rFonts w:hint="eastAsia" w:ascii="仿宋" w:hAnsi="仿宋" w:eastAsia="仿宋"/>
                <w:sz w:val="18"/>
                <w:szCs w:val="18"/>
                <w:highlight w:val="none"/>
              </w:rPr>
              <w:t>生效日期:</w:t>
            </w:r>
            <w:bookmarkEnd w:id="344"/>
          </w:p>
        </w:tc>
        <w:tc>
          <w:tcPr>
            <w:tcW w:w="2841" w:type="dxa"/>
          </w:tcPr>
          <w:p>
            <w:pPr>
              <w:ind w:right="-15"/>
              <w:rPr>
                <w:rFonts w:ascii="仿宋" w:hAnsi="仿宋" w:eastAsia="仿宋"/>
                <w:sz w:val="18"/>
                <w:szCs w:val="18"/>
                <w:highlight w:val="none"/>
              </w:rPr>
            </w:pPr>
            <w:bookmarkStart w:id="345" w:name="_Toc317164062"/>
            <w:r>
              <w:rPr>
                <w:rFonts w:hint="eastAsia" w:ascii="仿宋" w:hAnsi="仿宋" w:eastAsia="仿宋"/>
                <w:sz w:val="18"/>
                <w:szCs w:val="18"/>
                <w:highlight w:val="none"/>
              </w:rPr>
              <w:t>分发范围:</w:t>
            </w:r>
            <w:bookmarkEnd w:id="345"/>
            <w:r>
              <w:rPr>
                <w:rFonts w:hint="eastAsia" w:ascii="仿宋" w:hAnsi="仿宋" w:eastAsia="仿宋"/>
                <w:sz w:val="18"/>
                <w:szCs w:val="18"/>
                <w:highlight w:val="none"/>
              </w:rPr>
              <w:t>信息数据中心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0" w:type="dxa"/>
          </w:tcPr>
          <w:p>
            <w:pPr>
              <w:ind w:right="-16"/>
              <w:rPr>
                <w:rFonts w:ascii="仿宋" w:hAnsi="仿宋" w:eastAsia="仿宋"/>
                <w:sz w:val="18"/>
                <w:szCs w:val="18"/>
                <w:highlight w:val="none"/>
              </w:rPr>
            </w:pPr>
            <w:bookmarkStart w:id="346" w:name="_Toc317164063"/>
            <w:r>
              <w:rPr>
                <w:rFonts w:hint="eastAsia" w:ascii="仿宋" w:hAnsi="仿宋" w:eastAsia="仿宋"/>
                <w:sz w:val="18"/>
                <w:szCs w:val="18"/>
                <w:highlight w:val="none"/>
              </w:rPr>
              <w:t>解释部门:</w:t>
            </w:r>
            <w:bookmarkEnd w:id="346"/>
            <w:r>
              <w:rPr>
                <w:rFonts w:hint="eastAsia" w:ascii="仿宋" w:hAnsi="仿宋" w:eastAsia="仿宋"/>
                <w:sz w:val="18"/>
                <w:szCs w:val="18"/>
                <w:highlight w:val="none"/>
              </w:rPr>
              <w:t xml:space="preserve"> 信息数据中心</w:t>
            </w:r>
          </w:p>
        </w:tc>
        <w:tc>
          <w:tcPr>
            <w:tcW w:w="2841" w:type="dxa"/>
          </w:tcPr>
          <w:p>
            <w:pPr>
              <w:rPr>
                <w:rFonts w:ascii="仿宋" w:hAnsi="仿宋" w:eastAsia="仿宋"/>
                <w:sz w:val="18"/>
                <w:szCs w:val="18"/>
                <w:highlight w:val="none"/>
              </w:rPr>
            </w:pPr>
            <w:bookmarkStart w:id="347" w:name="_Toc317164064"/>
            <w:r>
              <w:rPr>
                <w:rFonts w:hint="eastAsia" w:ascii="仿宋" w:hAnsi="仿宋" w:eastAsia="仿宋"/>
                <w:sz w:val="18"/>
                <w:szCs w:val="18"/>
                <w:highlight w:val="none"/>
              </w:rPr>
              <w:t>版次:</w:t>
            </w:r>
            <w:bookmarkEnd w:id="347"/>
            <w:r>
              <w:rPr>
                <w:rFonts w:hint="eastAsia" w:ascii="仿宋" w:hAnsi="仿宋" w:eastAsia="仿宋"/>
                <w:sz w:val="18"/>
                <w:szCs w:val="18"/>
                <w:highlight w:val="none"/>
              </w:rPr>
              <w:t>1.</w:t>
            </w:r>
            <w:r>
              <w:rPr>
                <w:rFonts w:ascii="仿宋" w:hAnsi="仿宋" w:eastAsia="仿宋"/>
                <w:sz w:val="18"/>
                <w:szCs w:val="18"/>
                <w:highlight w:val="none"/>
              </w:rPr>
              <w:t>0</w:t>
            </w:r>
          </w:p>
        </w:tc>
        <w:tc>
          <w:tcPr>
            <w:tcW w:w="2841" w:type="dxa"/>
          </w:tcPr>
          <w:p>
            <w:pPr>
              <w:rPr>
                <w:rFonts w:ascii="仿宋" w:hAnsi="仿宋" w:eastAsia="仿宋"/>
                <w:sz w:val="18"/>
                <w:szCs w:val="18"/>
                <w:highlight w:val="none"/>
              </w:rPr>
            </w:pPr>
            <w:bookmarkStart w:id="348" w:name="_Toc317164065"/>
            <w:r>
              <w:rPr>
                <w:rFonts w:hint="eastAsia" w:ascii="仿宋" w:hAnsi="仿宋" w:eastAsia="仿宋"/>
                <w:sz w:val="18"/>
                <w:szCs w:val="18"/>
                <w:highlight w:val="none"/>
              </w:rPr>
              <w:t>页数:</w:t>
            </w:r>
            <w:bookmarkEnd w:id="348"/>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0" w:type="dxa"/>
          </w:tcPr>
          <w:p>
            <w:pPr>
              <w:rPr>
                <w:rFonts w:ascii="仿宋" w:hAnsi="仿宋" w:eastAsia="仿宋"/>
                <w:sz w:val="18"/>
                <w:szCs w:val="18"/>
                <w:highlight w:val="none"/>
              </w:rPr>
            </w:pPr>
            <w:r>
              <w:rPr>
                <w:rFonts w:hint="eastAsia" w:ascii="仿宋" w:hAnsi="仿宋" w:eastAsia="仿宋"/>
                <w:sz w:val="18"/>
                <w:szCs w:val="18"/>
                <w:highlight w:val="none"/>
              </w:rPr>
              <w:t>制定人:</w:t>
            </w:r>
            <w:r>
              <w:rPr>
                <w:rFonts w:ascii="仿宋" w:hAnsi="仿宋" w:eastAsia="仿宋"/>
                <w:sz w:val="18"/>
                <w:szCs w:val="18"/>
                <w:highlight w:val="none"/>
              </w:rPr>
              <w:t xml:space="preserve"> </w:t>
            </w:r>
          </w:p>
        </w:tc>
        <w:tc>
          <w:tcPr>
            <w:tcW w:w="2841" w:type="dxa"/>
          </w:tcPr>
          <w:p>
            <w:pPr>
              <w:rPr>
                <w:rFonts w:ascii="仿宋" w:hAnsi="仿宋" w:eastAsia="仿宋"/>
                <w:sz w:val="18"/>
                <w:szCs w:val="18"/>
                <w:highlight w:val="none"/>
              </w:rPr>
            </w:pPr>
            <w:r>
              <w:rPr>
                <w:rFonts w:hint="eastAsia" w:ascii="仿宋" w:hAnsi="仿宋" w:eastAsia="仿宋"/>
                <w:sz w:val="18"/>
                <w:szCs w:val="18"/>
                <w:highlight w:val="none"/>
              </w:rPr>
              <w:t>审核人:</w:t>
            </w:r>
            <w:r>
              <w:rPr>
                <w:rFonts w:ascii="仿宋" w:hAnsi="仿宋" w:eastAsia="仿宋"/>
                <w:sz w:val="18"/>
                <w:szCs w:val="18"/>
                <w:highlight w:val="none"/>
              </w:rPr>
              <w:t xml:space="preserve"> </w:t>
            </w:r>
          </w:p>
        </w:tc>
        <w:tc>
          <w:tcPr>
            <w:tcW w:w="2841" w:type="dxa"/>
          </w:tcPr>
          <w:p>
            <w:pPr>
              <w:rPr>
                <w:rFonts w:ascii="仿宋" w:hAnsi="仿宋" w:eastAsia="仿宋"/>
                <w:sz w:val="18"/>
                <w:szCs w:val="18"/>
                <w:highlight w:val="none"/>
              </w:rPr>
            </w:pPr>
            <w:r>
              <w:rPr>
                <w:rFonts w:hint="eastAsia" w:ascii="仿宋" w:hAnsi="仿宋" w:eastAsia="仿宋"/>
                <w:sz w:val="18"/>
                <w:szCs w:val="18"/>
                <w:highlight w:val="none"/>
              </w:rPr>
              <w:t>批准人:</w:t>
            </w:r>
            <w:r>
              <w:rPr>
                <w:rFonts w:ascii="仿宋" w:hAnsi="仿宋" w:eastAsia="仿宋"/>
                <w:sz w:val="18"/>
                <w:szCs w:val="18"/>
                <w:highlight w:val="none"/>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gridSpan w:val="3"/>
          </w:tcPr>
          <w:p>
            <w:pPr>
              <w:rPr>
                <w:rFonts w:ascii="仿宋" w:hAnsi="仿宋" w:eastAsia="仿宋"/>
                <w:sz w:val="18"/>
                <w:szCs w:val="18"/>
                <w:highlight w:val="none"/>
              </w:rPr>
            </w:pPr>
            <w:r>
              <w:rPr>
                <w:rFonts w:hint="eastAsia" w:ascii="仿宋" w:hAnsi="仿宋" w:eastAsia="仿宋"/>
                <w:sz w:val="18"/>
                <w:szCs w:val="18"/>
                <w:highlight w:val="none"/>
              </w:rPr>
              <w:fldChar w:fldCharType="begin">
                <w:ffData>
                  <w:name w:val="Check1"/>
                  <w:enabled/>
                  <w:calcOnExit w:val="0"/>
                  <w:checkBox>
                    <w:sizeAuto/>
                    <w:default w:val="0"/>
                    <w:checked w:val="0"/>
                  </w:checkBox>
                </w:ffData>
              </w:fldChar>
            </w:r>
            <w:r>
              <w:rPr>
                <w:rFonts w:hint="eastAsia" w:ascii="仿宋" w:hAnsi="仿宋" w:eastAsia="仿宋"/>
                <w:sz w:val="18"/>
                <w:szCs w:val="18"/>
                <w:highlight w:val="none"/>
              </w:rPr>
              <w:instrText xml:space="preserve"> FORMCHECKBOX </w:instrText>
            </w:r>
            <w:r>
              <w:rPr>
                <w:rFonts w:ascii="仿宋" w:hAnsi="仿宋" w:eastAsia="仿宋"/>
                <w:sz w:val="18"/>
                <w:szCs w:val="18"/>
                <w:highlight w:val="none"/>
              </w:rPr>
              <w:fldChar w:fldCharType="separate"/>
            </w:r>
            <w:r>
              <w:rPr>
                <w:rFonts w:hint="eastAsia" w:ascii="仿宋" w:hAnsi="仿宋" w:eastAsia="仿宋"/>
                <w:sz w:val="18"/>
                <w:szCs w:val="18"/>
                <w:highlight w:val="none"/>
              </w:rPr>
              <w:fldChar w:fldCharType="end"/>
            </w:r>
            <w:r>
              <w:rPr>
                <w:rFonts w:hint="eastAsia" w:ascii="仿宋" w:hAnsi="仿宋" w:eastAsia="仿宋"/>
                <w:sz w:val="18"/>
                <w:szCs w:val="18"/>
                <w:highlight w:val="none"/>
              </w:rPr>
              <w:t xml:space="preserve">传阅        </w:t>
            </w:r>
            <w:r>
              <w:rPr>
                <w:rFonts w:hint="eastAsia" w:ascii="仿宋" w:hAnsi="仿宋" w:eastAsia="仿宋"/>
                <w:sz w:val="18"/>
                <w:szCs w:val="18"/>
                <w:highlight w:val="none"/>
              </w:rPr>
              <w:fldChar w:fldCharType="begin">
                <w:ffData>
                  <w:name w:val="Check2"/>
                  <w:enabled/>
                  <w:calcOnExit w:val="0"/>
                  <w:checkBox>
                    <w:sizeAuto/>
                    <w:default w:val="1"/>
                    <w:checked/>
                  </w:checkBox>
                </w:ffData>
              </w:fldChar>
            </w:r>
            <w:bookmarkStart w:id="349" w:name="Check2"/>
            <w:r>
              <w:rPr>
                <w:rFonts w:hint="eastAsia" w:ascii="仿宋" w:hAnsi="仿宋" w:eastAsia="仿宋"/>
                <w:sz w:val="18"/>
                <w:szCs w:val="18"/>
                <w:highlight w:val="none"/>
              </w:rPr>
              <w:instrText xml:space="preserve"> FORMCHECKBOX </w:instrText>
            </w:r>
            <w:r>
              <w:rPr>
                <w:rFonts w:ascii="仿宋" w:hAnsi="仿宋" w:eastAsia="仿宋"/>
                <w:sz w:val="18"/>
                <w:szCs w:val="18"/>
                <w:highlight w:val="none"/>
              </w:rPr>
              <w:fldChar w:fldCharType="separate"/>
            </w:r>
            <w:r>
              <w:rPr>
                <w:rFonts w:hint="eastAsia" w:ascii="仿宋" w:hAnsi="仿宋" w:eastAsia="仿宋"/>
                <w:sz w:val="18"/>
                <w:szCs w:val="18"/>
                <w:highlight w:val="none"/>
              </w:rPr>
              <w:fldChar w:fldCharType="end"/>
            </w:r>
            <w:bookmarkEnd w:id="349"/>
            <w:r>
              <w:rPr>
                <w:rFonts w:hint="eastAsia" w:ascii="仿宋" w:hAnsi="仿宋" w:eastAsia="仿宋"/>
                <w:sz w:val="18"/>
                <w:szCs w:val="18"/>
                <w:highlight w:val="none"/>
              </w:rPr>
              <w:t xml:space="preserve">阅后执行并存档       </w:t>
            </w:r>
            <w:r>
              <w:rPr>
                <w:rFonts w:hint="eastAsia" w:ascii="仿宋" w:hAnsi="仿宋" w:eastAsia="仿宋"/>
                <w:sz w:val="18"/>
                <w:szCs w:val="18"/>
                <w:highlight w:val="none"/>
              </w:rPr>
              <w:fldChar w:fldCharType="begin">
                <w:ffData>
                  <w:name w:val="Check2"/>
                  <w:enabled/>
                  <w:calcOnExit w:val="0"/>
                  <w:checkBox>
                    <w:sizeAuto/>
                    <w:default w:val="1"/>
                    <w:checked/>
                  </w:checkBox>
                </w:ffData>
              </w:fldChar>
            </w:r>
            <w:r>
              <w:rPr>
                <w:rFonts w:hint="eastAsia" w:ascii="仿宋" w:hAnsi="仿宋" w:eastAsia="仿宋"/>
                <w:sz w:val="18"/>
                <w:szCs w:val="18"/>
                <w:highlight w:val="none"/>
              </w:rPr>
              <w:instrText xml:space="preserve"> FORMCHECKBOX </w:instrText>
            </w:r>
            <w:r>
              <w:rPr>
                <w:rFonts w:ascii="仿宋" w:hAnsi="仿宋" w:eastAsia="仿宋"/>
                <w:sz w:val="18"/>
                <w:szCs w:val="18"/>
                <w:highlight w:val="none"/>
              </w:rPr>
              <w:fldChar w:fldCharType="separate"/>
            </w:r>
            <w:r>
              <w:rPr>
                <w:rFonts w:hint="eastAsia" w:ascii="仿宋" w:hAnsi="仿宋" w:eastAsia="仿宋"/>
                <w:sz w:val="18"/>
                <w:szCs w:val="18"/>
                <w:highlight w:val="none"/>
              </w:rPr>
              <w:fldChar w:fldCharType="end"/>
            </w:r>
            <w:r>
              <w:rPr>
                <w:rFonts w:hint="eastAsia" w:ascii="仿宋" w:hAnsi="仿宋" w:eastAsia="仿宋"/>
                <w:sz w:val="18"/>
                <w:szCs w:val="18"/>
                <w:highlight w:val="none"/>
              </w:rPr>
              <w:t>保密        保密等级   内部公开</w:t>
            </w:r>
          </w:p>
        </w:tc>
      </w:tr>
    </w:tbl>
    <w:p>
      <w:pPr>
        <w:spacing w:before="120" w:beforeLines="50" w:after="120" w:afterLines="50"/>
        <w:rPr>
          <w:rFonts w:ascii="仿宋" w:hAnsi="仿宋" w:eastAsia="仿宋"/>
          <w:b/>
          <w:sz w:val="32"/>
          <w:highlight w:val="none"/>
        </w:rPr>
      </w:pPr>
      <w:r>
        <w:rPr>
          <w:rFonts w:hint="eastAsia" w:ascii="仿宋" w:hAnsi="仿宋" w:eastAsia="仿宋"/>
          <w:b/>
          <w:sz w:val="32"/>
          <w:highlight w:val="none"/>
        </w:rPr>
        <w:t>版本记录</w:t>
      </w:r>
    </w:p>
    <w:tbl>
      <w:tblPr>
        <w:tblStyle w:val="18"/>
        <w:tblW w:w="4813"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0"/>
        <w:gridCol w:w="1910"/>
        <w:gridCol w:w="1944"/>
        <w:gridCol w:w="1610"/>
        <w:gridCol w:w="253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75" w:hRule="exact"/>
        </w:trPr>
        <w:tc>
          <w:tcPr>
            <w:tcW w:w="768" w:type="pct"/>
            <w:tcBorders>
              <w:top w:val="single" w:color="auto" w:sz="4" w:space="0"/>
              <w:left w:val="single" w:color="auto" w:sz="4" w:space="0"/>
              <w:bottom w:val="single" w:color="auto" w:sz="4" w:space="0"/>
              <w:right w:val="single" w:color="auto" w:sz="4" w:space="0"/>
            </w:tcBorders>
            <w:shd w:val="clear" w:color="auto" w:fill="F3F3F3"/>
            <w:vAlign w:val="center"/>
          </w:tcPr>
          <w:p>
            <w:pPr>
              <w:ind w:right="460"/>
              <w:rPr>
                <w:rFonts w:ascii="仿宋" w:hAnsi="仿宋" w:eastAsia="仿宋" w:cs="Arial"/>
                <w:sz w:val="18"/>
                <w:szCs w:val="18"/>
                <w:highlight w:val="none"/>
              </w:rPr>
            </w:pPr>
            <w:r>
              <w:rPr>
                <w:rFonts w:hint="eastAsia" w:ascii="仿宋" w:hAnsi="仿宋" w:eastAsia="仿宋" w:cs="Arial"/>
                <w:sz w:val="18"/>
                <w:szCs w:val="18"/>
                <w:highlight w:val="none"/>
              </w:rPr>
              <w:t>版本号</w:t>
            </w:r>
          </w:p>
        </w:tc>
        <w:tc>
          <w:tcPr>
            <w:tcW w:w="1010" w:type="pct"/>
            <w:tcBorders>
              <w:top w:val="single" w:color="auto" w:sz="4" w:space="0"/>
              <w:left w:val="single" w:color="auto" w:sz="4" w:space="0"/>
              <w:bottom w:val="single" w:color="auto" w:sz="4" w:space="0"/>
              <w:right w:val="single" w:color="auto" w:sz="4" w:space="0"/>
            </w:tcBorders>
            <w:shd w:val="clear" w:color="auto" w:fill="F3F3F3"/>
            <w:vAlign w:val="center"/>
          </w:tcPr>
          <w:p>
            <w:pPr>
              <w:ind w:right="82"/>
              <w:rPr>
                <w:rFonts w:ascii="仿宋" w:hAnsi="仿宋" w:eastAsia="仿宋" w:cs="Arial"/>
                <w:sz w:val="18"/>
                <w:szCs w:val="18"/>
                <w:highlight w:val="none"/>
              </w:rPr>
            </w:pPr>
            <w:r>
              <w:rPr>
                <w:rFonts w:hint="eastAsia" w:ascii="仿宋" w:hAnsi="仿宋" w:eastAsia="仿宋" w:cs="Arial"/>
                <w:sz w:val="18"/>
                <w:szCs w:val="18"/>
                <w:highlight w:val="none"/>
              </w:rPr>
              <w:t>版本日期</w:t>
            </w:r>
          </w:p>
        </w:tc>
        <w:tc>
          <w:tcPr>
            <w:tcW w:w="1028" w:type="pct"/>
            <w:tcBorders>
              <w:top w:val="single" w:color="auto" w:sz="4" w:space="0"/>
              <w:left w:val="single" w:color="auto" w:sz="4" w:space="0"/>
              <w:bottom w:val="single" w:color="auto" w:sz="4" w:space="0"/>
              <w:right w:val="single" w:color="auto" w:sz="4" w:space="0"/>
            </w:tcBorders>
            <w:shd w:val="clear" w:color="auto" w:fill="F3F3F3"/>
            <w:vAlign w:val="center"/>
          </w:tcPr>
          <w:p>
            <w:pPr>
              <w:ind w:right="521"/>
              <w:rPr>
                <w:rFonts w:ascii="仿宋" w:hAnsi="仿宋" w:eastAsia="仿宋" w:cs="Arial"/>
                <w:sz w:val="18"/>
                <w:szCs w:val="18"/>
                <w:highlight w:val="none"/>
              </w:rPr>
            </w:pPr>
            <w:r>
              <w:rPr>
                <w:rFonts w:hint="eastAsia" w:ascii="仿宋" w:hAnsi="仿宋" w:eastAsia="仿宋" w:cs="Arial"/>
                <w:sz w:val="18"/>
                <w:szCs w:val="18"/>
                <w:highlight w:val="none"/>
              </w:rPr>
              <w:t>修改者</w:t>
            </w:r>
          </w:p>
        </w:tc>
        <w:tc>
          <w:tcPr>
            <w:tcW w:w="851" w:type="pct"/>
            <w:tcBorders>
              <w:top w:val="single" w:color="auto" w:sz="4" w:space="0"/>
              <w:left w:val="single" w:color="auto" w:sz="4" w:space="0"/>
              <w:bottom w:val="single" w:color="auto" w:sz="4" w:space="0"/>
              <w:right w:val="single" w:color="auto" w:sz="4" w:space="0"/>
            </w:tcBorders>
            <w:shd w:val="clear" w:color="auto" w:fill="F3F3F3"/>
            <w:vAlign w:val="center"/>
          </w:tcPr>
          <w:p>
            <w:pPr>
              <w:ind w:right="429"/>
              <w:rPr>
                <w:rFonts w:ascii="仿宋" w:hAnsi="仿宋" w:eastAsia="仿宋" w:cs="Arial"/>
                <w:sz w:val="18"/>
                <w:szCs w:val="18"/>
                <w:highlight w:val="none"/>
              </w:rPr>
            </w:pPr>
            <w:r>
              <w:rPr>
                <w:rFonts w:hint="eastAsia" w:ascii="仿宋" w:hAnsi="仿宋" w:eastAsia="仿宋" w:cs="Arial"/>
                <w:sz w:val="18"/>
                <w:szCs w:val="18"/>
                <w:highlight w:val="none"/>
              </w:rPr>
              <w:t>说</w:t>
            </w:r>
            <w:r>
              <w:rPr>
                <w:rFonts w:ascii="仿宋" w:hAnsi="仿宋" w:eastAsia="仿宋" w:cs="Arial"/>
                <w:sz w:val="18"/>
                <w:szCs w:val="18"/>
                <w:highlight w:val="none"/>
              </w:rPr>
              <w:t xml:space="preserve"> </w:t>
            </w:r>
            <w:r>
              <w:rPr>
                <w:rFonts w:hint="eastAsia" w:ascii="仿宋" w:hAnsi="仿宋" w:eastAsia="仿宋" w:cs="Arial"/>
                <w:sz w:val="18"/>
                <w:szCs w:val="18"/>
                <w:highlight w:val="none"/>
              </w:rPr>
              <w:t>明</w:t>
            </w:r>
          </w:p>
        </w:tc>
        <w:tc>
          <w:tcPr>
            <w:tcW w:w="1340" w:type="pct"/>
            <w:tcBorders>
              <w:top w:val="single" w:color="auto" w:sz="4" w:space="0"/>
              <w:left w:val="single" w:color="auto" w:sz="4" w:space="0"/>
              <w:bottom w:val="single" w:color="auto" w:sz="4" w:space="0"/>
              <w:right w:val="single" w:color="auto" w:sz="4" w:space="0"/>
            </w:tcBorders>
            <w:shd w:val="clear" w:color="auto" w:fill="F3F3F3"/>
            <w:vAlign w:val="center"/>
          </w:tcPr>
          <w:p>
            <w:pPr>
              <w:ind w:right="204"/>
              <w:rPr>
                <w:rFonts w:ascii="仿宋" w:hAnsi="仿宋" w:eastAsia="仿宋" w:cs="Arial"/>
                <w:sz w:val="18"/>
                <w:szCs w:val="18"/>
                <w:highlight w:val="none"/>
              </w:rPr>
            </w:pPr>
            <w:r>
              <w:rPr>
                <w:rFonts w:hint="eastAsia" w:ascii="仿宋" w:hAnsi="仿宋" w:eastAsia="仿宋" w:cs="Arial"/>
                <w:sz w:val="18"/>
                <w:szCs w:val="18"/>
                <w:highlight w:val="none"/>
              </w:rPr>
              <w:t>文件名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7" w:hRule="exact"/>
        </w:trPr>
        <w:tc>
          <w:tcPr>
            <w:tcW w:w="768" w:type="pct"/>
            <w:tcBorders>
              <w:top w:val="single" w:color="auto" w:sz="4" w:space="0"/>
              <w:left w:val="single" w:color="auto" w:sz="4" w:space="0"/>
              <w:bottom w:val="single" w:color="auto" w:sz="4" w:space="0"/>
              <w:right w:val="single" w:color="auto" w:sz="4" w:space="0"/>
            </w:tcBorders>
            <w:vAlign w:val="center"/>
          </w:tcPr>
          <w:p>
            <w:pPr>
              <w:ind w:right="325"/>
              <w:rPr>
                <w:rFonts w:ascii="仿宋" w:hAnsi="仿宋" w:eastAsia="仿宋" w:cs="Arial"/>
                <w:sz w:val="18"/>
                <w:szCs w:val="18"/>
                <w:highlight w:val="none"/>
              </w:rPr>
            </w:pPr>
            <w:r>
              <w:rPr>
                <w:rFonts w:ascii="仿宋" w:hAnsi="仿宋" w:eastAsia="仿宋" w:cs="Arial"/>
                <w:sz w:val="18"/>
                <w:szCs w:val="18"/>
                <w:highlight w:val="none"/>
              </w:rPr>
              <w:t>1.0</w:t>
            </w:r>
          </w:p>
        </w:tc>
        <w:tc>
          <w:tcPr>
            <w:tcW w:w="1010" w:type="pct"/>
            <w:tcBorders>
              <w:top w:val="single" w:color="auto" w:sz="4" w:space="0"/>
              <w:left w:val="single" w:color="auto" w:sz="4" w:space="0"/>
              <w:bottom w:val="single" w:color="auto" w:sz="4" w:space="0"/>
              <w:right w:val="single" w:color="auto" w:sz="4" w:space="0"/>
            </w:tcBorders>
            <w:vAlign w:val="center"/>
          </w:tcPr>
          <w:p>
            <w:pPr>
              <w:ind w:right="322"/>
              <w:rPr>
                <w:rFonts w:ascii="仿宋" w:hAnsi="仿宋" w:eastAsia="仿宋" w:cs="Arial"/>
                <w:sz w:val="18"/>
                <w:szCs w:val="18"/>
                <w:highlight w:val="none"/>
              </w:rPr>
            </w:pPr>
            <w:r>
              <w:rPr>
                <w:rFonts w:hint="eastAsia" w:ascii="仿宋" w:hAnsi="仿宋" w:eastAsia="仿宋" w:cs="Arial"/>
                <w:sz w:val="18"/>
                <w:szCs w:val="18"/>
                <w:highlight w:val="none"/>
              </w:rPr>
              <w:t>2</w:t>
            </w:r>
            <w:r>
              <w:rPr>
                <w:rFonts w:ascii="仿宋" w:hAnsi="仿宋" w:eastAsia="仿宋" w:cs="Arial"/>
                <w:sz w:val="18"/>
                <w:szCs w:val="18"/>
                <w:highlight w:val="none"/>
              </w:rPr>
              <w:t>0220217</w:t>
            </w:r>
          </w:p>
        </w:tc>
        <w:tc>
          <w:tcPr>
            <w:tcW w:w="1028" w:type="pct"/>
            <w:tcBorders>
              <w:top w:val="single" w:color="auto" w:sz="4" w:space="0"/>
              <w:left w:val="single" w:color="auto" w:sz="4" w:space="0"/>
              <w:bottom w:val="single" w:color="auto" w:sz="4" w:space="0"/>
              <w:right w:val="single" w:color="auto" w:sz="4" w:space="0"/>
            </w:tcBorders>
            <w:vAlign w:val="center"/>
          </w:tcPr>
          <w:p>
            <w:pPr>
              <w:rPr>
                <w:rFonts w:ascii="仿宋" w:hAnsi="仿宋" w:eastAsia="仿宋" w:cs="Arial"/>
                <w:sz w:val="18"/>
                <w:szCs w:val="18"/>
                <w:highlight w:val="none"/>
              </w:rPr>
            </w:pPr>
          </w:p>
        </w:tc>
        <w:tc>
          <w:tcPr>
            <w:tcW w:w="851" w:type="pct"/>
            <w:tcBorders>
              <w:top w:val="single" w:color="auto" w:sz="4" w:space="0"/>
              <w:left w:val="single" w:color="auto" w:sz="4" w:space="0"/>
              <w:bottom w:val="single" w:color="auto" w:sz="4" w:space="0"/>
              <w:right w:val="single" w:color="auto" w:sz="4" w:space="0"/>
            </w:tcBorders>
            <w:vAlign w:val="center"/>
          </w:tcPr>
          <w:p>
            <w:pPr>
              <w:rPr>
                <w:rFonts w:ascii="仿宋" w:hAnsi="仿宋" w:eastAsia="仿宋" w:cs="Arial"/>
                <w:sz w:val="18"/>
                <w:szCs w:val="18"/>
                <w:highlight w:val="none"/>
              </w:rPr>
            </w:pPr>
          </w:p>
        </w:tc>
        <w:tc>
          <w:tcPr>
            <w:tcW w:w="1340" w:type="pct"/>
            <w:tcBorders>
              <w:top w:val="single" w:color="auto" w:sz="4" w:space="0"/>
              <w:left w:val="single" w:color="auto" w:sz="4" w:space="0"/>
              <w:bottom w:val="single" w:color="auto" w:sz="4" w:space="0"/>
              <w:right w:val="single" w:color="auto" w:sz="4" w:space="0"/>
            </w:tcBorders>
            <w:vAlign w:val="center"/>
          </w:tcPr>
          <w:p>
            <w:pPr>
              <w:ind w:right="187"/>
              <w:rPr>
                <w:rFonts w:ascii="仿宋" w:hAnsi="仿宋" w:eastAsia="仿宋"/>
                <w:sz w:val="18"/>
                <w:szCs w:val="18"/>
                <w:highlight w:val="none"/>
              </w:rPr>
            </w:pPr>
            <w:r>
              <w:rPr>
                <w:rFonts w:hint="eastAsia" w:ascii="仿宋" w:hAnsi="仿宋" w:eastAsia="仿宋"/>
                <w:sz w:val="18"/>
                <w:szCs w:val="18"/>
                <w:highlight w:val="none"/>
              </w:rPr>
              <w:t>应用系统安全评审指南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40" w:hRule="exact"/>
        </w:trPr>
        <w:tc>
          <w:tcPr>
            <w:tcW w:w="768" w:type="pct"/>
            <w:tcBorders>
              <w:top w:val="single" w:color="auto" w:sz="4" w:space="0"/>
              <w:left w:val="single" w:color="auto" w:sz="4" w:space="0"/>
              <w:bottom w:val="single" w:color="auto" w:sz="4" w:space="0"/>
              <w:right w:val="single" w:color="auto" w:sz="4" w:space="0"/>
            </w:tcBorders>
            <w:vAlign w:val="center"/>
          </w:tcPr>
          <w:p>
            <w:pPr>
              <w:rPr>
                <w:rFonts w:ascii="仿宋" w:hAnsi="仿宋" w:eastAsia="仿宋" w:cs="Arial"/>
                <w:sz w:val="18"/>
                <w:szCs w:val="18"/>
                <w:highlight w:val="none"/>
              </w:rPr>
            </w:pPr>
          </w:p>
        </w:tc>
        <w:tc>
          <w:tcPr>
            <w:tcW w:w="1010" w:type="pct"/>
            <w:tcBorders>
              <w:top w:val="single" w:color="auto" w:sz="4" w:space="0"/>
              <w:left w:val="single" w:color="auto" w:sz="4" w:space="0"/>
              <w:bottom w:val="single" w:color="auto" w:sz="4" w:space="0"/>
              <w:right w:val="single" w:color="auto" w:sz="4" w:space="0"/>
            </w:tcBorders>
            <w:vAlign w:val="center"/>
          </w:tcPr>
          <w:p>
            <w:pPr>
              <w:rPr>
                <w:rFonts w:ascii="仿宋" w:hAnsi="仿宋" w:eastAsia="仿宋" w:cs="Arial"/>
                <w:sz w:val="18"/>
                <w:szCs w:val="18"/>
                <w:highlight w:val="none"/>
              </w:rPr>
            </w:pPr>
          </w:p>
        </w:tc>
        <w:tc>
          <w:tcPr>
            <w:tcW w:w="1028" w:type="pct"/>
            <w:tcBorders>
              <w:top w:val="single" w:color="auto" w:sz="4" w:space="0"/>
              <w:left w:val="single" w:color="auto" w:sz="4" w:space="0"/>
              <w:bottom w:val="single" w:color="auto" w:sz="4" w:space="0"/>
              <w:right w:val="single" w:color="auto" w:sz="4" w:space="0"/>
            </w:tcBorders>
            <w:vAlign w:val="center"/>
          </w:tcPr>
          <w:p>
            <w:pPr>
              <w:rPr>
                <w:rFonts w:ascii="仿宋" w:hAnsi="仿宋" w:eastAsia="仿宋" w:cs="Arial"/>
                <w:sz w:val="18"/>
                <w:szCs w:val="18"/>
                <w:highlight w:val="none"/>
              </w:rPr>
            </w:pPr>
          </w:p>
        </w:tc>
        <w:tc>
          <w:tcPr>
            <w:tcW w:w="851" w:type="pct"/>
            <w:tcBorders>
              <w:top w:val="single" w:color="auto" w:sz="4" w:space="0"/>
              <w:left w:val="single" w:color="auto" w:sz="4" w:space="0"/>
              <w:bottom w:val="single" w:color="auto" w:sz="4" w:space="0"/>
              <w:right w:val="single" w:color="auto" w:sz="4" w:space="0"/>
            </w:tcBorders>
            <w:vAlign w:val="center"/>
          </w:tcPr>
          <w:p>
            <w:pPr>
              <w:rPr>
                <w:rFonts w:ascii="仿宋" w:hAnsi="仿宋" w:eastAsia="仿宋" w:cs="Arial"/>
                <w:sz w:val="18"/>
                <w:szCs w:val="18"/>
                <w:highlight w:val="none"/>
              </w:rPr>
            </w:pPr>
          </w:p>
        </w:tc>
        <w:tc>
          <w:tcPr>
            <w:tcW w:w="1340" w:type="pct"/>
            <w:tcBorders>
              <w:top w:val="single" w:color="auto" w:sz="4" w:space="0"/>
              <w:left w:val="single" w:color="auto" w:sz="4" w:space="0"/>
              <w:bottom w:val="single" w:color="auto" w:sz="4" w:space="0"/>
              <w:right w:val="single" w:color="auto" w:sz="4" w:space="0"/>
            </w:tcBorders>
            <w:vAlign w:val="center"/>
          </w:tcPr>
          <w:p>
            <w:pPr>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rPr>
        <w:tc>
          <w:tcPr>
            <w:tcW w:w="768" w:type="pct"/>
            <w:tcBorders>
              <w:top w:val="single" w:color="auto" w:sz="4" w:space="0"/>
              <w:left w:val="single" w:color="auto" w:sz="4" w:space="0"/>
              <w:bottom w:val="single" w:color="auto" w:sz="4" w:space="0"/>
              <w:right w:val="single" w:color="auto" w:sz="4" w:space="0"/>
            </w:tcBorders>
            <w:vAlign w:val="center"/>
          </w:tcPr>
          <w:p>
            <w:pPr>
              <w:rPr>
                <w:rFonts w:ascii="仿宋" w:hAnsi="仿宋" w:eastAsia="仿宋" w:cs="Arial"/>
                <w:sz w:val="18"/>
                <w:szCs w:val="18"/>
                <w:highlight w:val="none"/>
              </w:rPr>
            </w:pPr>
          </w:p>
        </w:tc>
        <w:tc>
          <w:tcPr>
            <w:tcW w:w="1010" w:type="pct"/>
            <w:tcBorders>
              <w:top w:val="single" w:color="auto" w:sz="4" w:space="0"/>
              <w:left w:val="single" w:color="auto" w:sz="4" w:space="0"/>
              <w:bottom w:val="single" w:color="auto" w:sz="4" w:space="0"/>
              <w:right w:val="single" w:color="auto" w:sz="4" w:space="0"/>
            </w:tcBorders>
            <w:vAlign w:val="center"/>
          </w:tcPr>
          <w:p>
            <w:pPr>
              <w:rPr>
                <w:rFonts w:ascii="仿宋" w:hAnsi="仿宋" w:eastAsia="仿宋" w:cs="Arial"/>
                <w:sz w:val="18"/>
                <w:szCs w:val="18"/>
                <w:highlight w:val="none"/>
              </w:rPr>
            </w:pPr>
          </w:p>
        </w:tc>
        <w:tc>
          <w:tcPr>
            <w:tcW w:w="1028" w:type="pct"/>
            <w:tcBorders>
              <w:top w:val="single" w:color="auto" w:sz="4" w:space="0"/>
              <w:left w:val="single" w:color="auto" w:sz="4" w:space="0"/>
              <w:bottom w:val="single" w:color="auto" w:sz="4" w:space="0"/>
              <w:right w:val="single" w:color="auto" w:sz="4" w:space="0"/>
            </w:tcBorders>
            <w:vAlign w:val="center"/>
          </w:tcPr>
          <w:p>
            <w:pPr>
              <w:rPr>
                <w:rFonts w:ascii="仿宋" w:hAnsi="仿宋" w:eastAsia="仿宋" w:cs="Arial"/>
                <w:sz w:val="18"/>
                <w:szCs w:val="18"/>
                <w:highlight w:val="none"/>
              </w:rPr>
            </w:pPr>
          </w:p>
        </w:tc>
        <w:tc>
          <w:tcPr>
            <w:tcW w:w="851" w:type="pct"/>
            <w:tcBorders>
              <w:top w:val="single" w:color="auto" w:sz="4" w:space="0"/>
              <w:left w:val="single" w:color="auto" w:sz="4" w:space="0"/>
              <w:bottom w:val="single" w:color="auto" w:sz="4" w:space="0"/>
              <w:right w:val="single" w:color="auto" w:sz="4" w:space="0"/>
            </w:tcBorders>
            <w:vAlign w:val="center"/>
          </w:tcPr>
          <w:p>
            <w:pPr>
              <w:rPr>
                <w:rFonts w:ascii="仿宋" w:hAnsi="仿宋" w:eastAsia="仿宋" w:cs="Arial"/>
                <w:sz w:val="18"/>
                <w:szCs w:val="18"/>
                <w:highlight w:val="none"/>
              </w:rPr>
            </w:pPr>
          </w:p>
        </w:tc>
        <w:tc>
          <w:tcPr>
            <w:tcW w:w="1340" w:type="pct"/>
            <w:tcBorders>
              <w:top w:val="single" w:color="auto" w:sz="4" w:space="0"/>
              <w:left w:val="single" w:color="auto" w:sz="4" w:space="0"/>
              <w:bottom w:val="single" w:color="auto" w:sz="4" w:space="0"/>
              <w:right w:val="single" w:color="auto" w:sz="4" w:space="0"/>
            </w:tcBorders>
            <w:vAlign w:val="center"/>
          </w:tcPr>
          <w:p>
            <w:pPr>
              <w:rPr>
                <w:rFonts w:ascii="仿宋" w:hAnsi="仿宋" w:eastAsia="仿宋" w:cs="Arial"/>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rPr>
        <w:tc>
          <w:tcPr>
            <w:tcW w:w="768" w:type="pct"/>
            <w:tcBorders>
              <w:top w:val="single" w:color="auto" w:sz="4" w:space="0"/>
              <w:left w:val="single" w:color="auto" w:sz="4" w:space="0"/>
              <w:bottom w:val="single" w:color="auto" w:sz="4" w:space="0"/>
              <w:right w:val="single" w:color="auto" w:sz="4" w:space="0"/>
            </w:tcBorders>
            <w:vAlign w:val="center"/>
          </w:tcPr>
          <w:p>
            <w:pPr>
              <w:rPr>
                <w:rFonts w:ascii="仿宋" w:hAnsi="仿宋" w:eastAsia="仿宋" w:cs="Arial"/>
                <w:sz w:val="18"/>
                <w:szCs w:val="18"/>
                <w:highlight w:val="none"/>
              </w:rPr>
            </w:pPr>
          </w:p>
        </w:tc>
        <w:tc>
          <w:tcPr>
            <w:tcW w:w="1010" w:type="pct"/>
            <w:tcBorders>
              <w:top w:val="single" w:color="auto" w:sz="4" w:space="0"/>
              <w:left w:val="single" w:color="auto" w:sz="4" w:space="0"/>
              <w:bottom w:val="single" w:color="auto" w:sz="4" w:space="0"/>
              <w:right w:val="single" w:color="auto" w:sz="4" w:space="0"/>
            </w:tcBorders>
            <w:vAlign w:val="center"/>
          </w:tcPr>
          <w:p>
            <w:pPr>
              <w:rPr>
                <w:rFonts w:ascii="仿宋" w:hAnsi="仿宋" w:eastAsia="仿宋" w:cs="Arial"/>
                <w:sz w:val="18"/>
                <w:szCs w:val="18"/>
                <w:highlight w:val="none"/>
              </w:rPr>
            </w:pPr>
          </w:p>
        </w:tc>
        <w:tc>
          <w:tcPr>
            <w:tcW w:w="1028" w:type="pct"/>
            <w:tcBorders>
              <w:top w:val="single" w:color="auto" w:sz="4" w:space="0"/>
              <w:left w:val="single" w:color="auto" w:sz="4" w:space="0"/>
              <w:bottom w:val="single" w:color="auto" w:sz="4" w:space="0"/>
              <w:right w:val="single" w:color="auto" w:sz="4" w:space="0"/>
            </w:tcBorders>
            <w:vAlign w:val="center"/>
          </w:tcPr>
          <w:p>
            <w:pPr>
              <w:rPr>
                <w:rFonts w:ascii="仿宋" w:hAnsi="仿宋" w:eastAsia="仿宋" w:cs="Arial"/>
                <w:sz w:val="18"/>
                <w:szCs w:val="18"/>
                <w:highlight w:val="none"/>
              </w:rPr>
            </w:pPr>
          </w:p>
        </w:tc>
        <w:tc>
          <w:tcPr>
            <w:tcW w:w="851" w:type="pct"/>
            <w:tcBorders>
              <w:top w:val="single" w:color="auto" w:sz="4" w:space="0"/>
              <w:left w:val="single" w:color="auto" w:sz="4" w:space="0"/>
              <w:bottom w:val="single" w:color="auto" w:sz="4" w:space="0"/>
              <w:right w:val="single" w:color="auto" w:sz="4" w:space="0"/>
            </w:tcBorders>
            <w:vAlign w:val="center"/>
          </w:tcPr>
          <w:p>
            <w:pPr>
              <w:rPr>
                <w:rFonts w:ascii="仿宋" w:hAnsi="仿宋" w:eastAsia="仿宋" w:cs="Arial"/>
                <w:sz w:val="18"/>
                <w:szCs w:val="18"/>
                <w:highlight w:val="none"/>
              </w:rPr>
            </w:pPr>
          </w:p>
        </w:tc>
        <w:tc>
          <w:tcPr>
            <w:tcW w:w="1340" w:type="pct"/>
            <w:tcBorders>
              <w:top w:val="single" w:color="auto" w:sz="4" w:space="0"/>
              <w:left w:val="single" w:color="auto" w:sz="4" w:space="0"/>
              <w:bottom w:val="single" w:color="auto" w:sz="4" w:space="0"/>
              <w:right w:val="single" w:color="auto" w:sz="4" w:space="0"/>
            </w:tcBorders>
            <w:vAlign w:val="center"/>
          </w:tcPr>
          <w:p>
            <w:pPr>
              <w:rPr>
                <w:rFonts w:ascii="仿宋" w:hAnsi="仿宋" w:eastAsia="仿宋" w:cs="Arial"/>
                <w:sz w:val="18"/>
                <w:szCs w:val="18"/>
                <w:highlight w:val="none"/>
              </w:rPr>
            </w:pPr>
          </w:p>
        </w:tc>
      </w:tr>
    </w:tbl>
    <w:p>
      <w:pPr>
        <w:pStyle w:val="2"/>
        <w:rPr>
          <w:rFonts w:ascii="仿宋" w:hAnsi="仿宋" w:eastAsia="仿宋"/>
          <w:b/>
          <w:sz w:val="32"/>
          <w:highlight w:val="none"/>
        </w:rPr>
        <w:sectPr>
          <w:footerReference r:id="rId9" w:type="default"/>
          <w:pgSz w:w="11909" w:h="16834"/>
          <w:pgMar w:top="1445" w:right="869" w:bottom="1450" w:left="1440" w:header="568" w:footer="343" w:gutter="0"/>
          <w:cols w:space="720" w:num="1"/>
        </w:sectPr>
      </w:pPr>
      <w:r>
        <w:rPr>
          <w:rFonts w:ascii="仿宋" w:hAnsi="仿宋" w:eastAsia="仿宋"/>
          <w:b/>
          <w:sz w:val="32"/>
          <w:highlight w:val="none"/>
        </w:rPr>
        <w:br w:type="page"/>
      </w:r>
      <w:bookmarkEnd w:id="340"/>
      <w:bookmarkEnd w:id="341"/>
      <w:bookmarkEnd w:id="342"/>
      <w:bookmarkStart w:id="350" w:name="_Toc27429"/>
      <w:bookmarkStart w:id="351" w:name="_Toc114221000"/>
      <w:bookmarkStart w:id="352" w:name="_Toc130009019"/>
      <w:bookmarkStart w:id="353" w:name="_Toc149705174"/>
      <w:bookmarkStart w:id="354" w:name="_Toc148933617"/>
    </w:p>
    <w:tbl>
      <w:tblPr>
        <w:tblStyle w:val="1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E7E6E6" w:themeFill="background2"/>
        <w:tblLayout w:type="autofit"/>
        <w:tblCellMar>
          <w:top w:w="0" w:type="dxa"/>
          <w:left w:w="108" w:type="dxa"/>
          <w:bottom w:w="0" w:type="dxa"/>
          <w:right w:w="108" w:type="dxa"/>
        </w:tblCellMar>
      </w:tblPr>
      <w:tblGrid>
        <w:gridCol w:w="85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9327" w:type="dxa"/>
            <w:tcBorders>
              <w:top w:val="nil"/>
              <w:left w:val="nil"/>
              <w:bottom w:val="nil"/>
              <w:right w:val="nil"/>
            </w:tcBorders>
            <w:shd w:val="clear" w:color="auto" w:fill="E7E6E6" w:themeFill="background2"/>
          </w:tcPr>
          <w:p>
            <w:pPr>
              <w:widowControl w:val="0"/>
              <w:jc w:val="both"/>
              <w:rPr>
                <w:rFonts w:ascii="仿宋" w:hAnsi="仿宋" w:eastAsia="仿宋" w:cs="仿宋"/>
                <w:b/>
                <w:bCs/>
                <w:sz w:val="32"/>
                <w:szCs w:val="32"/>
                <w:highlight w:val="none"/>
              </w:rPr>
            </w:pPr>
            <w:r>
              <w:rPr>
                <w:rFonts w:hint="eastAsia" w:ascii="仿宋" w:hAnsi="仿宋" w:eastAsia="仿宋" w:cs="仿宋"/>
                <w:b/>
                <w:bCs/>
                <w:sz w:val="32"/>
                <w:szCs w:val="32"/>
                <w:highlight w:val="none"/>
              </w:rPr>
              <w:t>一、目的</w:t>
            </w:r>
          </w:p>
        </w:tc>
      </w:tr>
      <w:bookmarkEnd w:id="350"/>
    </w:tbl>
    <w:p>
      <w:pPr>
        <w:pStyle w:val="46"/>
        <w:spacing w:after="156" w:afterLines="50"/>
        <w:ind w:firstLine="480"/>
        <w:rPr>
          <w:rFonts w:ascii="仿宋" w:hAnsi="仿宋" w:eastAsia="仿宋"/>
          <w:highlight w:val="none"/>
        </w:rPr>
      </w:pPr>
      <w:r>
        <w:rPr>
          <w:rFonts w:hint="eastAsia" w:ascii="仿宋" w:hAnsi="仿宋" w:eastAsia="仿宋"/>
          <w:highlight w:val="none"/>
        </w:rPr>
        <w:t>明确应用系统安全评审的范围和内容，为安全评审人员的工作提供指导和帮助。</w:t>
      </w:r>
    </w:p>
    <w:tbl>
      <w:tblPr>
        <w:tblStyle w:val="1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E7E6E6" w:themeFill="background2"/>
        <w:tblLayout w:type="autofit"/>
        <w:tblCellMar>
          <w:top w:w="0" w:type="dxa"/>
          <w:left w:w="108" w:type="dxa"/>
          <w:bottom w:w="0" w:type="dxa"/>
          <w:right w:w="108" w:type="dxa"/>
        </w:tblCellMar>
      </w:tblPr>
      <w:tblGrid>
        <w:gridCol w:w="85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E7E6E6" w:themeFill="background2"/>
          <w:tblCellMar>
            <w:top w:w="0" w:type="dxa"/>
            <w:left w:w="108" w:type="dxa"/>
            <w:bottom w:w="0" w:type="dxa"/>
            <w:right w:w="108" w:type="dxa"/>
          </w:tblCellMar>
        </w:tblPrEx>
        <w:tc>
          <w:tcPr>
            <w:tcW w:w="9327" w:type="dxa"/>
            <w:tcBorders>
              <w:top w:val="nil"/>
              <w:left w:val="nil"/>
              <w:bottom w:val="nil"/>
              <w:right w:val="nil"/>
            </w:tcBorders>
            <w:shd w:val="clear" w:color="auto" w:fill="E7E6E6" w:themeFill="background2"/>
          </w:tcPr>
          <w:p>
            <w:pPr>
              <w:widowControl w:val="0"/>
              <w:jc w:val="both"/>
              <w:rPr>
                <w:rFonts w:ascii="仿宋" w:hAnsi="仿宋" w:eastAsia="仿宋" w:cs="仿宋"/>
                <w:b/>
                <w:bCs/>
                <w:sz w:val="32"/>
                <w:szCs w:val="32"/>
                <w:highlight w:val="none"/>
              </w:rPr>
            </w:pPr>
            <w:bookmarkStart w:id="355" w:name="_Toc486582300"/>
            <w:bookmarkStart w:id="356" w:name="_Toc486586369"/>
            <w:bookmarkStart w:id="357" w:name="_Toc486536584"/>
            <w:bookmarkStart w:id="358" w:name="_Toc486596667"/>
            <w:bookmarkStart w:id="359" w:name="_Toc25883"/>
            <w:bookmarkStart w:id="360" w:name="_Toc488418029"/>
            <w:bookmarkStart w:id="361" w:name="_Toc486596875"/>
            <w:bookmarkStart w:id="362" w:name="_Toc147082137"/>
            <w:bookmarkStart w:id="363" w:name="_Toc486644418"/>
            <w:r>
              <w:rPr>
                <w:rFonts w:hint="eastAsia" w:ascii="仿宋" w:hAnsi="仿宋" w:eastAsia="仿宋" w:cs="仿宋"/>
                <w:b/>
                <w:bCs/>
                <w:sz w:val="32"/>
                <w:szCs w:val="32"/>
                <w:highlight w:val="none"/>
              </w:rPr>
              <w:t>二、适用范围</w:t>
            </w:r>
          </w:p>
        </w:tc>
      </w:tr>
      <w:bookmarkEnd w:id="355"/>
      <w:bookmarkEnd w:id="356"/>
      <w:bookmarkEnd w:id="357"/>
      <w:bookmarkEnd w:id="358"/>
      <w:bookmarkEnd w:id="359"/>
      <w:bookmarkEnd w:id="360"/>
      <w:bookmarkEnd w:id="361"/>
      <w:bookmarkEnd w:id="362"/>
      <w:bookmarkEnd w:id="363"/>
    </w:tbl>
    <w:p>
      <w:pPr>
        <w:pStyle w:val="46"/>
        <w:numPr>
          <w:ilvl w:val="0"/>
          <w:numId w:val="148"/>
        </w:numPr>
        <w:spacing w:after="156" w:afterLines="50"/>
        <w:ind w:firstLineChars="0"/>
        <w:rPr>
          <w:rFonts w:ascii="仿宋" w:hAnsi="仿宋" w:eastAsia="仿宋"/>
          <w:highlight w:val="none"/>
        </w:rPr>
      </w:pPr>
      <w:r>
        <w:rPr>
          <w:rFonts w:hint="eastAsia" w:ascii="仿宋" w:hAnsi="仿宋" w:eastAsia="仿宋"/>
          <w:highlight w:val="none"/>
        </w:rPr>
        <w:t>本评审表适用于软件开发项目。</w:t>
      </w:r>
      <w:bookmarkStart w:id="364" w:name="_Toc486522347"/>
      <w:bookmarkStart w:id="365" w:name="_Toc486644420"/>
      <w:bookmarkStart w:id="366" w:name="_Toc488418031"/>
      <w:bookmarkStart w:id="367" w:name="_Toc486536586"/>
      <w:bookmarkStart w:id="368" w:name="_Toc486596877"/>
      <w:bookmarkStart w:id="369" w:name="_Toc486582302"/>
      <w:bookmarkStart w:id="370" w:name="_Toc486527076"/>
      <w:bookmarkStart w:id="371" w:name="_Toc486586371"/>
      <w:bookmarkStart w:id="372" w:name="_Toc147082138"/>
      <w:bookmarkStart w:id="373" w:name="_Toc486596669"/>
      <w:bookmarkStart w:id="374" w:name="_Toc486524375"/>
    </w:p>
    <w:tbl>
      <w:tblPr>
        <w:tblStyle w:val="1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E7E6E6" w:themeFill="background2"/>
        <w:tblLayout w:type="autofit"/>
        <w:tblCellMar>
          <w:top w:w="0" w:type="dxa"/>
          <w:left w:w="108" w:type="dxa"/>
          <w:bottom w:w="0" w:type="dxa"/>
          <w:right w:w="108" w:type="dxa"/>
        </w:tblCellMar>
      </w:tblPr>
      <w:tblGrid>
        <w:gridCol w:w="85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E7E6E6" w:themeFill="background2"/>
        </w:tblPrEx>
        <w:tc>
          <w:tcPr>
            <w:tcW w:w="9327" w:type="dxa"/>
            <w:tcBorders>
              <w:top w:val="nil"/>
              <w:left w:val="nil"/>
              <w:bottom w:val="nil"/>
              <w:right w:val="nil"/>
            </w:tcBorders>
            <w:shd w:val="clear" w:color="auto" w:fill="E7E6E6" w:themeFill="background2"/>
          </w:tcPr>
          <w:p>
            <w:pPr>
              <w:widowControl w:val="0"/>
              <w:jc w:val="both"/>
              <w:rPr>
                <w:rFonts w:ascii="仿宋" w:hAnsi="仿宋" w:eastAsia="仿宋" w:cs="仿宋"/>
                <w:b/>
                <w:bCs/>
                <w:sz w:val="32"/>
                <w:szCs w:val="32"/>
                <w:highlight w:val="none"/>
              </w:rPr>
            </w:pPr>
            <w:bookmarkStart w:id="375" w:name="_Toc19641"/>
            <w:bookmarkStart w:id="376" w:name="_Toc23862"/>
            <w:r>
              <w:rPr>
                <w:rFonts w:hint="eastAsia" w:ascii="仿宋" w:hAnsi="仿宋" w:eastAsia="仿宋" w:cs="仿宋"/>
                <w:b/>
                <w:bCs/>
                <w:sz w:val="32"/>
                <w:szCs w:val="32"/>
                <w:highlight w:val="none"/>
              </w:rPr>
              <w:t>三、职责分工</w:t>
            </w:r>
          </w:p>
        </w:tc>
      </w:tr>
      <w:bookmarkEnd w:id="375"/>
      <w:bookmarkEnd w:id="376"/>
    </w:tbl>
    <w:p>
      <w:pPr>
        <w:pStyle w:val="46"/>
        <w:numPr>
          <w:ilvl w:val="0"/>
          <w:numId w:val="149"/>
        </w:numPr>
        <w:spacing w:after="156" w:afterLines="50"/>
        <w:ind w:firstLineChars="0"/>
        <w:rPr>
          <w:rFonts w:ascii="仿宋" w:hAnsi="仿宋" w:eastAsia="仿宋"/>
          <w:highlight w:val="none"/>
        </w:rPr>
      </w:pPr>
      <w:r>
        <w:rPr>
          <w:rFonts w:hint="eastAsia" w:ascii="仿宋" w:hAnsi="仿宋" w:eastAsia="仿宋"/>
          <w:highlight w:val="none"/>
        </w:rPr>
        <w:t>网络管理科负责制定检查要求。</w:t>
      </w:r>
    </w:p>
    <w:p>
      <w:pPr>
        <w:pStyle w:val="46"/>
        <w:numPr>
          <w:ilvl w:val="0"/>
          <w:numId w:val="149"/>
        </w:numPr>
        <w:spacing w:after="156" w:afterLines="50"/>
        <w:ind w:firstLineChars="0"/>
        <w:rPr>
          <w:rFonts w:ascii="仿宋" w:hAnsi="仿宋" w:eastAsia="仿宋"/>
          <w:highlight w:val="none"/>
        </w:rPr>
      </w:pPr>
      <w:r>
        <w:rPr>
          <w:rFonts w:hint="eastAsia" w:ascii="仿宋" w:hAnsi="仿宋" w:eastAsia="仿宋"/>
          <w:highlight w:val="none"/>
        </w:rPr>
        <w:t>信息技术科负责沟通用户域公司确认需求，按要求填写。</w:t>
      </w:r>
    </w:p>
    <w:p>
      <w:pPr>
        <w:pStyle w:val="46"/>
        <w:numPr>
          <w:ilvl w:val="0"/>
          <w:numId w:val="149"/>
        </w:numPr>
        <w:spacing w:after="156" w:afterLines="50"/>
        <w:ind w:firstLineChars="0"/>
        <w:rPr>
          <w:rFonts w:ascii="仿宋" w:hAnsi="仿宋" w:eastAsia="仿宋"/>
          <w:highlight w:val="none"/>
        </w:rPr>
      </w:pPr>
      <w:r>
        <w:rPr>
          <w:rFonts w:hint="eastAsia" w:ascii="仿宋" w:hAnsi="仿宋" w:eastAsia="仿宋"/>
          <w:highlight w:val="none"/>
        </w:rPr>
        <w:t>上线前，网络管理科负责核对要求的实现情况。</w:t>
      </w:r>
    </w:p>
    <w:tbl>
      <w:tblPr>
        <w:tblStyle w:val="1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E7E6E6" w:themeFill="background2"/>
        <w:tblLayout w:type="autofit"/>
        <w:tblCellMar>
          <w:top w:w="0" w:type="dxa"/>
          <w:left w:w="108" w:type="dxa"/>
          <w:bottom w:w="0" w:type="dxa"/>
          <w:right w:w="108" w:type="dxa"/>
        </w:tblCellMar>
      </w:tblPr>
      <w:tblGrid>
        <w:gridCol w:w="85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E7E6E6" w:themeFill="background2"/>
          <w:tblCellMar>
            <w:top w:w="0" w:type="dxa"/>
            <w:left w:w="108" w:type="dxa"/>
            <w:bottom w:w="0" w:type="dxa"/>
            <w:right w:w="108" w:type="dxa"/>
          </w:tblCellMar>
        </w:tblPrEx>
        <w:tc>
          <w:tcPr>
            <w:tcW w:w="9327" w:type="dxa"/>
            <w:tcBorders>
              <w:top w:val="nil"/>
              <w:left w:val="nil"/>
              <w:bottom w:val="nil"/>
              <w:right w:val="nil"/>
            </w:tcBorders>
            <w:shd w:val="clear" w:color="auto" w:fill="E7E6E6" w:themeFill="background2"/>
          </w:tcPr>
          <w:p>
            <w:pPr>
              <w:widowControl w:val="0"/>
              <w:jc w:val="both"/>
              <w:rPr>
                <w:rFonts w:ascii="仿宋" w:hAnsi="仿宋" w:eastAsia="仿宋" w:cs="仿宋"/>
                <w:b/>
                <w:bCs/>
                <w:sz w:val="32"/>
                <w:szCs w:val="32"/>
                <w:highlight w:val="none"/>
              </w:rPr>
            </w:pPr>
            <w:bookmarkStart w:id="377" w:name="_Toc10396"/>
            <w:bookmarkStart w:id="378" w:name="_Toc27327"/>
            <w:bookmarkStart w:id="379" w:name="_Toc206808405"/>
            <w:bookmarkStart w:id="380" w:name="_Toc214161909"/>
            <w:r>
              <w:rPr>
                <w:rFonts w:hint="eastAsia" w:ascii="仿宋" w:hAnsi="仿宋" w:eastAsia="仿宋" w:cs="仿宋"/>
                <w:b/>
                <w:bCs/>
                <w:sz w:val="32"/>
                <w:szCs w:val="32"/>
                <w:highlight w:val="none"/>
              </w:rPr>
              <w:t>四、需求阶段的遵循的标准</w:t>
            </w:r>
          </w:p>
        </w:tc>
      </w:tr>
      <w:bookmarkEnd w:id="377"/>
      <w:bookmarkEnd w:id="378"/>
    </w:tbl>
    <w:p>
      <w:pPr>
        <w:pStyle w:val="46"/>
        <w:numPr>
          <w:ilvl w:val="0"/>
          <w:numId w:val="150"/>
        </w:numPr>
        <w:spacing w:after="156" w:afterLines="50"/>
        <w:ind w:firstLineChars="0"/>
        <w:rPr>
          <w:rFonts w:ascii="仿宋" w:hAnsi="仿宋" w:eastAsia="仿宋"/>
          <w:highlight w:val="none"/>
        </w:rPr>
      </w:pPr>
      <w:r>
        <w:rPr>
          <w:rFonts w:hint="eastAsia" w:ascii="仿宋" w:hAnsi="仿宋" w:eastAsia="仿宋"/>
          <w:highlight w:val="none"/>
        </w:rPr>
        <w:t>应用系统安全</w:t>
      </w:r>
      <w:bookmarkEnd w:id="379"/>
      <w:bookmarkEnd w:id="380"/>
      <w:r>
        <w:rPr>
          <w:rFonts w:hint="eastAsia" w:ascii="仿宋" w:hAnsi="仿宋" w:eastAsia="仿宋"/>
          <w:highlight w:val="none"/>
        </w:rPr>
        <w:t>需求评审表</w:t>
      </w:r>
    </w:p>
    <w:tbl>
      <w:tblPr>
        <w:tblStyle w:val="18"/>
        <w:tblW w:w="507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90"/>
        <w:gridCol w:w="121"/>
        <w:gridCol w:w="547"/>
        <w:gridCol w:w="2832"/>
        <w:gridCol w:w="1176"/>
        <w:gridCol w:w="1033"/>
        <w:gridCol w:w="15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1" w:hRule="atLeast"/>
          <w:jc w:val="center"/>
        </w:trPr>
        <w:tc>
          <w:tcPr>
            <w:tcW w:w="803" w:type="pct"/>
            <w:vAlign w:val="center"/>
          </w:tcPr>
          <w:p>
            <w:pPr>
              <w:adjustRightInd w:val="0"/>
              <w:snapToGrid w:val="0"/>
              <w:ind w:right="168"/>
              <w:rPr>
                <w:rFonts w:ascii="仿宋" w:hAnsi="仿宋" w:eastAsia="仿宋"/>
                <w:b/>
                <w:szCs w:val="21"/>
                <w:highlight w:val="none"/>
              </w:rPr>
            </w:pPr>
            <w:r>
              <w:rPr>
                <w:rFonts w:hint="eastAsia" w:ascii="仿宋" w:hAnsi="仿宋" w:eastAsia="仿宋"/>
                <w:b/>
                <w:szCs w:val="21"/>
                <w:highlight w:val="none"/>
              </w:rPr>
              <w:t>项目名称</w:t>
            </w:r>
          </w:p>
        </w:tc>
        <w:tc>
          <w:tcPr>
            <w:tcW w:w="4196" w:type="pct"/>
            <w:gridSpan w:val="6"/>
            <w:vAlign w:val="center"/>
          </w:tcPr>
          <w:p>
            <w:pPr>
              <w:adjustRightInd w:val="0"/>
              <w:snapToGrid w:val="0"/>
              <w:rPr>
                <w:rFonts w:ascii="仿宋" w:hAnsi="仿宋" w:eastAsia="仿宋"/>
                <w:b/>
                <w:szCs w:val="21"/>
                <w:highlight w:val="none"/>
              </w:rPr>
            </w:pPr>
          </w:p>
          <w:p>
            <w:pPr>
              <w:adjustRightInd w:val="0"/>
              <w:snapToGrid w:val="0"/>
              <w:rPr>
                <w:rFonts w:ascii="仿宋" w:hAnsi="仿宋" w:eastAsia="仿宋"/>
                <w:b/>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1" w:hRule="atLeast"/>
          <w:jc w:val="center"/>
        </w:trPr>
        <w:tc>
          <w:tcPr>
            <w:tcW w:w="5000" w:type="pct"/>
            <w:gridSpan w:val="7"/>
            <w:shd w:val="clear" w:color="auto" w:fill="B3B3B3"/>
            <w:vAlign w:val="center"/>
          </w:tcPr>
          <w:p>
            <w:pPr>
              <w:adjustRightInd w:val="0"/>
              <w:snapToGrid w:val="0"/>
              <w:rPr>
                <w:rFonts w:ascii="仿宋" w:hAnsi="仿宋" w:eastAsia="仿宋"/>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6" w:hRule="atLeast"/>
          <w:jc w:val="center"/>
        </w:trPr>
        <w:tc>
          <w:tcPr>
            <w:tcW w:w="2826" w:type="pct"/>
            <w:gridSpan w:val="4"/>
            <w:vMerge w:val="restart"/>
            <w:vAlign w:val="center"/>
          </w:tcPr>
          <w:p>
            <w:pPr>
              <w:adjustRightInd w:val="0"/>
              <w:snapToGrid w:val="0"/>
              <w:ind w:right="-18"/>
              <w:jc w:val="center"/>
              <w:rPr>
                <w:rFonts w:ascii="仿宋" w:hAnsi="仿宋" w:eastAsia="仿宋"/>
                <w:b/>
                <w:szCs w:val="21"/>
                <w:highlight w:val="none"/>
              </w:rPr>
            </w:pPr>
            <w:r>
              <w:rPr>
                <w:rFonts w:hint="eastAsia" w:ascii="仿宋" w:hAnsi="仿宋" w:eastAsia="仿宋"/>
                <w:b/>
                <w:szCs w:val="21"/>
                <w:highlight w:val="none"/>
              </w:rPr>
              <w:t>评估内容</w:t>
            </w:r>
          </w:p>
        </w:tc>
        <w:tc>
          <w:tcPr>
            <w:tcW w:w="1277" w:type="pct"/>
            <w:gridSpan w:val="2"/>
            <w:vAlign w:val="center"/>
          </w:tcPr>
          <w:p>
            <w:pPr>
              <w:adjustRightInd w:val="0"/>
              <w:snapToGrid w:val="0"/>
              <w:ind w:right="-122"/>
              <w:jc w:val="center"/>
              <w:rPr>
                <w:rFonts w:ascii="仿宋" w:hAnsi="仿宋" w:eastAsia="仿宋"/>
                <w:b/>
                <w:szCs w:val="21"/>
                <w:highlight w:val="none"/>
              </w:rPr>
            </w:pPr>
            <w:r>
              <w:rPr>
                <w:rFonts w:hint="eastAsia" w:ascii="仿宋" w:hAnsi="仿宋" w:eastAsia="仿宋"/>
                <w:b/>
                <w:szCs w:val="21"/>
                <w:highlight w:val="none"/>
              </w:rPr>
              <w:t>结果记录</w:t>
            </w:r>
          </w:p>
        </w:tc>
        <w:tc>
          <w:tcPr>
            <w:tcW w:w="896" w:type="pct"/>
            <w:vAlign w:val="center"/>
          </w:tcPr>
          <w:p>
            <w:pPr>
              <w:adjustRightInd w:val="0"/>
              <w:snapToGrid w:val="0"/>
              <w:ind w:right="-1"/>
              <w:jc w:val="center"/>
              <w:rPr>
                <w:rFonts w:ascii="仿宋" w:hAnsi="仿宋" w:eastAsia="仿宋"/>
                <w:b/>
                <w:szCs w:val="21"/>
                <w:highlight w:val="none"/>
              </w:rPr>
            </w:pPr>
            <w:r>
              <w:rPr>
                <w:rFonts w:hint="eastAsia" w:ascii="仿宋" w:hAnsi="仿宋" w:eastAsia="仿宋"/>
                <w:b/>
                <w:szCs w:val="21"/>
                <w:highlight w:val="none"/>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6" w:hRule="atLeast"/>
          <w:jc w:val="center"/>
        </w:trPr>
        <w:tc>
          <w:tcPr>
            <w:tcW w:w="2826" w:type="pct"/>
            <w:gridSpan w:val="4"/>
            <w:vMerge w:val="continue"/>
            <w:vAlign w:val="center"/>
          </w:tcPr>
          <w:p>
            <w:pPr>
              <w:adjustRightInd w:val="0"/>
              <w:snapToGrid w:val="0"/>
              <w:ind w:right="-18"/>
              <w:jc w:val="center"/>
              <w:rPr>
                <w:rFonts w:ascii="仿宋" w:hAnsi="仿宋" w:eastAsia="仿宋"/>
                <w:b/>
                <w:szCs w:val="21"/>
                <w:highlight w:val="none"/>
              </w:rPr>
            </w:pPr>
          </w:p>
        </w:tc>
        <w:tc>
          <w:tcPr>
            <w:tcW w:w="680" w:type="pct"/>
            <w:vAlign w:val="center"/>
          </w:tcPr>
          <w:p>
            <w:pPr>
              <w:adjustRightInd w:val="0"/>
              <w:snapToGrid w:val="0"/>
              <w:ind w:right="-122"/>
              <w:jc w:val="center"/>
              <w:rPr>
                <w:rFonts w:ascii="仿宋" w:hAnsi="仿宋" w:eastAsia="仿宋"/>
                <w:b/>
                <w:szCs w:val="21"/>
                <w:highlight w:val="none"/>
              </w:rPr>
            </w:pPr>
            <w:r>
              <w:rPr>
                <w:rFonts w:hint="eastAsia" w:ascii="仿宋" w:hAnsi="仿宋" w:eastAsia="仿宋"/>
                <w:b/>
                <w:szCs w:val="21"/>
                <w:highlight w:val="none"/>
              </w:rPr>
              <w:t>状态</w:t>
            </w:r>
          </w:p>
        </w:tc>
        <w:tc>
          <w:tcPr>
            <w:tcW w:w="597" w:type="pct"/>
            <w:vAlign w:val="center"/>
          </w:tcPr>
          <w:p>
            <w:pPr>
              <w:adjustRightInd w:val="0"/>
              <w:snapToGrid w:val="0"/>
              <w:ind w:right="-168"/>
              <w:jc w:val="center"/>
              <w:rPr>
                <w:rFonts w:ascii="仿宋" w:hAnsi="仿宋" w:eastAsia="仿宋"/>
                <w:b/>
                <w:szCs w:val="21"/>
                <w:highlight w:val="none"/>
              </w:rPr>
            </w:pPr>
            <w:r>
              <w:rPr>
                <w:rFonts w:hint="eastAsia" w:ascii="仿宋" w:hAnsi="仿宋" w:eastAsia="仿宋"/>
                <w:b/>
                <w:szCs w:val="21"/>
                <w:highlight w:val="none"/>
              </w:rPr>
              <w:t>结果</w:t>
            </w:r>
          </w:p>
        </w:tc>
        <w:tc>
          <w:tcPr>
            <w:tcW w:w="896" w:type="pct"/>
            <w:vAlign w:val="center"/>
          </w:tcPr>
          <w:p>
            <w:pPr>
              <w:adjustRightInd w:val="0"/>
              <w:snapToGrid w:val="0"/>
              <w:jc w:val="center"/>
              <w:rPr>
                <w:rFonts w:ascii="仿宋" w:hAnsi="仿宋" w:eastAsia="仿宋"/>
                <w:b/>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3" w:hRule="atLeast"/>
          <w:jc w:val="center"/>
        </w:trPr>
        <w:tc>
          <w:tcPr>
            <w:tcW w:w="5000" w:type="pct"/>
            <w:gridSpan w:val="7"/>
            <w:vAlign w:val="center"/>
          </w:tcPr>
          <w:p>
            <w:pPr>
              <w:adjustRightInd w:val="0"/>
              <w:snapToGrid w:val="0"/>
              <w:rPr>
                <w:rFonts w:ascii="仿宋" w:hAnsi="仿宋" w:eastAsia="仿宋"/>
                <w:b/>
                <w:szCs w:val="21"/>
                <w:highlight w:val="none"/>
              </w:rPr>
            </w:pPr>
            <w:bookmarkStart w:id="381" w:name="_Toc29102"/>
            <w:r>
              <w:rPr>
                <w:rFonts w:hint="eastAsia" w:ascii="仿宋" w:hAnsi="仿宋" w:eastAsia="仿宋"/>
                <w:b/>
                <w:szCs w:val="21"/>
                <w:highlight w:val="none"/>
              </w:rPr>
              <w:t>1、账户安全管理需求</w:t>
            </w:r>
            <w:bookmarkEnd w:id="381"/>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26" w:type="pct"/>
            <w:gridSpan w:val="4"/>
            <w:vAlign w:val="center"/>
          </w:tcPr>
          <w:p>
            <w:pPr>
              <w:numPr>
                <w:ilvl w:val="1"/>
                <w:numId w:val="151"/>
              </w:numPr>
              <w:ind w:right="-18"/>
              <w:rPr>
                <w:rFonts w:ascii="仿宋" w:hAnsi="仿宋" w:eastAsia="仿宋"/>
                <w:highlight w:val="none"/>
              </w:rPr>
            </w:pPr>
            <w:r>
              <w:rPr>
                <w:rFonts w:hint="eastAsia" w:ascii="仿宋" w:hAnsi="仿宋" w:eastAsia="仿宋"/>
                <w:highlight w:val="none"/>
              </w:rPr>
              <w:t>面向互联网的应用，用户注册及登录均需要验证码。</w:t>
            </w:r>
            <w:r>
              <w:rPr>
                <w:rFonts w:hint="eastAsia" w:ascii="仿宋" w:hAnsi="仿宋" w:eastAsia="仿宋"/>
                <w:szCs w:val="21"/>
                <w:highlight w:val="none"/>
              </w:rPr>
              <w:t>验证码</w:t>
            </w:r>
            <w:r>
              <w:rPr>
                <w:rFonts w:hint="eastAsia" w:ascii="仿宋" w:hAnsi="仿宋" w:eastAsia="仿宋"/>
                <w:highlight w:val="none"/>
              </w:rPr>
              <w:t>须在后端进行校验。</w:t>
            </w:r>
          </w:p>
        </w:tc>
        <w:tc>
          <w:tcPr>
            <w:tcW w:w="680" w:type="pct"/>
            <w:vAlign w:val="center"/>
          </w:tcPr>
          <w:p>
            <w:pPr>
              <w:adjustRightInd w:val="0"/>
              <w:snapToGrid w:val="0"/>
              <w:ind w:right="-122"/>
              <w:rPr>
                <w:rFonts w:ascii="仿宋" w:hAnsi="仿宋" w:eastAsia="仿宋"/>
                <w:szCs w:val="21"/>
                <w:highlight w:val="none"/>
              </w:rPr>
            </w:pPr>
            <w:r>
              <w:rPr>
                <w:rFonts w:hint="eastAsia" w:ascii="仿宋" w:hAnsi="仿宋" w:eastAsia="仿宋"/>
                <w:szCs w:val="21"/>
                <w:highlight w:val="none"/>
              </w:rPr>
              <w:t>必选项</w:t>
            </w:r>
          </w:p>
        </w:tc>
        <w:tc>
          <w:tcPr>
            <w:tcW w:w="597" w:type="pct"/>
            <w:vAlign w:val="center"/>
          </w:tcPr>
          <w:p>
            <w:pPr>
              <w:adjustRightInd w:val="0"/>
              <w:snapToGrid w:val="0"/>
              <w:rPr>
                <w:rFonts w:ascii="仿宋" w:hAnsi="仿宋" w:eastAsia="仿宋"/>
                <w:szCs w:val="21"/>
                <w:highlight w:val="none"/>
              </w:rPr>
            </w:pPr>
          </w:p>
        </w:tc>
        <w:tc>
          <w:tcPr>
            <w:tcW w:w="896" w:type="pct"/>
            <w:vAlign w:val="center"/>
          </w:tcPr>
          <w:p>
            <w:pPr>
              <w:adjustRightInd w:val="0"/>
              <w:snapToGrid w:val="0"/>
              <w:ind w:right="-46"/>
              <w:rPr>
                <w:rFonts w:ascii="仿宋" w:hAnsi="仿宋" w:eastAsia="仿宋"/>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26" w:type="pct"/>
            <w:gridSpan w:val="4"/>
            <w:vAlign w:val="center"/>
          </w:tcPr>
          <w:p>
            <w:pPr>
              <w:numPr>
                <w:ilvl w:val="1"/>
                <w:numId w:val="151"/>
              </w:numPr>
              <w:ind w:right="-18"/>
              <w:rPr>
                <w:rFonts w:ascii="仿宋" w:hAnsi="仿宋" w:eastAsia="仿宋"/>
                <w:highlight w:val="none"/>
              </w:rPr>
            </w:pPr>
            <w:r>
              <w:rPr>
                <w:rFonts w:hint="eastAsia" w:ascii="仿宋" w:hAnsi="仿宋" w:eastAsia="仿宋"/>
                <w:highlight w:val="none"/>
              </w:rPr>
              <w:t>系统支持用户凭验证码找回密码功能；</w:t>
            </w:r>
          </w:p>
        </w:tc>
        <w:tc>
          <w:tcPr>
            <w:tcW w:w="680" w:type="pct"/>
            <w:vAlign w:val="center"/>
          </w:tcPr>
          <w:p>
            <w:pPr>
              <w:adjustRightInd w:val="0"/>
              <w:snapToGrid w:val="0"/>
              <w:ind w:right="-15"/>
              <w:rPr>
                <w:rFonts w:ascii="仿宋" w:hAnsi="仿宋" w:eastAsia="仿宋"/>
                <w:szCs w:val="21"/>
                <w:highlight w:val="none"/>
              </w:rPr>
            </w:pPr>
            <w:r>
              <w:rPr>
                <w:rFonts w:hint="eastAsia" w:ascii="仿宋" w:hAnsi="仿宋" w:eastAsia="仿宋"/>
                <w:szCs w:val="21"/>
                <w:highlight w:val="none"/>
              </w:rPr>
              <w:t>必选项</w:t>
            </w:r>
          </w:p>
        </w:tc>
        <w:tc>
          <w:tcPr>
            <w:tcW w:w="597" w:type="pct"/>
            <w:vAlign w:val="center"/>
          </w:tcPr>
          <w:p>
            <w:pPr>
              <w:adjustRightInd w:val="0"/>
              <w:snapToGrid w:val="0"/>
              <w:rPr>
                <w:rFonts w:ascii="仿宋" w:hAnsi="仿宋" w:eastAsia="仿宋"/>
                <w:szCs w:val="21"/>
                <w:highlight w:val="none"/>
              </w:rPr>
            </w:pPr>
          </w:p>
        </w:tc>
        <w:tc>
          <w:tcPr>
            <w:tcW w:w="896" w:type="pct"/>
            <w:vAlign w:val="center"/>
          </w:tcPr>
          <w:p>
            <w:pPr>
              <w:adjustRightInd w:val="0"/>
              <w:snapToGrid w:val="0"/>
              <w:ind w:right="-46"/>
              <w:rPr>
                <w:rFonts w:ascii="仿宋" w:hAnsi="仿宋" w:eastAsia="仿宋"/>
                <w:szCs w:val="21"/>
                <w:highlight w:val="none"/>
              </w:rPr>
            </w:pPr>
            <w:r>
              <w:rPr>
                <w:rFonts w:hint="eastAsia" w:ascii="仿宋" w:hAnsi="仿宋" w:eastAsia="仿宋"/>
                <w:szCs w:val="21"/>
                <w:highlight w:val="none"/>
              </w:rPr>
              <w:t>验证码位数6位或以上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26" w:type="pct"/>
            <w:gridSpan w:val="4"/>
            <w:vAlign w:val="center"/>
          </w:tcPr>
          <w:p>
            <w:pPr>
              <w:numPr>
                <w:ilvl w:val="1"/>
                <w:numId w:val="151"/>
              </w:numPr>
              <w:ind w:right="-18"/>
              <w:rPr>
                <w:rFonts w:ascii="仿宋" w:hAnsi="仿宋" w:eastAsia="仿宋"/>
                <w:highlight w:val="none"/>
              </w:rPr>
            </w:pPr>
            <w:r>
              <w:rPr>
                <w:rFonts w:hint="eastAsia" w:ascii="仿宋" w:hAnsi="仿宋" w:eastAsia="仿宋"/>
                <w:highlight w:val="none"/>
              </w:rPr>
              <w:t>强制用户首次登陆修改密码；</w:t>
            </w:r>
            <w:r>
              <w:rPr>
                <w:rFonts w:hint="eastAsia" w:ascii="仿宋" w:hAnsi="仿宋" w:eastAsia="仿宋"/>
                <w:szCs w:val="21"/>
                <w:highlight w:val="none"/>
              </w:rPr>
              <w:t xml:space="preserve"> </w:t>
            </w:r>
          </w:p>
        </w:tc>
        <w:tc>
          <w:tcPr>
            <w:tcW w:w="680" w:type="pct"/>
            <w:vAlign w:val="center"/>
          </w:tcPr>
          <w:p>
            <w:pPr>
              <w:adjustRightInd w:val="0"/>
              <w:snapToGrid w:val="0"/>
              <w:ind w:right="-15"/>
              <w:rPr>
                <w:rFonts w:ascii="仿宋" w:hAnsi="仿宋" w:eastAsia="仿宋"/>
                <w:szCs w:val="21"/>
                <w:highlight w:val="none"/>
              </w:rPr>
            </w:pPr>
            <w:r>
              <w:rPr>
                <w:rFonts w:hint="eastAsia" w:ascii="仿宋" w:hAnsi="仿宋" w:eastAsia="仿宋"/>
                <w:szCs w:val="21"/>
                <w:highlight w:val="none"/>
              </w:rPr>
              <w:t>必选项</w:t>
            </w:r>
          </w:p>
        </w:tc>
        <w:tc>
          <w:tcPr>
            <w:tcW w:w="597" w:type="pct"/>
            <w:vAlign w:val="center"/>
          </w:tcPr>
          <w:p>
            <w:pPr>
              <w:adjustRightInd w:val="0"/>
              <w:snapToGrid w:val="0"/>
              <w:rPr>
                <w:rFonts w:ascii="仿宋" w:hAnsi="仿宋" w:eastAsia="仿宋"/>
                <w:szCs w:val="21"/>
                <w:highlight w:val="none"/>
              </w:rPr>
            </w:pPr>
          </w:p>
        </w:tc>
        <w:tc>
          <w:tcPr>
            <w:tcW w:w="896" w:type="pct"/>
            <w:vAlign w:val="center"/>
          </w:tcPr>
          <w:p>
            <w:pPr>
              <w:adjustRightInd w:val="0"/>
              <w:snapToGrid w:val="0"/>
              <w:ind w:right="-46"/>
              <w:rPr>
                <w:rFonts w:ascii="仿宋" w:hAnsi="仿宋" w:eastAsia="仿宋"/>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26" w:type="pct"/>
            <w:gridSpan w:val="4"/>
            <w:vAlign w:val="center"/>
          </w:tcPr>
          <w:p>
            <w:pPr>
              <w:numPr>
                <w:ilvl w:val="1"/>
                <w:numId w:val="151"/>
              </w:numPr>
              <w:ind w:right="-18"/>
              <w:rPr>
                <w:rFonts w:ascii="仿宋" w:hAnsi="仿宋" w:eastAsia="仿宋"/>
                <w:highlight w:val="none"/>
              </w:rPr>
            </w:pPr>
            <w:r>
              <w:rPr>
                <w:rFonts w:hint="eastAsia" w:ascii="仿宋" w:hAnsi="仿宋" w:eastAsia="仿宋"/>
                <w:highlight w:val="none"/>
              </w:rPr>
              <w:t>输入密码时，默认在屏幕上不显示明文密码；</w:t>
            </w:r>
          </w:p>
        </w:tc>
        <w:tc>
          <w:tcPr>
            <w:tcW w:w="680" w:type="pct"/>
            <w:vAlign w:val="center"/>
          </w:tcPr>
          <w:p>
            <w:pPr>
              <w:adjustRightInd w:val="0"/>
              <w:snapToGrid w:val="0"/>
              <w:ind w:right="-15"/>
              <w:rPr>
                <w:rFonts w:ascii="仿宋" w:hAnsi="仿宋" w:eastAsia="仿宋"/>
                <w:szCs w:val="21"/>
                <w:highlight w:val="none"/>
              </w:rPr>
            </w:pPr>
            <w:r>
              <w:rPr>
                <w:rFonts w:hint="eastAsia" w:ascii="仿宋" w:hAnsi="仿宋" w:eastAsia="仿宋"/>
                <w:szCs w:val="21"/>
                <w:highlight w:val="none"/>
              </w:rPr>
              <w:t>必选项</w:t>
            </w:r>
          </w:p>
        </w:tc>
        <w:tc>
          <w:tcPr>
            <w:tcW w:w="597" w:type="pct"/>
            <w:vAlign w:val="center"/>
          </w:tcPr>
          <w:p>
            <w:pPr>
              <w:adjustRightInd w:val="0"/>
              <w:snapToGrid w:val="0"/>
              <w:rPr>
                <w:rFonts w:ascii="仿宋" w:hAnsi="仿宋" w:eastAsia="仿宋"/>
                <w:szCs w:val="21"/>
                <w:highlight w:val="none"/>
              </w:rPr>
            </w:pPr>
          </w:p>
        </w:tc>
        <w:tc>
          <w:tcPr>
            <w:tcW w:w="896" w:type="pct"/>
            <w:vAlign w:val="center"/>
          </w:tcPr>
          <w:p>
            <w:pPr>
              <w:adjustRightInd w:val="0"/>
              <w:snapToGrid w:val="0"/>
              <w:ind w:right="-46"/>
              <w:rPr>
                <w:rFonts w:ascii="仿宋" w:hAnsi="仿宋" w:eastAsia="仿宋"/>
                <w:szCs w:val="21"/>
                <w:highlight w:val="none"/>
              </w:rPr>
            </w:pPr>
            <w:r>
              <w:rPr>
                <w:rFonts w:hint="eastAsia" w:ascii="仿宋" w:hAnsi="仿宋" w:eastAsia="仿宋"/>
                <w:szCs w:val="21"/>
                <w:highlight w:val="none"/>
              </w:rPr>
              <w:t>可有密码明文显示按钮。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26" w:type="pct"/>
            <w:gridSpan w:val="4"/>
            <w:vAlign w:val="center"/>
          </w:tcPr>
          <w:p>
            <w:pPr>
              <w:numPr>
                <w:ilvl w:val="1"/>
                <w:numId w:val="151"/>
              </w:numPr>
              <w:ind w:right="-18"/>
              <w:rPr>
                <w:rFonts w:ascii="仿宋" w:hAnsi="仿宋" w:eastAsia="仿宋"/>
                <w:highlight w:val="none"/>
              </w:rPr>
            </w:pPr>
            <w:r>
              <w:rPr>
                <w:rFonts w:hint="eastAsia" w:ascii="仿宋" w:hAnsi="仿宋" w:eastAsia="仿宋"/>
                <w:highlight w:val="none"/>
              </w:rPr>
              <w:t xml:space="preserve">首次输入密码可不用验证码，输入密码错误时强制弹出验证码; </w:t>
            </w:r>
          </w:p>
        </w:tc>
        <w:tc>
          <w:tcPr>
            <w:tcW w:w="680" w:type="pct"/>
            <w:vAlign w:val="center"/>
          </w:tcPr>
          <w:p>
            <w:pPr>
              <w:adjustRightInd w:val="0"/>
              <w:snapToGrid w:val="0"/>
              <w:ind w:right="-15"/>
              <w:rPr>
                <w:rFonts w:ascii="仿宋" w:hAnsi="仿宋" w:eastAsia="仿宋"/>
                <w:szCs w:val="21"/>
                <w:highlight w:val="none"/>
              </w:rPr>
            </w:pPr>
            <w:r>
              <w:rPr>
                <w:rFonts w:hint="eastAsia" w:ascii="仿宋" w:hAnsi="仿宋" w:eastAsia="仿宋"/>
                <w:szCs w:val="21"/>
                <w:highlight w:val="none"/>
              </w:rPr>
              <w:t>必选项</w:t>
            </w:r>
          </w:p>
        </w:tc>
        <w:tc>
          <w:tcPr>
            <w:tcW w:w="597" w:type="pct"/>
            <w:vAlign w:val="center"/>
          </w:tcPr>
          <w:p>
            <w:pPr>
              <w:adjustRightInd w:val="0"/>
              <w:snapToGrid w:val="0"/>
              <w:rPr>
                <w:rFonts w:ascii="仿宋" w:hAnsi="仿宋" w:eastAsia="仿宋"/>
                <w:szCs w:val="21"/>
                <w:highlight w:val="none"/>
              </w:rPr>
            </w:pPr>
          </w:p>
        </w:tc>
        <w:tc>
          <w:tcPr>
            <w:tcW w:w="896" w:type="pct"/>
            <w:vAlign w:val="center"/>
          </w:tcPr>
          <w:p>
            <w:pPr>
              <w:adjustRightInd w:val="0"/>
              <w:snapToGrid w:val="0"/>
              <w:ind w:right="-46"/>
              <w:rPr>
                <w:rFonts w:ascii="仿宋" w:hAnsi="仿宋" w:eastAsia="仿宋"/>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26" w:type="pct"/>
            <w:gridSpan w:val="4"/>
            <w:vAlign w:val="center"/>
          </w:tcPr>
          <w:p>
            <w:pPr>
              <w:numPr>
                <w:ilvl w:val="1"/>
                <w:numId w:val="151"/>
              </w:numPr>
              <w:ind w:right="-18"/>
              <w:rPr>
                <w:rFonts w:ascii="仿宋" w:hAnsi="仿宋" w:eastAsia="仿宋"/>
                <w:highlight w:val="none"/>
              </w:rPr>
            </w:pPr>
            <w:r>
              <w:rPr>
                <w:rFonts w:hint="eastAsia" w:ascii="仿宋" w:hAnsi="仿宋" w:eastAsia="仿宋"/>
                <w:highlight w:val="none"/>
              </w:rPr>
              <w:t>通过手机短信接受验证码时，须要求事先校验手机号正确再发送短信；</w:t>
            </w:r>
          </w:p>
        </w:tc>
        <w:tc>
          <w:tcPr>
            <w:tcW w:w="680" w:type="pct"/>
            <w:vAlign w:val="center"/>
          </w:tcPr>
          <w:p>
            <w:pPr>
              <w:adjustRightInd w:val="0"/>
              <w:snapToGrid w:val="0"/>
              <w:ind w:right="-15"/>
              <w:rPr>
                <w:rFonts w:ascii="仿宋" w:hAnsi="仿宋" w:eastAsia="仿宋"/>
                <w:szCs w:val="21"/>
                <w:highlight w:val="none"/>
              </w:rPr>
            </w:pPr>
            <w:r>
              <w:rPr>
                <w:rFonts w:hint="eastAsia" w:ascii="仿宋" w:hAnsi="仿宋" w:eastAsia="仿宋"/>
                <w:szCs w:val="21"/>
                <w:highlight w:val="none"/>
              </w:rPr>
              <w:t>必选项</w:t>
            </w:r>
          </w:p>
        </w:tc>
        <w:tc>
          <w:tcPr>
            <w:tcW w:w="597" w:type="pct"/>
            <w:vAlign w:val="center"/>
          </w:tcPr>
          <w:p>
            <w:pPr>
              <w:adjustRightInd w:val="0"/>
              <w:snapToGrid w:val="0"/>
              <w:rPr>
                <w:rFonts w:ascii="仿宋" w:hAnsi="仿宋" w:eastAsia="仿宋"/>
                <w:szCs w:val="21"/>
                <w:highlight w:val="none"/>
              </w:rPr>
            </w:pPr>
          </w:p>
        </w:tc>
        <w:tc>
          <w:tcPr>
            <w:tcW w:w="896" w:type="pct"/>
            <w:vAlign w:val="center"/>
          </w:tcPr>
          <w:p>
            <w:pPr>
              <w:adjustRightInd w:val="0"/>
              <w:snapToGrid w:val="0"/>
              <w:ind w:right="-46"/>
              <w:rPr>
                <w:rFonts w:ascii="仿宋" w:hAnsi="仿宋" w:eastAsia="仿宋"/>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26" w:type="pct"/>
            <w:gridSpan w:val="4"/>
            <w:vAlign w:val="center"/>
          </w:tcPr>
          <w:p>
            <w:pPr>
              <w:numPr>
                <w:ilvl w:val="1"/>
                <w:numId w:val="151"/>
              </w:numPr>
              <w:ind w:right="-18"/>
              <w:rPr>
                <w:rFonts w:ascii="仿宋" w:hAnsi="仿宋" w:eastAsia="仿宋"/>
                <w:highlight w:val="none"/>
              </w:rPr>
            </w:pPr>
            <w:r>
              <w:rPr>
                <w:rFonts w:hint="eastAsia" w:ascii="仿宋" w:hAnsi="仿宋" w:eastAsia="仿宋"/>
                <w:highlight w:val="none"/>
              </w:rPr>
              <w:t>限制单位时长内短信验证码发送次数</w:t>
            </w:r>
          </w:p>
        </w:tc>
        <w:tc>
          <w:tcPr>
            <w:tcW w:w="680" w:type="pct"/>
            <w:vAlign w:val="center"/>
          </w:tcPr>
          <w:p>
            <w:pPr>
              <w:adjustRightInd w:val="0"/>
              <w:snapToGrid w:val="0"/>
              <w:ind w:right="-15"/>
              <w:rPr>
                <w:rFonts w:ascii="仿宋" w:hAnsi="仿宋" w:eastAsia="仿宋"/>
                <w:szCs w:val="21"/>
                <w:highlight w:val="none"/>
              </w:rPr>
            </w:pPr>
            <w:r>
              <w:rPr>
                <w:rFonts w:hint="eastAsia" w:ascii="仿宋" w:hAnsi="仿宋" w:eastAsia="仿宋"/>
                <w:szCs w:val="21"/>
                <w:highlight w:val="none"/>
              </w:rPr>
              <w:t>必选项</w:t>
            </w:r>
          </w:p>
        </w:tc>
        <w:tc>
          <w:tcPr>
            <w:tcW w:w="597" w:type="pct"/>
            <w:vAlign w:val="center"/>
          </w:tcPr>
          <w:p>
            <w:pPr>
              <w:adjustRightInd w:val="0"/>
              <w:snapToGrid w:val="0"/>
              <w:rPr>
                <w:rFonts w:ascii="仿宋" w:hAnsi="仿宋" w:eastAsia="仿宋"/>
                <w:szCs w:val="21"/>
                <w:highlight w:val="none"/>
              </w:rPr>
            </w:pPr>
          </w:p>
        </w:tc>
        <w:tc>
          <w:tcPr>
            <w:tcW w:w="896" w:type="pct"/>
            <w:vAlign w:val="center"/>
          </w:tcPr>
          <w:p>
            <w:pPr>
              <w:adjustRightInd w:val="0"/>
              <w:snapToGrid w:val="0"/>
              <w:ind w:right="-46"/>
              <w:rPr>
                <w:rFonts w:ascii="仿宋" w:hAnsi="仿宋" w:eastAsia="仿宋"/>
                <w:szCs w:val="21"/>
                <w:highlight w:val="none"/>
              </w:rPr>
            </w:pPr>
            <w:r>
              <w:rPr>
                <w:rFonts w:hint="eastAsia" w:ascii="仿宋" w:hAnsi="仿宋" w:eastAsia="仿宋"/>
                <w:szCs w:val="21"/>
                <w:highlight w:val="none"/>
              </w:rPr>
              <w:t>6</w:t>
            </w:r>
            <w:r>
              <w:rPr>
                <w:rFonts w:ascii="仿宋" w:hAnsi="仿宋" w:eastAsia="仿宋"/>
                <w:szCs w:val="21"/>
                <w:highlight w:val="none"/>
              </w:rPr>
              <w:t>0</w:t>
            </w:r>
            <w:r>
              <w:rPr>
                <w:rFonts w:hint="eastAsia" w:ascii="仿宋" w:hAnsi="仿宋" w:eastAsia="仿宋"/>
                <w:szCs w:val="21"/>
                <w:highlight w:val="none"/>
              </w:rPr>
              <w:t>秒1次，发送次数在服务端校验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26" w:type="pct"/>
            <w:gridSpan w:val="4"/>
            <w:vAlign w:val="center"/>
          </w:tcPr>
          <w:p>
            <w:pPr>
              <w:numPr>
                <w:ilvl w:val="1"/>
                <w:numId w:val="151"/>
              </w:numPr>
              <w:ind w:right="-18"/>
              <w:rPr>
                <w:rFonts w:ascii="仿宋" w:hAnsi="仿宋" w:eastAsia="仿宋"/>
                <w:highlight w:val="none"/>
              </w:rPr>
            </w:pPr>
            <w:r>
              <w:rPr>
                <w:rFonts w:hint="eastAsia" w:ascii="仿宋" w:hAnsi="仿宋" w:eastAsia="仿宋"/>
                <w:highlight w:val="none"/>
              </w:rPr>
              <w:t>密码至少10位（含）以上，强制要求由数字、小写字母、大写字母和特殊符号4类中至少3类组成；</w:t>
            </w:r>
          </w:p>
        </w:tc>
        <w:tc>
          <w:tcPr>
            <w:tcW w:w="680" w:type="pct"/>
            <w:vAlign w:val="center"/>
          </w:tcPr>
          <w:p>
            <w:pPr>
              <w:adjustRightInd w:val="0"/>
              <w:snapToGrid w:val="0"/>
              <w:ind w:right="-15"/>
              <w:rPr>
                <w:rFonts w:ascii="仿宋" w:hAnsi="仿宋" w:eastAsia="仿宋"/>
                <w:szCs w:val="21"/>
                <w:highlight w:val="none"/>
              </w:rPr>
            </w:pPr>
            <w:r>
              <w:rPr>
                <w:rFonts w:hint="eastAsia" w:ascii="仿宋" w:hAnsi="仿宋" w:eastAsia="仿宋"/>
                <w:szCs w:val="21"/>
                <w:highlight w:val="none"/>
              </w:rPr>
              <w:t>必选项</w:t>
            </w:r>
          </w:p>
        </w:tc>
        <w:tc>
          <w:tcPr>
            <w:tcW w:w="597" w:type="pct"/>
            <w:vAlign w:val="center"/>
          </w:tcPr>
          <w:p>
            <w:pPr>
              <w:adjustRightInd w:val="0"/>
              <w:snapToGrid w:val="0"/>
              <w:rPr>
                <w:rFonts w:ascii="仿宋" w:hAnsi="仿宋" w:eastAsia="仿宋"/>
                <w:szCs w:val="21"/>
                <w:highlight w:val="none"/>
              </w:rPr>
            </w:pPr>
          </w:p>
        </w:tc>
        <w:tc>
          <w:tcPr>
            <w:tcW w:w="896" w:type="pct"/>
            <w:vAlign w:val="center"/>
          </w:tcPr>
          <w:p>
            <w:pPr>
              <w:adjustRightInd w:val="0"/>
              <w:snapToGrid w:val="0"/>
              <w:ind w:right="-46"/>
              <w:rPr>
                <w:rFonts w:ascii="仿宋" w:hAnsi="仿宋" w:eastAsia="仿宋"/>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26" w:type="pct"/>
            <w:gridSpan w:val="4"/>
            <w:vAlign w:val="center"/>
          </w:tcPr>
          <w:p>
            <w:pPr>
              <w:numPr>
                <w:ilvl w:val="1"/>
                <w:numId w:val="151"/>
              </w:numPr>
              <w:ind w:right="-18"/>
              <w:rPr>
                <w:rFonts w:ascii="仿宋" w:hAnsi="仿宋" w:eastAsia="仿宋"/>
                <w:highlight w:val="none"/>
              </w:rPr>
            </w:pPr>
            <w:r>
              <w:rPr>
                <w:rFonts w:hint="eastAsia" w:ascii="仿宋" w:hAnsi="仿宋" w:eastAsia="仿宋"/>
                <w:highlight w:val="none"/>
              </w:rPr>
              <w:t>支持定期强制修改密码功能，定期改密的周期应可配置。（如，可配置密码改密周期为一个月或一年不等），支持到期前一个星期提醒用户更改密码的功能，并禁止使用原有密码；</w:t>
            </w:r>
          </w:p>
        </w:tc>
        <w:tc>
          <w:tcPr>
            <w:tcW w:w="680" w:type="pct"/>
            <w:vAlign w:val="center"/>
          </w:tcPr>
          <w:p>
            <w:pPr>
              <w:adjustRightInd w:val="0"/>
              <w:snapToGrid w:val="0"/>
              <w:ind w:right="-15"/>
              <w:rPr>
                <w:rFonts w:ascii="仿宋" w:hAnsi="仿宋" w:eastAsia="仿宋"/>
                <w:szCs w:val="21"/>
                <w:highlight w:val="none"/>
              </w:rPr>
            </w:pPr>
            <w:r>
              <w:rPr>
                <w:rFonts w:hint="eastAsia" w:ascii="仿宋" w:hAnsi="仿宋" w:eastAsia="仿宋"/>
                <w:szCs w:val="21"/>
                <w:highlight w:val="none"/>
              </w:rPr>
              <w:t>必选项</w:t>
            </w:r>
          </w:p>
        </w:tc>
        <w:tc>
          <w:tcPr>
            <w:tcW w:w="597" w:type="pct"/>
            <w:vAlign w:val="center"/>
          </w:tcPr>
          <w:p>
            <w:pPr>
              <w:adjustRightInd w:val="0"/>
              <w:snapToGrid w:val="0"/>
              <w:rPr>
                <w:rFonts w:ascii="仿宋" w:hAnsi="仿宋" w:eastAsia="仿宋"/>
                <w:szCs w:val="21"/>
                <w:highlight w:val="none"/>
              </w:rPr>
            </w:pPr>
          </w:p>
        </w:tc>
        <w:tc>
          <w:tcPr>
            <w:tcW w:w="896" w:type="pct"/>
            <w:vAlign w:val="center"/>
          </w:tcPr>
          <w:p>
            <w:pPr>
              <w:adjustRightInd w:val="0"/>
              <w:snapToGrid w:val="0"/>
              <w:ind w:right="-46"/>
              <w:rPr>
                <w:rFonts w:ascii="仿宋" w:hAnsi="仿宋" w:eastAsia="仿宋"/>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26" w:type="pct"/>
            <w:gridSpan w:val="4"/>
            <w:vAlign w:val="center"/>
          </w:tcPr>
          <w:p>
            <w:pPr>
              <w:numPr>
                <w:ilvl w:val="1"/>
                <w:numId w:val="151"/>
              </w:numPr>
              <w:ind w:right="-18"/>
              <w:rPr>
                <w:rFonts w:ascii="仿宋" w:hAnsi="仿宋" w:eastAsia="仿宋"/>
                <w:szCs w:val="21"/>
                <w:highlight w:val="none"/>
              </w:rPr>
            </w:pPr>
            <w:r>
              <w:rPr>
                <w:rFonts w:hint="eastAsia" w:ascii="仿宋" w:hAnsi="仿宋" w:eastAsia="仿宋"/>
                <w:highlight w:val="none"/>
              </w:rPr>
              <w:t>支持密码连续输错若干次将锁定账户的功能，次数可配置（如，5次），设置定长时段后自动解锁账户（如10-30分钟）；</w:t>
            </w:r>
          </w:p>
        </w:tc>
        <w:tc>
          <w:tcPr>
            <w:tcW w:w="680" w:type="pct"/>
            <w:vAlign w:val="center"/>
          </w:tcPr>
          <w:p>
            <w:pPr>
              <w:adjustRightInd w:val="0"/>
              <w:snapToGrid w:val="0"/>
              <w:ind w:right="-15"/>
              <w:rPr>
                <w:rFonts w:ascii="仿宋" w:hAnsi="仿宋" w:eastAsia="仿宋"/>
                <w:szCs w:val="21"/>
                <w:highlight w:val="none"/>
              </w:rPr>
            </w:pPr>
            <w:r>
              <w:rPr>
                <w:rFonts w:hint="eastAsia" w:ascii="仿宋" w:hAnsi="仿宋" w:eastAsia="仿宋"/>
                <w:szCs w:val="21"/>
                <w:highlight w:val="none"/>
              </w:rPr>
              <w:t>必选项</w:t>
            </w:r>
          </w:p>
        </w:tc>
        <w:tc>
          <w:tcPr>
            <w:tcW w:w="597" w:type="pct"/>
            <w:vAlign w:val="center"/>
          </w:tcPr>
          <w:p>
            <w:pPr>
              <w:adjustRightInd w:val="0"/>
              <w:snapToGrid w:val="0"/>
              <w:rPr>
                <w:rFonts w:ascii="仿宋" w:hAnsi="仿宋" w:eastAsia="仿宋"/>
                <w:szCs w:val="21"/>
                <w:highlight w:val="none"/>
              </w:rPr>
            </w:pPr>
          </w:p>
        </w:tc>
        <w:tc>
          <w:tcPr>
            <w:tcW w:w="896" w:type="pct"/>
            <w:vAlign w:val="center"/>
          </w:tcPr>
          <w:p>
            <w:pPr>
              <w:adjustRightInd w:val="0"/>
              <w:snapToGrid w:val="0"/>
              <w:ind w:right="-46"/>
              <w:rPr>
                <w:rFonts w:ascii="仿宋" w:hAnsi="仿宋" w:eastAsia="仿宋"/>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26" w:type="pct"/>
            <w:gridSpan w:val="4"/>
            <w:vAlign w:val="center"/>
          </w:tcPr>
          <w:p>
            <w:pPr>
              <w:numPr>
                <w:ilvl w:val="1"/>
                <w:numId w:val="151"/>
              </w:numPr>
              <w:ind w:right="-18"/>
              <w:rPr>
                <w:rFonts w:ascii="仿宋" w:hAnsi="仿宋" w:eastAsia="仿宋"/>
                <w:szCs w:val="21"/>
                <w:highlight w:val="none"/>
              </w:rPr>
            </w:pPr>
            <w:r>
              <w:rPr>
                <w:rFonts w:hint="eastAsia" w:ascii="仿宋" w:hAnsi="仿宋" w:eastAsia="仿宋"/>
                <w:highlight w:val="none"/>
              </w:rPr>
              <w:t>账户密码必须以加密的形式存储或传输；</w:t>
            </w:r>
          </w:p>
        </w:tc>
        <w:tc>
          <w:tcPr>
            <w:tcW w:w="680" w:type="pct"/>
            <w:vAlign w:val="center"/>
          </w:tcPr>
          <w:p>
            <w:pPr>
              <w:adjustRightInd w:val="0"/>
              <w:snapToGrid w:val="0"/>
              <w:ind w:right="-15"/>
              <w:rPr>
                <w:rFonts w:ascii="仿宋" w:hAnsi="仿宋" w:eastAsia="仿宋"/>
                <w:szCs w:val="21"/>
                <w:highlight w:val="none"/>
              </w:rPr>
            </w:pPr>
            <w:r>
              <w:rPr>
                <w:rFonts w:hint="eastAsia" w:ascii="仿宋" w:hAnsi="仿宋" w:eastAsia="仿宋"/>
                <w:szCs w:val="21"/>
                <w:highlight w:val="none"/>
              </w:rPr>
              <w:t>必选项</w:t>
            </w:r>
          </w:p>
        </w:tc>
        <w:tc>
          <w:tcPr>
            <w:tcW w:w="597" w:type="pct"/>
            <w:vAlign w:val="center"/>
          </w:tcPr>
          <w:p>
            <w:pPr>
              <w:adjustRightInd w:val="0"/>
              <w:snapToGrid w:val="0"/>
              <w:rPr>
                <w:rFonts w:ascii="仿宋" w:hAnsi="仿宋" w:eastAsia="仿宋"/>
                <w:szCs w:val="21"/>
                <w:highlight w:val="none"/>
              </w:rPr>
            </w:pPr>
          </w:p>
        </w:tc>
        <w:tc>
          <w:tcPr>
            <w:tcW w:w="896" w:type="pct"/>
            <w:vAlign w:val="center"/>
          </w:tcPr>
          <w:p>
            <w:pPr>
              <w:adjustRightInd w:val="0"/>
              <w:snapToGrid w:val="0"/>
              <w:ind w:right="-46"/>
              <w:rPr>
                <w:rFonts w:ascii="仿宋" w:hAnsi="仿宋" w:eastAsia="仿宋"/>
                <w:szCs w:val="21"/>
                <w:highlight w:val="none"/>
              </w:rPr>
            </w:pPr>
            <w:r>
              <w:rPr>
                <w:rFonts w:hint="eastAsia" w:ascii="仿宋" w:hAnsi="仿宋" w:eastAsia="仿宋"/>
                <w:szCs w:val="21"/>
                <w:highlight w:val="none"/>
              </w:rPr>
              <w:t>采用md5+salt、</w:t>
            </w:r>
            <w:r>
              <w:rPr>
                <w:rFonts w:ascii="仿宋" w:hAnsi="仿宋" w:eastAsia="仿宋"/>
                <w:szCs w:val="21"/>
                <w:highlight w:val="none"/>
              </w:rPr>
              <w:t>sha-256</w:t>
            </w:r>
            <w:r>
              <w:rPr>
                <w:rFonts w:hint="eastAsia" w:ascii="仿宋" w:hAnsi="仿宋" w:eastAsia="仿宋"/>
                <w:szCs w:val="21"/>
                <w:highlight w:val="none"/>
              </w:rPr>
              <w:t>摘要算法，或国密算法，符合等保要求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26" w:type="pct"/>
            <w:gridSpan w:val="4"/>
            <w:vAlign w:val="center"/>
          </w:tcPr>
          <w:p>
            <w:pPr>
              <w:numPr>
                <w:ilvl w:val="1"/>
                <w:numId w:val="151"/>
              </w:numPr>
              <w:ind w:right="-18"/>
              <w:rPr>
                <w:rFonts w:ascii="仿宋" w:hAnsi="仿宋" w:eastAsia="仿宋"/>
                <w:szCs w:val="21"/>
                <w:highlight w:val="none"/>
              </w:rPr>
            </w:pPr>
            <w:r>
              <w:rPr>
                <w:rFonts w:hint="eastAsia" w:ascii="仿宋" w:hAnsi="仿宋" w:eastAsia="仿宋"/>
                <w:highlight w:val="none"/>
              </w:rPr>
              <w:t>密钥文件不得以明文方式存储在应用系统</w:t>
            </w:r>
          </w:p>
        </w:tc>
        <w:tc>
          <w:tcPr>
            <w:tcW w:w="680" w:type="pct"/>
            <w:vAlign w:val="center"/>
          </w:tcPr>
          <w:p>
            <w:pPr>
              <w:adjustRightInd w:val="0"/>
              <w:snapToGrid w:val="0"/>
              <w:ind w:right="-15"/>
              <w:rPr>
                <w:rFonts w:ascii="仿宋" w:hAnsi="仿宋" w:eastAsia="仿宋"/>
                <w:szCs w:val="21"/>
                <w:highlight w:val="none"/>
              </w:rPr>
            </w:pPr>
            <w:r>
              <w:rPr>
                <w:rFonts w:hint="eastAsia" w:ascii="仿宋" w:hAnsi="仿宋" w:eastAsia="仿宋"/>
                <w:szCs w:val="21"/>
                <w:highlight w:val="none"/>
              </w:rPr>
              <w:t>必选项</w:t>
            </w:r>
          </w:p>
        </w:tc>
        <w:tc>
          <w:tcPr>
            <w:tcW w:w="597" w:type="pct"/>
            <w:vAlign w:val="center"/>
          </w:tcPr>
          <w:p>
            <w:pPr>
              <w:adjustRightInd w:val="0"/>
              <w:snapToGrid w:val="0"/>
              <w:rPr>
                <w:rFonts w:ascii="仿宋" w:hAnsi="仿宋" w:eastAsia="仿宋"/>
                <w:szCs w:val="21"/>
                <w:highlight w:val="none"/>
              </w:rPr>
            </w:pPr>
          </w:p>
        </w:tc>
        <w:tc>
          <w:tcPr>
            <w:tcW w:w="896" w:type="pct"/>
            <w:vAlign w:val="center"/>
          </w:tcPr>
          <w:p>
            <w:pPr>
              <w:adjustRightInd w:val="0"/>
              <w:snapToGrid w:val="0"/>
              <w:ind w:right="-46"/>
              <w:rPr>
                <w:rFonts w:ascii="仿宋" w:hAnsi="仿宋" w:eastAsia="仿宋"/>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26" w:type="pct"/>
            <w:gridSpan w:val="4"/>
            <w:vAlign w:val="center"/>
          </w:tcPr>
          <w:p>
            <w:pPr>
              <w:numPr>
                <w:ilvl w:val="1"/>
                <w:numId w:val="151"/>
              </w:numPr>
              <w:ind w:right="-18"/>
              <w:rPr>
                <w:rFonts w:ascii="仿宋" w:hAnsi="仿宋" w:eastAsia="仿宋"/>
                <w:highlight w:val="none"/>
              </w:rPr>
            </w:pPr>
            <w:r>
              <w:rPr>
                <w:rFonts w:hint="eastAsia" w:ascii="仿宋" w:hAnsi="仿宋" w:eastAsia="仿宋"/>
                <w:highlight w:val="none"/>
              </w:rPr>
              <w:t>禁止将密码（密钥）从服务器发往前端进行验证</w:t>
            </w:r>
          </w:p>
        </w:tc>
        <w:tc>
          <w:tcPr>
            <w:tcW w:w="680" w:type="pct"/>
            <w:vAlign w:val="center"/>
          </w:tcPr>
          <w:p>
            <w:pPr>
              <w:adjustRightInd w:val="0"/>
              <w:snapToGrid w:val="0"/>
              <w:ind w:right="-15"/>
              <w:rPr>
                <w:rFonts w:ascii="仿宋" w:hAnsi="仿宋" w:eastAsia="仿宋"/>
                <w:szCs w:val="21"/>
                <w:highlight w:val="none"/>
              </w:rPr>
            </w:pPr>
            <w:r>
              <w:rPr>
                <w:rFonts w:hint="eastAsia" w:ascii="仿宋" w:hAnsi="仿宋" w:eastAsia="仿宋"/>
                <w:szCs w:val="21"/>
                <w:highlight w:val="none"/>
              </w:rPr>
              <w:t>必选项</w:t>
            </w:r>
          </w:p>
        </w:tc>
        <w:tc>
          <w:tcPr>
            <w:tcW w:w="597" w:type="pct"/>
            <w:vAlign w:val="center"/>
          </w:tcPr>
          <w:p>
            <w:pPr>
              <w:adjustRightInd w:val="0"/>
              <w:snapToGrid w:val="0"/>
              <w:rPr>
                <w:rFonts w:ascii="仿宋" w:hAnsi="仿宋" w:eastAsia="仿宋"/>
                <w:szCs w:val="21"/>
                <w:highlight w:val="none"/>
              </w:rPr>
            </w:pPr>
          </w:p>
        </w:tc>
        <w:tc>
          <w:tcPr>
            <w:tcW w:w="896" w:type="pct"/>
            <w:vAlign w:val="center"/>
          </w:tcPr>
          <w:p>
            <w:pPr>
              <w:adjustRightInd w:val="0"/>
              <w:snapToGrid w:val="0"/>
              <w:ind w:right="-46"/>
              <w:rPr>
                <w:rFonts w:ascii="仿宋" w:hAnsi="仿宋" w:eastAsia="仿宋"/>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26" w:type="pct"/>
            <w:gridSpan w:val="4"/>
            <w:vAlign w:val="center"/>
          </w:tcPr>
          <w:p>
            <w:pPr>
              <w:numPr>
                <w:ilvl w:val="1"/>
                <w:numId w:val="151"/>
              </w:numPr>
              <w:ind w:right="-18"/>
              <w:rPr>
                <w:rFonts w:ascii="仿宋" w:hAnsi="仿宋" w:eastAsia="仿宋"/>
                <w:highlight w:val="none"/>
              </w:rPr>
            </w:pPr>
            <w:r>
              <w:rPr>
                <w:rFonts w:hint="eastAsia" w:ascii="仿宋" w:hAnsi="仿宋" w:eastAsia="仿宋"/>
                <w:highlight w:val="none"/>
              </w:rPr>
              <w:t>应用系统中数据库配置文件中的连接字符串须加密（如 实例名、服务器I</w:t>
            </w:r>
            <w:r>
              <w:rPr>
                <w:rFonts w:ascii="仿宋" w:hAnsi="仿宋" w:eastAsia="仿宋"/>
                <w:highlight w:val="none"/>
              </w:rPr>
              <w:t>P</w:t>
            </w:r>
            <w:r>
              <w:rPr>
                <w:rFonts w:hint="eastAsia" w:ascii="仿宋" w:hAnsi="仿宋" w:eastAsia="仿宋"/>
                <w:highlight w:val="none"/>
              </w:rPr>
              <w:t>、账户名、密码等）</w:t>
            </w:r>
          </w:p>
        </w:tc>
        <w:tc>
          <w:tcPr>
            <w:tcW w:w="680" w:type="pct"/>
            <w:vAlign w:val="center"/>
          </w:tcPr>
          <w:p>
            <w:pPr>
              <w:adjustRightInd w:val="0"/>
              <w:snapToGrid w:val="0"/>
              <w:ind w:right="-15"/>
              <w:rPr>
                <w:rFonts w:ascii="仿宋" w:hAnsi="仿宋" w:eastAsia="仿宋"/>
                <w:szCs w:val="21"/>
                <w:highlight w:val="none"/>
              </w:rPr>
            </w:pPr>
            <w:r>
              <w:rPr>
                <w:rFonts w:hint="eastAsia" w:ascii="仿宋" w:hAnsi="仿宋" w:eastAsia="仿宋"/>
                <w:szCs w:val="21"/>
                <w:highlight w:val="none"/>
              </w:rPr>
              <w:t>必选项</w:t>
            </w:r>
          </w:p>
        </w:tc>
        <w:tc>
          <w:tcPr>
            <w:tcW w:w="597" w:type="pct"/>
            <w:vAlign w:val="center"/>
          </w:tcPr>
          <w:p>
            <w:pPr>
              <w:adjustRightInd w:val="0"/>
              <w:snapToGrid w:val="0"/>
              <w:rPr>
                <w:rFonts w:ascii="仿宋" w:hAnsi="仿宋" w:eastAsia="仿宋"/>
                <w:szCs w:val="21"/>
                <w:highlight w:val="none"/>
              </w:rPr>
            </w:pPr>
          </w:p>
        </w:tc>
        <w:tc>
          <w:tcPr>
            <w:tcW w:w="896" w:type="pct"/>
            <w:vAlign w:val="center"/>
          </w:tcPr>
          <w:p>
            <w:pPr>
              <w:adjustRightInd w:val="0"/>
              <w:snapToGrid w:val="0"/>
              <w:ind w:right="-46"/>
              <w:rPr>
                <w:rFonts w:ascii="仿宋" w:hAnsi="仿宋" w:eastAsia="仿宋"/>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26" w:type="pct"/>
            <w:gridSpan w:val="4"/>
            <w:vAlign w:val="center"/>
          </w:tcPr>
          <w:p>
            <w:pPr>
              <w:numPr>
                <w:ilvl w:val="1"/>
                <w:numId w:val="151"/>
              </w:numPr>
              <w:ind w:right="-18"/>
              <w:rPr>
                <w:rFonts w:ascii="仿宋" w:hAnsi="仿宋" w:eastAsia="仿宋"/>
                <w:szCs w:val="21"/>
                <w:highlight w:val="none"/>
              </w:rPr>
            </w:pPr>
            <w:r>
              <w:rPr>
                <w:rFonts w:hint="eastAsia" w:ascii="仿宋" w:hAnsi="仿宋" w:eastAsia="仿宋"/>
                <w:highlight w:val="none"/>
              </w:rPr>
              <w:t>支持会话空闲超时中断的功能，时长参数可配置（如， 15分钟）；</w:t>
            </w:r>
          </w:p>
        </w:tc>
        <w:tc>
          <w:tcPr>
            <w:tcW w:w="680" w:type="pct"/>
            <w:vAlign w:val="center"/>
          </w:tcPr>
          <w:p>
            <w:pPr>
              <w:adjustRightInd w:val="0"/>
              <w:snapToGrid w:val="0"/>
              <w:ind w:right="-15"/>
              <w:rPr>
                <w:rFonts w:ascii="仿宋" w:hAnsi="仿宋" w:eastAsia="仿宋"/>
                <w:szCs w:val="21"/>
                <w:highlight w:val="none"/>
              </w:rPr>
            </w:pPr>
            <w:r>
              <w:rPr>
                <w:rFonts w:hint="eastAsia" w:ascii="仿宋" w:hAnsi="仿宋" w:eastAsia="仿宋"/>
                <w:szCs w:val="21"/>
                <w:highlight w:val="none"/>
              </w:rPr>
              <w:t>可选项</w:t>
            </w:r>
          </w:p>
        </w:tc>
        <w:tc>
          <w:tcPr>
            <w:tcW w:w="597" w:type="pct"/>
            <w:vAlign w:val="center"/>
          </w:tcPr>
          <w:p>
            <w:pPr>
              <w:adjustRightInd w:val="0"/>
              <w:snapToGrid w:val="0"/>
              <w:rPr>
                <w:rFonts w:ascii="仿宋" w:hAnsi="仿宋" w:eastAsia="仿宋"/>
                <w:szCs w:val="21"/>
                <w:highlight w:val="none"/>
              </w:rPr>
            </w:pPr>
          </w:p>
        </w:tc>
        <w:tc>
          <w:tcPr>
            <w:tcW w:w="896" w:type="pct"/>
            <w:vAlign w:val="center"/>
          </w:tcPr>
          <w:p>
            <w:pPr>
              <w:adjustRightInd w:val="0"/>
              <w:snapToGrid w:val="0"/>
              <w:ind w:right="-46"/>
              <w:rPr>
                <w:rFonts w:ascii="仿宋" w:hAnsi="仿宋" w:eastAsia="仿宋"/>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26" w:type="pct"/>
            <w:gridSpan w:val="4"/>
            <w:vAlign w:val="center"/>
          </w:tcPr>
          <w:p>
            <w:pPr>
              <w:numPr>
                <w:ilvl w:val="1"/>
                <w:numId w:val="151"/>
              </w:numPr>
              <w:ind w:right="-18"/>
              <w:rPr>
                <w:rFonts w:ascii="仿宋" w:hAnsi="仿宋" w:eastAsia="仿宋"/>
                <w:highlight w:val="none"/>
              </w:rPr>
            </w:pPr>
            <w:r>
              <w:rPr>
                <w:rFonts w:hint="eastAsia" w:ascii="仿宋" w:hAnsi="仿宋" w:eastAsia="仿宋"/>
                <w:highlight w:val="none"/>
              </w:rPr>
              <w:t xml:space="preserve">建议账户名由字母或字母加数字组合，建议6位以上。 </w:t>
            </w:r>
          </w:p>
        </w:tc>
        <w:tc>
          <w:tcPr>
            <w:tcW w:w="680" w:type="pct"/>
            <w:vAlign w:val="center"/>
          </w:tcPr>
          <w:p>
            <w:pPr>
              <w:adjustRightInd w:val="0"/>
              <w:snapToGrid w:val="0"/>
              <w:ind w:right="-15"/>
              <w:rPr>
                <w:rFonts w:ascii="仿宋" w:hAnsi="仿宋" w:eastAsia="仿宋"/>
                <w:szCs w:val="21"/>
                <w:highlight w:val="none"/>
              </w:rPr>
            </w:pPr>
            <w:r>
              <w:rPr>
                <w:rFonts w:hint="eastAsia" w:ascii="仿宋" w:hAnsi="仿宋" w:eastAsia="仿宋"/>
                <w:szCs w:val="21"/>
                <w:highlight w:val="none"/>
              </w:rPr>
              <w:t>可选项</w:t>
            </w:r>
          </w:p>
        </w:tc>
        <w:tc>
          <w:tcPr>
            <w:tcW w:w="597" w:type="pct"/>
            <w:vAlign w:val="center"/>
          </w:tcPr>
          <w:p>
            <w:pPr>
              <w:adjustRightInd w:val="0"/>
              <w:snapToGrid w:val="0"/>
              <w:rPr>
                <w:rFonts w:ascii="仿宋" w:hAnsi="仿宋" w:eastAsia="仿宋"/>
                <w:szCs w:val="21"/>
                <w:highlight w:val="none"/>
              </w:rPr>
            </w:pPr>
          </w:p>
        </w:tc>
        <w:tc>
          <w:tcPr>
            <w:tcW w:w="896" w:type="pct"/>
            <w:vAlign w:val="center"/>
          </w:tcPr>
          <w:p>
            <w:pPr>
              <w:adjustRightInd w:val="0"/>
              <w:snapToGrid w:val="0"/>
              <w:ind w:right="-46"/>
              <w:rPr>
                <w:rFonts w:ascii="仿宋" w:hAnsi="仿宋" w:eastAsia="仿宋"/>
                <w:color w:val="FF0000"/>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26" w:type="pct"/>
            <w:gridSpan w:val="4"/>
            <w:vAlign w:val="center"/>
          </w:tcPr>
          <w:p>
            <w:pPr>
              <w:numPr>
                <w:ilvl w:val="1"/>
                <w:numId w:val="151"/>
              </w:numPr>
              <w:ind w:right="-18"/>
              <w:rPr>
                <w:rFonts w:ascii="仿宋" w:hAnsi="仿宋" w:eastAsia="仿宋"/>
                <w:highlight w:val="none"/>
              </w:rPr>
            </w:pPr>
            <w:r>
              <w:rPr>
                <w:rFonts w:hint="eastAsia" w:ascii="仿宋" w:hAnsi="仿宋" w:eastAsia="仿宋"/>
                <w:highlight w:val="none"/>
              </w:rPr>
              <w:t>系统支持设置账户有效期，到期自动禁用。</w:t>
            </w:r>
          </w:p>
        </w:tc>
        <w:tc>
          <w:tcPr>
            <w:tcW w:w="680" w:type="pct"/>
            <w:vAlign w:val="center"/>
          </w:tcPr>
          <w:p>
            <w:pPr>
              <w:adjustRightInd w:val="0"/>
              <w:snapToGrid w:val="0"/>
              <w:ind w:right="-15"/>
              <w:rPr>
                <w:rFonts w:ascii="仿宋" w:hAnsi="仿宋" w:eastAsia="仿宋"/>
                <w:szCs w:val="21"/>
                <w:highlight w:val="none"/>
              </w:rPr>
            </w:pPr>
            <w:r>
              <w:rPr>
                <w:rFonts w:hint="eastAsia" w:ascii="仿宋" w:hAnsi="仿宋" w:eastAsia="仿宋"/>
                <w:szCs w:val="21"/>
                <w:highlight w:val="none"/>
              </w:rPr>
              <w:t>可选项</w:t>
            </w:r>
          </w:p>
        </w:tc>
        <w:tc>
          <w:tcPr>
            <w:tcW w:w="597" w:type="pct"/>
            <w:vAlign w:val="center"/>
          </w:tcPr>
          <w:p>
            <w:pPr>
              <w:adjustRightInd w:val="0"/>
              <w:snapToGrid w:val="0"/>
              <w:rPr>
                <w:rFonts w:ascii="仿宋" w:hAnsi="仿宋" w:eastAsia="仿宋"/>
                <w:szCs w:val="21"/>
                <w:highlight w:val="none"/>
              </w:rPr>
            </w:pPr>
          </w:p>
        </w:tc>
        <w:tc>
          <w:tcPr>
            <w:tcW w:w="896" w:type="pct"/>
            <w:vAlign w:val="center"/>
          </w:tcPr>
          <w:p>
            <w:pPr>
              <w:adjustRightInd w:val="0"/>
              <w:snapToGrid w:val="0"/>
              <w:ind w:right="-46"/>
              <w:rPr>
                <w:rFonts w:ascii="仿宋" w:hAnsi="仿宋" w:eastAsia="仿宋"/>
                <w:color w:val="FF0000"/>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26" w:type="pct"/>
            <w:gridSpan w:val="4"/>
            <w:vAlign w:val="center"/>
          </w:tcPr>
          <w:p>
            <w:pPr>
              <w:numPr>
                <w:ilvl w:val="1"/>
                <w:numId w:val="151"/>
              </w:numPr>
              <w:ind w:right="-18"/>
              <w:rPr>
                <w:rFonts w:ascii="仿宋" w:hAnsi="仿宋" w:eastAsia="仿宋"/>
                <w:highlight w:val="none"/>
              </w:rPr>
            </w:pPr>
            <w:r>
              <w:rPr>
                <w:rFonts w:hint="eastAsia" w:ascii="仿宋" w:hAnsi="仿宋" w:eastAsia="仿宋"/>
                <w:highlight w:val="none"/>
              </w:rPr>
              <w:t>系统支持账户的停用、启用、注销功能，可限制用户对系统的访问时段；</w:t>
            </w:r>
          </w:p>
        </w:tc>
        <w:tc>
          <w:tcPr>
            <w:tcW w:w="680" w:type="pct"/>
            <w:vAlign w:val="center"/>
          </w:tcPr>
          <w:p>
            <w:pPr>
              <w:adjustRightInd w:val="0"/>
              <w:snapToGrid w:val="0"/>
              <w:ind w:right="-15"/>
              <w:rPr>
                <w:rFonts w:ascii="仿宋" w:hAnsi="仿宋" w:eastAsia="仿宋"/>
                <w:szCs w:val="21"/>
                <w:highlight w:val="none"/>
              </w:rPr>
            </w:pPr>
            <w:r>
              <w:rPr>
                <w:rFonts w:hint="eastAsia" w:ascii="仿宋" w:hAnsi="仿宋" w:eastAsia="仿宋"/>
                <w:szCs w:val="21"/>
                <w:highlight w:val="none"/>
              </w:rPr>
              <w:t>可选项</w:t>
            </w:r>
          </w:p>
        </w:tc>
        <w:tc>
          <w:tcPr>
            <w:tcW w:w="597" w:type="pct"/>
            <w:vAlign w:val="center"/>
          </w:tcPr>
          <w:p>
            <w:pPr>
              <w:adjustRightInd w:val="0"/>
              <w:snapToGrid w:val="0"/>
              <w:rPr>
                <w:rFonts w:ascii="仿宋" w:hAnsi="仿宋" w:eastAsia="仿宋"/>
                <w:szCs w:val="21"/>
                <w:highlight w:val="none"/>
              </w:rPr>
            </w:pPr>
          </w:p>
        </w:tc>
        <w:tc>
          <w:tcPr>
            <w:tcW w:w="896" w:type="pct"/>
            <w:vAlign w:val="center"/>
          </w:tcPr>
          <w:p>
            <w:pPr>
              <w:adjustRightInd w:val="0"/>
              <w:snapToGrid w:val="0"/>
              <w:ind w:right="-46"/>
              <w:rPr>
                <w:rFonts w:ascii="仿宋" w:hAnsi="仿宋" w:eastAsia="仿宋"/>
                <w:color w:val="FF0000"/>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26" w:type="pct"/>
            <w:gridSpan w:val="4"/>
            <w:vAlign w:val="center"/>
          </w:tcPr>
          <w:p>
            <w:pPr>
              <w:numPr>
                <w:ilvl w:val="1"/>
                <w:numId w:val="151"/>
              </w:numPr>
              <w:ind w:right="-18"/>
              <w:rPr>
                <w:rFonts w:ascii="仿宋" w:hAnsi="仿宋" w:eastAsia="仿宋"/>
                <w:highlight w:val="none"/>
              </w:rPr>
            </w:pPr>
            <w:r>
              <w:rPr>
                <w:rFonts w:hint="eastAsia" w:ascii="仿宋" w:hAnsi="仿宋" w:eastAsia="仿宋"/>
                <w:highlight w:val="none"/>
              </w:rPr>
              <w:t>系统支持批量停用账户功能，并预留解冻功能；</w:t>
            </w:r>
          </w:p>
        </w:tc>
        <w:tc>
          <w:tcPr>
            <w:tcW w:w="680" w:type="pct"/>
            <w:vAlign w:val="center"/>
          </w:tcPr>
          <w:p>
            <w:pPr>
              <w:adjustRightInd w:val="0"/>
              <w:snapToGrid w:val="0"/>
              <w:ind w:right="-15"/>
              <w:rPr>
                <w:rFonts w:ascii="仿宋" w:hAnsi="仿宋" w:eastAsia="仿宋"/>
                <w:szCs w:val="21"/>
                <w:highlight w:val="none"/>
              </w:rPr>
            </w:pPr>
            <w:r>
              <w:rPr>
                <w:rFonts w:hint="eastAsia" w:ascii="仿宋" w:hAnsi="仿宋" w:eastAsia="仿宋"/>
                <w:szCs w:val="21"/>
                <w:highlight w:val="none"/>
              </w:rPr>
              <w:t>必选项</w:t>
            </w:r>
          </w:p>
        </w:tc>
        <w:tc>
          <w:tcPr>
            <w:tcW w:w="597" w:type="pct"/>
            <w:vAlign w:val="center"/>
          </w:tcPr>
          <w:p>
            <w:pPr>
              <w:adjustRightInd w:val="0"/>
              <w:snapToGrid w:val="0"/>
              <w:rPr>
                <w:rFonts w:ascii="仿宋" w:hAnsi="仿宋" w:eastAsia="仿宋"/>
                <w:szCs w:val="21"/>
                <w:highlight w:val="none"/>
              </w:rPr>
            </w:pPr>
          </w:p>
        </w:tc>
        <w:tc>
          <w:tcPr>
            <w:tcW w:w="896" w:type="pct"/>
            <w:vAlign w:val="center"/>
          </w:tcPr>
          <w:p>
            <w:pPr>
              <w:adjustRightInd w:val="0"/>
              <w:snapToGrid w:val="0"/>
              <w:ind w:right="-46"/>
              <w:rPr>
                <w:rFonts w:ascii="仿宋" w:hAnsi="仿宋" w:eastAsia="仿宋"/>
                <w:color w:val="FF0000"/>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26" w:type="pct"/>
            <w:gridSpan w:val="4"/>
            <w:vAlign w:val="center"/>
          </w:tcPr>
          <w:p>
            <w:pPr>
              <w:numPr>
                <w:ilvl w:val="1"/>
                <w:numId w:val="151"/>
              </w:numPr>
              <w:ind w:right="-18"/>
              <w:rPr>
                <w:rFonts w:ascii="仿宋" w:hAnsi="仿宋" w:eastAsia="仿宋"/>
                <w:highlight w:val="none"/>
              </w:rPr>
            </w:pPr>
            <w:r>
              <w:rPr>
                <w:rFonts w:hint="eastAsia" w:ascii="仿宋" w:hAnsi="仿宋" w:eastAsia="仿宋"/>
                <w:highlight w:val="none"/>
              </w:rPr>
              <w:t>可生成停用用户报表及系统用户权限明细表；</w:t>
            </w:r>
          </w:p>
        </w:tc>
        <w:tc>
          <w:tcPr>
            <w:tcW w:w="680" w:type="pct"/>
            <w:vAlign w:val="center"/>
          </w:tcPr>
          <w:p>
            <w:pPr>
              <w:adjustRightInd w:val="0"/>
              <w:snapToGrid w:val="0"/>
              <w:ind w:right="-15"/>
              <w:rPr>
                <w:rFonts w:ascii="仿宋" w:hAnsi="仿宋" w:eastAsia="仿宋"/>
                <w:szCs w:val="21"/>
                <w:highlight w:val="none"/>
              </w:rPr>
            </w:pPr>
            <w:r>
              <w:rPr>
                <w:rFonts w:hint="eastAsia" w:ascii="仿宋" w:hAnsi="仿宋" w:eastAsia="仿宋"/>
                <w:szCs w:val="21"/>
                <w:highlight w:val="none"/>
              </w:rPr>
              <w:t>可选项</w:t>
            </w:r>
          </w:p>
        </w:tc>
        <w:tc>
          <w:tcPr>
            <w:tcW w:w="597" w:type="pct"/>
            <w:vAlign w:val="center"/>
          </w:tcPr>
          <w:p>
            <w:pPr>
              <w:adjustRightInd w:val="0"/>
              <w:snapToGrid w:val="0"/>
              <w:rPr>
                <w:rFonts w:ascii="仿宋" w:hAnsi="仿宋" w:eastAsia="仿宋"/>
                <w:szCs w:val="21"/>
                <w:highlight w:val="none"/>
              </w:rPr>
            </w:pPr>
          </w:p>
        </w:tc>
        <w:tc>
          <w:tcPr>
            <w:tcW w:w="896" w:type="pct"/>
            <w:vAlign w:val="center"/>
          </w:tcPr>
          <w:p>
            <w:pPr>
              <w:adjustRightInd w:val="0"/>
              <w:snapToGrid w:val="0"/>
              <w:ind w:right="-46"/>
              <w:rPr>
                <w:rFonts w:ascii="仿宋" w:hAnsi="仿宋" w:eastAsia="仿宋"/>
                <w:color w:val="FF0000"/>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26" w:type="pct"/>
            <w:gridSpan w:val="4"/>
            <w:vAlign w:val="center"/>
          </w:tcPr>
          <w:p>
            <w:pPr>
              <w:numPr>
                <w:ilvl w:val="1"/>
                <w:numId w:val="151"/>
              </w:numPr>
              <w:ind w:right="-18"/>
              <w:rPr>
                <w:rFonts w:ascii="仿宋" w:hAnsi="仿宋" w:eastAsia="仿宋"/>
                <w:highlight w:val="none"/>
              </w:rPr>
            </w:pPr>
            <w:r>
              <w:rPr>
                <w:rFonts w:hint="eastAsia" w:ascii="仿宋" w:hAnsi="仿宋" w:eastAsia="仿宋"/>
                <w:kern w:val="0"/>
                <w:szCs w:val="21"/>
                <w:highlight w:val="none"/>
              </w:rPr>
              <w:t>系统用户支持双因子认证机制；</w:t>
            </w:r>
          </w:p>
        </w:tc>
        <w:tc>
          <w:tcPr>
            <w:tcW w:w="680" w:type="pct"/>
            <w:vAlign w:val="center"/>
          </w:tcPr>
          <w:p>
            <w:pPr>
              <w:adjustRightInd w:val="0"/>
              <w:snapToGrid w:val="0"/>
              <w:ind w:right="-15"/>
              <w:rPr>
                <w:rFonts w:ascii="仿宋" w:hAnsi="仿宋" w:eastAsia="仿宋"/>
                <w:szCs w:val="21"/>
                <w:highlight w:val="none"/>
              </w:rPr>
            </w:pPr>
            <w:r>
              <w:rPr>
                <w:rFonts w:hint="eastAsia" w:ascii="仿宋" w:hAnsi="仿宋" w:eastAsia="仿宋"/>
                <w:szCs w:val="21"/>
                <w:highlight w:val="none"/>
              </w:rPr>
              <w:t>可选项</w:t>
            </w:r>
          </w:p>
        </w:tc>
        <w:tc>
          <w:tcPr>
            <w:tcW w:w="597" w:type="pct"/>
            <w:vAlign w:val="center"/>
          </w:tcPr>
          <w:p>
            <w:pPr>
              <w:adjustRightInd w:val="0"/>
              <w:snapToGrid w:val="0"/>
              <w:rPr>
                <w:rFonts w:ascii="仿宋" w:hAnsi="仿宋" w:eastAsia="仿宋"/>
                <w:szCs w:val="21"/>
                <w:highlight w:val="none"/>
              </w:rPr>
            </w:pPr>
          </w:p>
        </w:tc>
        <w:tc>
          <w:tcPr>
            <w:tcW w:w="896" w:type="pct"/>
            <w:vAlign w:val="center"/>
          </w:tcPr>
          <w:p>
            <w:pPr>
              <w:adjustRightInd w:val="0"/>
              <w:snapToGrid w:val="0"/>
              <w:ind w:right="-46"/>
              <w:rPr>
                <w:rFonts w:ascii="仿宋" w:hAnsi="仿宋" w:eastAsia="仿宋"/>
                <w:szCs w:val="21"/>
                <w:highlight w:val="none"/>
              </w:rPr>
            </w:pPr>
            <w:r>
              <w:rPr>
                <w:rFonts w:hint="eastAsia" w:ascii="仿宋" w:hAnsi="仿宋" w:eastAsia="仿宋"/>
                <w:kern w:val="0"/>
                <w:szCs w:val="21"/>
                <w:highlight w:val="none"/>
              </w:rPr>
              <w:t>等保三级系统、互联网门户系统必须实现；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0" w:hRule="atLeast"/>
          <w:jc w:val="center"/>
        </w:trPr>
        <w:tc>
          <w:tcPr>
            <w:tcW w:w="5000" w:type="pct"/>
            <w:gridSpan w:val="7"/>
            <w:vAlign w:val="center"/>
          </w:tcPr>
          <w:p>
            <w:pPr>
              <w:adjustRightInd w:val="0"/>
              <w:snapToGrid w:val="0"/>
              <w:rPr>
                <w:rFonts w:ascii="仿宋" w:hAnsi="仿宋" w:eastAsia="仿宋"/>
                <w:b/>
                <w:szCs w:val="21"/>
                <w:highlight w:val="none"/>
              </w:rPr>
            </w:pPr>
            <w:bookmarkStart w:id="382" w:name="_Toc3470"/>
            <w:r>
              <w:rPr>
                <w:rFonts w:hint="eastAsia" w:ascii="仿宋" w:hAnsi="仿宋" w:eastAsia="仿宋"/>
                <w:b/>
                <w:szCs w:val="21"/>
                <w:highlight w:val="none"/>
              </w:rPr>
              <w:t>2、访问控制</w:t>
            </w:r>
            <w:bookmarkEnd w:id="382"/>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hidden/>
        </w:trPr>
        <w:tc>
          <w:tcPr>
            <w:tcW w:w="2826" w:type="pct"/>
            <w:gridSpan w:val="4"/>
            <w:vAlign w:val="center"/>
          </w:tcPr>
          <w:p>
            <w:pPr>
              <w:pStyle w:val="30"/>
              <w:numPr>
                <w:ilvl w:val="0"/>
                <w:numId w:val="151"/>
              </w:numPr>
              <w:ind w:right="-18" w:firstLineChars="0"/>
              <w:rPr>
                <w:rFonts w:ascii="仿宋" w:hAnsi="仿宋" w:eastAsia="仿宋"/>
                <w:vanish/>
                <w:highlight w:val="none"/>
              </w:rPr>
            </w:pPr>
          </w:p>
          <w:p>
            <w:pPr>
              <w:numPr>
                <w:ilvl w:val="1"/>
                <w:numId w:val="151"/>
              </w:numPr>
              <w:ind w:right="-18"/>
              <w:rPr>
                <w:rFonts w:ascii="仿宋" w:hAnsi="仿宋" w:eastAsia="仿宋"/>
                <w:kern w:val="0"/>
                <w:szCs w:val="21"/>
                <w:highlight w:val="none"/>
              </w:rPr>
            </w:pPr>
            <w:r>
              <w:rPr>
                <w:rFonts w:hint="eastAsia" w:ascii="仿宋" w:hAnsi="仿宋" w:eastAsia="仿宋"/>
                <w:highlight w:val="none"/>
              </w:rPr>
              <w:t>禁止产生越权访问漏洞</w:t>
            </w:r>
          </w:p>
        </w:tc>
        <w:tc>
          <w:tcPr>
            <w:tcW w:w="680" w:type="pct"/>
            <w:vAlign w:val="center"/>
          </w:tcPr>
          <w:p>
            <w:pPr>
              <w:adjustRightInd w:val="0"/>
              <w:snapToGrid w:val="0"/>
              <w:ind w:right="-15"/>
              <w:rPr>
                <w:rFonts w:ascii="仿宋" w:hAnsi="仿宋" w:eastAsia="仿宋"/>
                <w:szCs w:val="21"/>
                <w:highlight w:val="none"/>
              </w:rPr>
            </w:pPr>
            <w:r>
              <w:rPr>
                <w:rFonts w:hint="eastAsia" w:ascii="仿宋" w:hAnsi="仿宋" w:eastAsia="仿宋"/>
                <w:szCs w:val="21"/>
                <w:highlight w:val="none"/>
              </w:rPr>
              <w:t>必选项</w:t>
            </w:r>
          </w:p>
        </w:tc>
        <w:tc>
          <w:tcPr>
            <w:tcW w:w="597" w:type="pct"/>
            <w:vAlign w:val="center"/>
          </w:tcPr>
          <w:p>
            <w:pPr>
              <w:adjustRightInd w:val="0"/>
              <w:snapToGrid w:val="0"/>
              <w:ind w:left="420"/>
              <w:rPr>
                <w:rFonts w:ascii="仿宋" w:hAnsi="仿宋" w:eastAsia="仿宋"/>
                <w:szCs w:val="21"/>
                <w:highlight w:val="none"/>
              </w:rPr>
            </w:pPr>
          </w:p>
        </w:tc>
        <w:tc>
          <w:tcPr>
            <w:tcW w:w="896" w:type="pct"/>
            <w:vAlign w:val="center"/>
          </w:tcPr>
          <w:p>
            <w:pPr>
              <w:adjustRightInd w:val="0"/>
              <w:snapToGrid w:val="0"/>
              <w:ind w:right="74"/>
              <w:rPr>
                <w:rFonts w:ascii="仿宋" w:hAnsi="仿宋" w:eastAsia="仿宋"/>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26" w:type="pct"/>
            <w:gridSpan w:val="4"/>
            <w:vAlign w:val="center"/>
          </w:tcPr>
          <w:p>
            <w:pPr>
              <w:numPr>
                <w:ilvl w:val="1"/>
                <w:numId w:val="151"/>
              </w:numPr>
              <w:ind w:right="-18"/>
              <w:rPr>
                <w:rFonts w:ascii="仿宋" w:hAnsi="仿宋" w:eastAsia="仿宋"/>
                <w:kern w:val="0"/>
                <w:szCs w:val="21"/>
                <w:highlight w:val="none"/>
              </w:rPr>
            </w:pPr>
            <w:r>
              <w:rPr>
                <w:rFonts w:hint="eastAsia" w:ascii="仿宋" w:hAnsi="仿宋" w:eastAsia="仿宋"/>
                <w:highlight w:val="none"/>
              </w:rPr>
              <w:t>禁止产生未授权的访问漏洞</w:t>
            </w:r>
          </w:p>
        </w:tc>
        <w:tc>
          <w:tcPr>
            <w:tcW w:w="680" w:type="pct"/>
            <w:vAlign w:val="center"/>
          </w:tcPr>
          <w:p>
            <w:pPr>
              <w:adjustRightInd w:val="0"/>
              <w:snapToGrid w:val="0"/>
              <w:ind w:right="-15"/>
              <w:rPr>
                <w:rFonts w:ascii="仿宋" w:hAnsi="仿宋" w:eastAsia="仿宋"/>
                <w:szCs w:val="21"/>
                <w:highlight w:val="none"/>
              </w:rPr>
            </w:pPr>
            <w:r>
              <w:rPr>
                <w:rFonts w:hint="eastAsia" w:ascii="仿宋" w:hAnsi="仿宋" w:eastAsia="仿宋"/>
                <w:szCs w:val="21"/>
                <w:highlight w:val="none"/>
              </w:rPr>
              <w:t>必选项</w:t>
            </w:r>
          </w:p>
        </w:tc>
        <w:tc>
          <w:tcPr>
            <w:tcW w:w="597" w:type="pct"/>
            <w:vAlign w:val="center"/>
          </w:tcPr>
          <w:p>
            <w:pPr>
              <w:adjustRightInd w:val="0"/>
              <w:snapToGrid w:val="0"/>
              <w:ind w:left="420"/>
              <w:rPr>
                <w:rFonts w:ascii="仿宋" w:hAnsi="仿宋" w:eastAsia="仿宋"/>
                <w:szCs w:val="21"/>
                <w:highlight w:val="none"/>
              </w:rPr>
            </w:pPr>
          </w:p>
        </w:tc>
        <w:tc>
          <w:tcPr>
            <w:tcW w:w="896" w:type="pct"/>
            <w:vAlign w:val="center"/>
          </w:tcPr>
          <w:p>
            <w:pPr>
              <w:adjustRightInd w:val="0"/>
              <w:snapToGrid w:val="0"/>
              <w:ind w:right="74"/>
              <w:rPr>
                <w:rFonts w:ascii="仿宋" w:hAnsi="仿宋" w:eastAsia="仿宋"/>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26" w:type="pct"/>
            <w:gridSpan w:val="4"/>
            <w:vAlign w:val="center"/>
          </w:tcPr>
          <w:p>
            <w:pPr>
              <w:numPr>
                <w:ilvl w:val="1"/>
                <w:numId w:val="151"/>
              </w:numPr>
              <w:ind w:right="-18"/>
              <w:rPr>
                <w:rFonts w:ascii="仿宋" w:hAnsi="仿宋" w:eastAsia="仿宋"/>
                <w:kern w:val="0"/>
                <w:szCs w:val="21"/>
                <w:highlight w:val="none"/>
              </w:rPr>
            </w:pPr>
            <w:r>
              <w:rPr>
                <w:rFonts w:hint="eastAsia" w:ascii="仿宋" w:hAnsi="仿宋" w:eastAsia="仿宋"/>
                <w:highlight w:val="none"/>
              </w:rPr>
              <w:t>禁止产生目录遍历漏洞</w:t>
            </w:r>
          </w:p>
        </w:tc>
        <w:tc>
          <w:tcPr>
            <w:tcW w:w="680" w:type="pct"/>
            <w:vAlign w:val="center"/>
          </w:tcPr>
          <w:p>
            <w:pPr>
              <w:adjustRightInd w:val="0"/>
              <w:snapToGrid w:val="0"/>
              <w:ind w:right="-15"/>
              <w:rPr>
                <w:rFonts w:ascii="仿宋" w:hAnsi="仿宋" w:eastAsia="仿宋"/>
                <w:szCs w:val="21"/>
                <w:highlight w:val="none"/>
              </w:rPr>
            </w:pPr>
            <w:r>
              <w:rPr>
                <w:rFonts w:hint="eastAsia" w:ascii="仿宋" w:hAnsi="仿宋" w:eastAsia="仿宋"/>
                <w:szCs w:val="21"/>
                <w:highlight w:val="none"/>
              </w:rPr>
              <w:t>必选项</w:t>
            </w:r>
          </w:p>
        </w:tc>
        <w:tc>
          <w:tcPr>
            <w:tcW w:w="597" w:type="pct"/>
            <w:vAlign w:val="center"/>
          </w:tcPr>
          <w:p>
            <w:pPr>
              <w:adjustRightInd w:val="0"/>
              <w:snapToGrid w:val="0"/>
              <w:ind w:left="420"/>
              <w:rPr>
                <w:rFonts w:ascii="仿宋" w:hAnsi="仿宋" w:eastAsia="仿宋"/>
                <w:szCs w:val="21"/>
                <w:highlight w:val="none"/>
              </w:rPr>
            </w:pPr>
          </w:p>
        </w:tc>
        <w:tc>
          <w:tcPr>
            <w:tcW w:w="896" w:type="pct"/>
            <w:vAlign w:val="center"/>
          </w:tcPr>
          <w:p>
            <w:pPr>
              <w:adjustRightInd w:val="0"/>
              <w:snapToGrid w:val="0"/>
              <w:ind w:right="74"/>
              <w:rPr>
                <w:rFonts w:ascii="仿宋" w:hAnsi="仿宋" w:eastAsia="仿宋"/>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26" w:type="pct"/>
            <w:gridSpan w:val="4"/>
            <w:vAlign w:val="center"/>
          </w:tcPr>
          <w:p>
            <w:pPr>
              <w:numPr>
                <w:ilvl w:val="1"/>
                <w:numId w:val="151"/>
              </w:numPr>
              <w:ind w:right="-18"/>
              <w:rPr>
                <w:rFonts w:ascii="仿宋" w:hAnsi="仿宋" w:eastAsia="仿宋"/>
                <w:highlight w:val="none"/>
              </w:rPr>
            </w:pPr>
            <w:r>
              <w:rPr>
                <w:rFonts w:hint="eastAsia" w:ascii="仿宋" w:hAnsi="仿宋" w:eastAsia="仿宋"/>
                <w:highlight w:val="none"/>
              </w:rPr>
              <w:t>传递参数的页面须使用身份鉴别的令牌机制</w:t>
            </w:r>
          </w:p>
        </w:tc>
        <w:tc>
          <w:tcPr>
            <w:tcW w:w="680" w:type="pct"/>
            <w:vAlign w:val="center"/>
          </w:tcPr>
          <w:p>
            <w:pPr>
              <w:adjustRightInd w:val="0"/>
              <w:snapToGrid w:val="0"/>
              <w:ind w:right="-15"/>
              <w:rPr>
                <w:rFonts w:ascii="仿宋" w:hAnsi="仿宋" w:eastAsia="仿宋"/>
                <w:szCs w:val="21"/>
                <w:highlight w:val="none"/>
              </w:rPr>
            </w:pPr>
            <w:r>
              <w:rPr>
                <w:rFonts w:hint="eastAsia" w:ascii="仿宋" w:hAnsi="仿宋" w:eastAsia="仿宋"/>
                <w:szCs w:val="21"/>
                <w:highlight w:val="none"/>
              </w:rPr>
              <w:t>必选项</w:t>
            </w:r>
          </w:p>
        </w:tc>
        <w:tc>
          <w:tcPr>
            <w:tcW w:w="597" w:type="pct"/>
            <w:vAlign w:val="center"/>
          </w:tcPr>
          <w:p>
            <w:pPr>
              <w:adjustRightInd w:val="0"/>
              <w:snapToGrid w:val="0"/>
              <w:rPr>
                <w:rFonts w:ascii="仿宋" w:hAnsi="仿宋" w:eastAsia="仿宋"/>
                <w:szCs w:val="21"/>
                <w:highlight w:val="none"/>
              </w:rPr>
            </w:pPr>
          </w:p>
        </w:tc>
        <w:tc>
          <w:tcPr>
            <w:tcW w:w="896" w:type="pct"/>
            <w:vAlign w:val="center"/>
          </w:tcPr>
          <w:p>
            <w:pPr>
              <w:adjustRightInd w:val="0"/>
              <w:snapToGrid w:val="0"/>
              <w:ind w:right="74"/>
              <w:rPr>
                <w:rFonts w:ascii="仿宋" w:hAnsi="仿宋" w:eastAsia="仿宋"/>
                <w:szCs w:val="21"/>
                <w:highlight w:val="none"/>
              </w:rPr>
            </w:pPr>
            <w:r>
              <w:rPr>
                <w:rFonts w:ascii="仿宋" w:hAnsi="仿宋" w:eastAsia="仿宋"/>
                <w:szCs w:val="21"/>
                <w:highlight w:val="none"/>
              </w:rPr>
              <w:t>T</w:t>
            </w:r>
            <w:r>
              <w:rPr>
                <w:rFonts w:hint="eastAsia" w:ascii="仿宋" w:hAnsi="仿宋" w:eastAsia="仿宋"/>
                <w:szCs w:val="21"/>
                <w:highlight w:val="none"/>
              </w:rPr>
              <w:t>oken可以由访问来源、访问对象、时间戳、有效期、随机数等信息组成；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26" w:type="pct"/>
            <w:gridSpan w:val="4"/>
            <w:vAlign w:val="center"/>
          </w:tcPr>
          <w:p>
            <w:pPr>
              <w:numPr>
                <w:ilvl w:val="1"/>
                <w:numId w:val="151"/>
              </w:numPr>
              <w:ind w:right="-18"/>
              <w:rPr>
                <w:rFonts w:ascii="仿宋" w:hAnsi="仿宋" w:eastAsia="仿宋"/>
                <w:highlight w:val="none"/>
              </w:rPr>
            </w:pPr>
            <w:r>
              <w:rPr>
                <w:rFonts w:hint="eastAsia" w:ascii="仿宋" w:hAnsi="仿宋" w:eastAsia="仿宋"/>
                <w:highlight w:val="none"/>
              </w:rPr>
              <w:t>系统支持防重放攻击</w:t>
            </w:r>
          </w:p>
        </w:tc>
        <w:tc>
          <w:tcPr>
            <w:tcW w:w="680" w:type="pct"/>
            <w:vAlign w:val="center"/>
          </w:tcPr>
          <w:p>
            <w:pPr>
              <w:adjustRightInd w:val="0"/>
              <w:snapToGrid w:val="0"/>
              <w:ind w:right="-15"/>
              <w:rPr>
                <w:rFonts w:ascii="仿宋" w:hAnsi="仿宋" w:eastAsia="仿宋"/>
                <w:szCs w:val="21"/>
                <w:highlight w:val="none"/>
              </w:rPr>
            </w:pPr>
            <w:r>
              <w:rPr>
                <w:rFonts w:hint="eastAsia" w:ascii="仿宋" w:hAnsi="仿宋" w:eastAsia="仿宋"/>
                <w:szCs w:val="21"/>
                <w:highlight w:val="none"/>
              </w:rPr>
              <w:t>必选项</w:t>
            </w:r>
          </w:p>
        </w:tc>
        <w:tc>
          <w:tcPr>
            <w:tcW w:w="597" w:type="pct"/>
            <w:vAlign w:val="center"/>
          </w:tcPr>
          <w:p>
            <w:pPr>
              <w:adjustRightInd w:val="0"/>
              <w:snapToGrid w:val="0"/>
              <w:rPr>
                <w:rFonts w:ascii="仿宋" w:hAnsi="仿宋" w:eastAsia="仿宋"/>
                <w:szCs w:val="21"/>
                <w:highlight w:val="none"/>
              </w:rPr>
            </w:pPr>
          </w:p>
        </w:tc>
        <w:tc>
          <w:tcPr>
            <w:tcW w:w="896" w:type="pct"/>
            <w:vAlign w:val="center"/>
          </w:tcPr>
          <w:p>
            <w:pPr>
              <w:adjustRightInd w:val="0"/>
              <w:snapToGrid w:val="0"/>
              <w:ind w:right="74"/>
              <w:rPr>
                <w:rFonts w:ascii="仿宋" w:hAnsi="仿宋" w:eastAsia="仿宋"/>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26" w:type="pct"/>
            <w:gridSpan w:val="4"/>
            <w:vAlign w:val="center"/>
          </w:tcPr>
          <w:p>
            <w:pPr>
              <w:numPr>
                <w:ilvl w:val="1"/>
                <w:numId w:val="151"/>
              </w:numPr>
              <w:ind w:right="-18"/>
              <w:rPr>
                <w:rFonts w:ascii="仿宋" w:hAnsi="仿宋" w:eastAsia="仿宋"/>
                <w:kern w:val="0"/>
                <w:szCs w:val="21"/>
                <w:highlight w:val="none"/>
              </w:rPr>
            </w:pPr>
            <w:r>
              <w:rPr>
                <w:rFonts w:hint="eastAsia" w:ascii="仿宋" w:hAnsi="仿宋" w:eastAsia="仿宋"/>
                <w:highlight w:val="none"/>
              </w:rPr>
              <w:t>禁止注入漏洞</w:t>
            </w:r>
          </w:p>
        </w:tc>
        <w:tc>
          <w:tcPr>
            <w:tcW w:w="680" w:type="pct"/>
            <w:vAlign w:val="center"/>
          </w:tcPr>
          <w:p>
            <w:pPr>
              <w:adjustRightInd w:val="0"/>
              <w:snapToGrid w:val="0"/>
              <w:ind w:right="-15"/>
              <w:rPr>
                <w:rFonts w:ascii="仿宋" w:hAnsi="仿宋" w:eastAsia="仿宋"/>
                <w:szCs w:val="21"/>
                <w:highlight w:val="none"/>
              </w:rPr>
            </w:pPr>
            <w:r>
              <w:rPr>
                <w:rFonts w:hint="eastAsia" w:ascii="仿宋" w:hAnsi="仿宋" w:eastAsia="仿宋"/>
                <w:szCs w:val="21"/>
                <w:highlight w:val="none"/>
              </w:rPr>
              <w:t>必选项</w:t>
            </w:r>
          </w:p>
        </w:tc>
        <w:tc>
          <w:tcPr>
            <w:tcW w:w="597" w:type="pct"/>
            <w:vAlign w:val="center"/>
          </w:tcPr>
          <w:p>
            <w:pPr>
              <w:adjustRightInd w:val="0"/>
              <w:snapToGrid w:val="0"/>
              <w:ind w:left="420"/>
              <w:rPr>
                <w:rFonts w:ascii="仿宋" w:hAnsi="仿宋" w:eastAsia="仿宋"/>
                <w:szCs w:val="21"/>
                <w:highlight w:val="none"/>
              </w:rPr>
            </w:pPr>
          </w:p>
        </w:tc>
        <w:tc>
          <w:tcPr>
            <w:tcW w:w="896" w:type="pct"/>
            <w:vAlign w:val="center"/>
          </w:tcPr>
          <w:p>
            <w:pPr>
              <w:adjustRightInd w:val="0"/>
              <w:snapToGrid w:val="0"/>
              <w:ind w:right="74"/>
              <w:rPr>
                <w:rFonts w:ascii="仿宋" w:hAnsi="仿宋" w:eastAsia="仿宋"/>
                <w:szCs w:val="21"/>
                <w:highlight w:val="none"/>
              </w:rPr>
            </w:pPr>
            <w:r>
              <w:rPr>
                <w:rFonts w:hint="eastAsia" w:ascii="仿宋" w:hAnsi="仿宋" w:eastAsia="仿宋"/>
                <w:highlight w:val="none"/>
              </w:rPr>
              <w:t>SQL注入、</w:t>
            </w:r>
            <w:r>
              <w:rPr>
                <w:rFonts w:ascii="仿宋" w:hAnsi="仿宋" w:eastAsia="仿宋"/>
                <w:highlight w:val="none"/>
              </w:rPr>
              <w:t>LDAP</w:t>
            </w:r>
            <w:r>
              <w:rPr>
                <w:rFonts w:hint="eastAsia" w:ascii="仿宋" w:hAnsi="仿宋" w:eastAsia="仿宋"/>
                <w:highlight w:val="none"/>
              </w:rPr>
              <w:t>注入、</w:t>
            </w:r>
            <w:r>
              <w:rPr>
                <w:rFonts w:ascii="仿宋" w:hAnsi="仿宋" w:eastAsia="仿宋"/>
                <w:highlight w:val="none"/>
              </w:rPr>
              <w:t>xpath</w:t>
            </w:r>
            <w:r>
              <w:rPr>
                <w:rFonts w:hint="eastAsia" w:ascii="仿宋" w:hAnsi="仿宋" w:eastAsia="仿宋"/>
                <w:highlight w:val="none"/>
              </w:rPr>
              <w:t>注入等；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9" w:type="pct"/>
            <w:gridSpan w:val="3"/>
            <w:vMerge w:val="restart"/>
            <w:vAlign w:val="center"/>
          </w:tcPr>
          <w:p>
            <w:pPr>
              <w:numPr>
                <w:ilvl w:val="1"/>
                <w:numId w:val="151"/>
              </w:numPr>
              <w:ind w:right="-123"/>
              <w:rPr>
                <w:rFonts w:ascii="仿宋" w:hAnsi="仿宋" w:eastAsia="仿宋"/>
                <w:highlight w:val="none"/>
              </w:rPr>
            </w:pPr>
            <w:r>
              <w:rPr>
                <w:rFonts w:hint="eastAsia" w:ascii="仿宋" w:hAnsi="仿宋" w:eastAsia="仿宋"/>
                <w:bCs/>
                <w:kern w:val="44"/>
                <w:szCs w:val="21"/>
                <w:highlight w:val="none"/>
              </w:rPr>
              <w:t>开放接口安全</w:t>
            </w:r>
          </w:p>
        </w:tc>
        <w:tc>
          <w:tcPr>
            <w:tcW w:w="1636" w:type="pct"/>
            <w:vAlign w:val="center"/>
          </w:tcPr>
          <w:p>
            <w:pPr>
              <w:numPr>
                <w:ilvl w:val="2"/>
                <w:numId w:val="151"/>
              </w:numPr>
              <w:ind w:left="960" w:right="-117" w:hanging="947"/>
              <w:rPr>
                <w:rFonts w:ascii="仿宋" w:hAnsi="仿宋" w:eastAsia="仿宋"/>
                <w:bCs/>
                <w:kern w:val="44"/>
                <w:szCs w:val="21"/>
                <w:highlight w:val="none"/>
              </w:rPr>
            </w:pPr>
            <w:r>
              <w:rPr>
                <w:rFonts w:hint="eastAsia" w:ascii="仿宋" w:hAnsi="仿宋" w:eastAsia="仿宋"/>
                <w:bCs/>
                <w:kern w:val="44"/>
                <w:szCs w:val="21"/>
                <w:highlight w:val="none"/>
              </w:rPr>
              <w:t>接口以HTTP（S）方式开放</w:t>
            </w:r>
          </w:p>
        </w:tc>
        <w:tc>
          <w:tcPr>
            <w:tcW w:w="680" w:type="pct"/>
            <w:vAlign w:val="center"/>
          </w:tcPr>
          <w:p>
            <w:pPr>
              <w:adjustRightInd w:val="0"/>
              <w:snapToGrid w:val="0"/>
              <w:ind w:right="-15"/>
              <w:rPr>
                <w:rFonts w:ascii="仿宋" w:hAnsi="仿宋" w:eastAsia="仿宋"/>
                <w:szCs w:val="21"/>
                <w:highlight w:val="none"/>
              </w:rPr>
            </w:pPr>
            <w:r>
              <w:rPr>
                <w:rFonts w:hint="eastAsia" w:ascii="仿宋" w:hAnsi="仿宋" w:eastAsia="仿宋"/>
                <w:szCs w:val="21"/>
                <w:highlight w:val="none"/>
              </w:rPr>
              <w:t>必选项</w:t>
            </w:r>
          </w:p>
        </w:tc>
        <w:tc>
          <w:tcPr>
            <w:tcW w:w="597" w:type="pct"/>
            <w:vAlign w:val="center"/>
          </w:tcPr>
          <w:p>
            <w:pPr>
              <w:adjustRightInd w:val="0"/>
              <w:snapToGrid w:val="0"/>
              <w:ind w:left="420"/>
              <w:rPr>
                <w:rFonts w:ascii="仿宋" w:hAnsi="仿宋" w:eastAsia="仿宋"/>
                <w:szCs w:val="21"/>
                <w:highlight w:val="none"/>
              </w:rPr>
            </w:pPr>
          </w:p>
        </w:tc>
        <w:tc>
          <w:tcPr>
            <w:tcW w:w="896" w:type="pct"/>
            <w:vAlign w:val="center"/>
          </w:tcPr>
          <w:p>
            <w:pPr>
              <w:adjustRightInd w:val="0"/>
              <w:snapToGrid w:val="0"/>
              <w:ind w:right="74"/>
              <w:rPr>
                <w:rFonts w:ascii="仿宋" w:hAnsi="仿宋" w:eastAsia="仿宋"/>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9" w:type="pct"/>
            <w:gridSpan w:val="3"/>
            <w:vMerge w:val="continue"/>
            <w:vAlign w:val="center"/>
          </w:tcPr>
          <w:p>
            <w:pPr>
              <w:numPr>
                <w:ilvl w:val="1"/>
                <w:numId w:val="151"/>
              </w:numPr>
              <w:rPr>
                <w:rFonts w:ascii="仿宋" w:hAnsi="仿宋" w:eastAsia="仿宋"/>
                <w:highlight w:val="none"/>
              </w:rPr>
            </w:pPr>
          </w:p>
        </w:tc>
        <w:tc>
          <w:tcPr>
            <w:tcW w:w="1636" w:type="pct"/>
            <w:vAlign w:val="center"/>
          </w:tcPr>
          <w:p>
            <w:pPr>
              <w:numPr>
                <w:ilvl w:val="2"/>
                <w:numId w:val="151"/>
              </w:numPr>
              <w:ind w:left="960" w:right="-117" w:hanging="947"/>
              <w:rPr>
                <w:rFonts w:ascii="仿宋" w:hAnsi="仿宋" w:eastAsia="仿宋"/>
                <w:bCs/>
                <w:kern w:val="44"/>
                <w:szCs w:val="21"/>
                <w:highlight w:val="none"/>
              </w:rPr>
            </w:pPr>
            <w:r>
              <w:rPr>
                <w:rFonts w:hint="eastAsia" w:ascii="仿宋" w:hAnsi="仿宋" w:eastAsia="仿宋"/>
                <w:bCs/>
                <w:kern w:val="44"/>
                <w:szCs w:val="21"/>
                <w:highlight w:val="none"/>
              </w:rPr>
              <w:t>设计接口需要有身份认证，对来源授权，只允许授权的IP访问；</w:t>
            </w:r>
          </w:p>
        </w:tc>
        <w:tc>
          <w:tcPr>
            <w:tcW w:w="680" w:type="pct"/>
            <w:vAlign w:val="center"/>
          </w:tcPr>
          <w:p>
            <w:pPr>
              <w:adjustRightInd w:val="0"/>
              <w:snapToGrid w:val="0"/>
              <w:ind w:right="-15"/>
              <w:rPr>
                <w:rFonts w:ascii="仿宋" w:hAnsi="仿宋" w:eastAsia="仿宋"/>
                <w:szCs w:val="21"/>
                <w:highlight w:val="none"/>
              </w:rPr>
            </w:pPr>
            <w:r>
              <w:rPr>
                <w:rFonts w:hint="eastAsia" w:ascii="仿宋" w:hAnsi="仿宋" w:eastAsia="仿宋"/>
                <w:szCs w:val="21"/>
                <w:highlight w:val="none"/>
              </w:rPr>
              <w:t>必选项</w:t>
            </w:r>
          </w:p>
        </w:tc>
        <w:tc>
          <w:tcPr>
            <w:tcW w:w="597" w:type="pct"/>
            <w:vAlign w:val="center"/>
          </w:tcPr>
          <w:p>
            <w:pPr>
              <w:adjustRightInd w:val="0"/>
              <w:snapToGrid w:val="0"/>
              <w:ind w:left="420"/>
              <w:rPr>
                <w:rFonts w:ascii="仿宋" w:hAnsi="仿宋" w:eastAsia="仿宋"/>
                <w:szCs w:val="21"/>
                <w:highlight w:val="none"/>
              </w:rPr>
            </w:pPr>
          </w:p>
        </w:tc>
        <w:tc>
          <w:tcPr>
            <w:tcW w:w="896" w:type="pct"/>
            <w:vAlign w:val="center"/>
          </w:tcPr>
          <w:p>
            <w:pPr>
              <w:adjustRightInd w:val="0"/>
              <w:snapToGrid w:val="0"/>
              <w:ind w:right="74"/>
              <w:rPr>
                <w:rFonts w:ascii="仿宋" w:hAnsi="仿宋" w:eastAsia="仿宋"/>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9" w:type="pct"/>
            <w:gridSpan w:val="3"/>
            <w:vMerge w:val="continue"/>
            <w:vAlign w:val="center"/>
          </w:tcPr>
          <w:p>
            <w:pPr>
              <w:numPr>
                <w:ilvl w:val="1"/>
                <w:numId w:val="151"/>
              </w:numPr>
              <w:rPr>
                <w:rFonts w:ascii="仿宋" w:hAnsi="仿宋" w:eastAsia="仿宋"/>
                <w:highlight w:val="none"/>
              </w:rPr>
            </w:pPr>
          </w:p>
        </w:tc>
        <w:tc>
          <w:tcPr>
            <w:tcW w:w="1636" w:type="pct"/>
            <w:vAlign w:val="center"/>
          </w:tcPr>
          <w:p>
            <w:pPr>
              <w:numPr>
                <w:ilvl w:val="2"/>
                <w:numId w:val="151"/>
              </w:numPr>
              <w:ind w:left="960" w:right="-117" w:hanging="947"/>
              <w:rPr>
                <w:rFonts w:ascii="仿宋" w:hAnsi="仿宋" w:eastAsia="仿宋"/>
                <w:bCs/>
                <w:kern w:val="44"/>
                <w:szCs w:val="21"/>
                <w:highlight w:val="none"/>
              </w:rPr>
            </w:pPr>
            <w:r>
              <w:rPr>
                <w:rFonts w:hint="eastAsia" w:ascii="仿宋" w:hAnsi="仿宋" w:eastAsia="仿宋"/>
                <w:bCs/>
                <w:kern w:val="44"/>
                <w:szCs w:val="21"/>
                <w:highlight w:val="none"/>
              </w:rPr>
              <w:t>关键的（功能）接口调用需要有日志记录</w:t>
            </w:r>
          </w:p>
        </w:tc>
        <w:tc>
          <w:tcPr>
            <w:tcW w:w="680" w:type="pct"/>
            <w:vAlign w:val="center"/>
          </w:tcPr>
          <w:p>
            <w:pPr>
              <w:adjustRightInd w:val="0"/>
              <w:snapToGrid w:val="0"/>
              <w:ind w:right="-15"/>
              <w:rPr>
                <w:rFonts w:ascii="仿宋" w:hAnsi="仿宋" w:eastAsia="仿宋"/>
                <w:szCs w:val="21"/>
                <w:highlight w:val="none"/>
              </w:rPr>
            </w:pPr>
            <w:r>
              <w:rPr>
                <w:rFonts w:hint="eastAsia" w:ascii="仿宋" w:hAnsi="仿宋" w:eastAsia="仿宋"/>
                <w:szCs w:val="21"/>
                <w:highlight w:val="none"/>
              </w:rPr>
              <w:t>可选项</w:t>
            </w:r>
          </w:p>
        </w:tc>
        <w:tc>
          <w:tcPr>
            <w:tcW w:w="597" w:type="pct"/>
            <w:vAlign w:val="center"/>
          </w:tcPr>
          <w:p>
            <w:pPr>
              <w:adjustRightInd w:val="0"/>
              <w:snapToGrid w:val="0"/>
              <w:ind w:left="420"/>
              <w:rPr>
                <w:rFonts w:ascii="仿宋" w:hAnsi="仿宋" w:eastAsia="仿宋"/>
                <w:szCs w:val="21"/>
                <w:highlight w:val="none"/>
              </w:rPr>
            </w:pPr>
          </w:p>
        </w:tc>
        <w:tc>
          <w:tcPr>
            <w:tcW w:w="896" w:type="pct"/>
            <w:vAlign w:val="center"/>
          </w:tcPr>
          <w:p>
            <w:pPr>
              <w:adjustRightInd w:val="0"/>
              <w:snapToGrid w:val="0"/>
              <w:ind w:right="74"/>
              <w:rPr>
                <w:rFonts w:ascii="仿宋" w:hAnsi="仿宋" w:eastAsia="仿宋"/>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9" w:type="pct"/>
            <w:gridSpan w:val="3"/>
            <w:vMerge w:val="continue"/>
            <w:vAlign w:val="center"/>
          </w:tcPr>
          <w:p>
            <w:pPr>
              <w:numPr>
                <w:ilvl w:val="1"/>
                <w:numId w:val="151"/>
              </w:numPr>
              <w:rPr>
                <w:rFonts w:ascii="仿宋" w:hAnsi="仿宋" w:eastAsia="仿宋"/>
                <w:highlight w:val="none"/>
              </w:rPr>
            </w:pPr>
          </w:p>
        </w:tc>
        <w:tc>
          <w:tcPr>
            <w:tcW w:w="1636" w:type="pct"/>
            <w:vAlign w:val="center"/>
          </w:tcPr>
          <w:p>
            <w:pPr>
              <w:numPr>
                <w:ilvl w:val="2"/>
                <w:numId w:val="151"/>
              </w:numPr>
              <w:ind w:left="960" w:right="-117" w:hanging="947"/>
              <w:rPr>
                <w:rFonts w:ascii="仿宋" w:hAnsi="仿宋" w:eastAsia="仿宋"/>
                <w:bCs/>
                <w:kern w:val="44"/>
                <w:szCs w:val="21"/>
                <w:highlight w:val="none"/>
              </w:rPr>
            </w:pPr>
            <w:r>
              <w:rPr>
                <w:rFonts w:hint="eastAsia" w:ascii="仿宋" w:hAnsi="仿宋" w:eastAsia="仿宋"/>
                <w:bCs/>
                <w:kern w:val="44"/>
                <w:szCs w:val="21"/>
                <w:highlight w:val="none"/>
              </w:rPr>
              <w:t>参数传递需要做签名，签名需要有失效性，建议失效时间：&lt;=30分钟；</w:t>
            </w:r>
          </w:p>
        </w:tc>
        <w:tc>
          <w:tcPr>
            <w:tcW w:w="680" w:type="pct"/>
            <w:vAlign w:val="center"/>
          </w:tcPr>
          <w:p>
            <w:pPr>
              <w:adjustRightInd w:val="0"/>
              <w:snapToGrid w:val="0"/>
              <w:ind w:right="-15"/>
              <w:rPr>
                <w:rFonts w:ascii="仿宋" w:hAnsi="仿宋" w:eastAsia="仿宋"/>
                <w:szCs w:val="21"/>
                <w:highlight w:val="none"/>
              </w:rPr>
            </w:pPr>
            <w:r>
              <w:rPr>
                <w:rFonts w:hint="eastAsia" w:ascii="仿宋" w:hAnsi="仿宋" w:eastAsia="仿宋"/>
                <w:szCs w:val="21"/>
                <w:highlight w:val="none"/>
              </w:rPr>
              <w:t>可选项</w:t>
            </w:r>
          </w:p>
        </w:tc>
        <w:tc>
          <w:tcPr>
            <w:tcW w:w="597" w:type="pct"/>
            <w:vAlign w:val="center"/>
          </w:tcPr>
          <w:p>
            <w:pPr>
              <w:adjustRightInd w:val="0"/>
              <w:snapToGrid w:val="0"/>
              <w:ind w:left="420"/>
              <w:rPr>
                <w:rFonts w:ascii="仿宋" w:hAnsi="仿宋" w:eastAsia="仿宋"/>
                <w:szCs w:val="21"/>
                <w:highlight w:val="none"/>
              </w:rPr>
            </w:pPr>
          </w:p>
        </w:tc>
        <w:tc>
          <w:tcPr>
            <w:tcW w:w="896" w:type="pct"/>
            <w:vAlign w:val="center"/>
          </w:tcPr>
          <w:p>
            <w:pPr>
              <w:adjustRightInd w:val="0"/>
              <w:snapToGrid w:val="0"/>
              <w:ind w:right="74"/>
              <w:rPr>
                <w:rFonts w:ascii="仿宋" w:hAnsi="仿宋" w:eastAsia="仿宋"/>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9" w:type="pct"/>
            <w:gridSpan w:val="3"/>
            <w:vMerge w:val="restart"/>
            <w:vAlign w:val="center"/>
          </w:tcPr>
          <w:p>
            <w:pPr>
              <w:numPr>
                <w:ilvl w:val="1"/>
                <w:numId w:val="151"/>
              </w:numPr>
              <w:ind w:right="-123"/>
              <w:rPr>
                <w:rFonts w:ascii="仿宋" w:hAnsi="仿宋" w:eastAsia="仿宋"/>
                <w:bCs/>
                <w:kern w:val="44"/>
                <w:szCs w:val="21"/>
                <w:highlight w:val="none"/>
              </w:rPr>
            </w:pPr>
            <w:r>
              <w:rPr>
                <w:rFonts w:hint="eastAsia" w:ascii="仿宋" w:hAnsi="仿宋" w:eastAsia="仿宋"/>
                <w:bCs/>
                <w:kern w:val="44"/>
                <w:szCs w:val="21"/>
                <w:highlight w:val="none"/>
              </w:rPr>
              <w:t>文件上传</w:t>
            </w:r>
          </w:p>
        </w:tc>
        <w:tc>
          <w:tcPr>
            <w:tcW w:w="1636" w:type="pct"/>
            <w:vAlign w:val="center"/>
          </w:tcPr>
          <w:p>
            <w:pPr>
              <w:numPr>
                <w:ilvl w:val="2"/>
                <w:numId w:val="151"/>
              </w:numPr>
              <w:ind w:left="960" w:right="-117" w:hanging="947"/>
              <w:rPr>
                <w:rFonts w:ascii="仿宋" w:hAnsi="仿宋" w:eastAsia="仿宋"/>
                <w:bCs/>
                <w:kern w:val="44"/>
                <w:szCs w:val="21"/>
                <w:highlight w:val="none"/>
              </w:rPr>
            </w:pPr>
            <w:r>
              <w:rPr>
                <w:rFonts w:hint="eastAsia" w:ascii="仿宋" w:hAnsi="仿宋" w:eastAsia="仿宋"/>
                <w:bCs/>
                <w:kern w:val="44"/>
                <w:szCs w:val="21"/>
                <w:highlight w:val="none"/>
              </w:rPr>
              <w:t>禁止存放上传文件的目录拥有执行的权限</w:t>
            </w:r>
          </w:p>
        </w:tc>
        <w:tc>
          <w:tcPr>
            <w:tcW w:w="680" w:type="pct"/>
            <w:vAlign w:val="center"/>
          </w:tcPr>
          <w:p>
            <w:pPr>
              <w:adjustRightInd w:val="0"/>
              <w:snapToGrid w:val="0"/>
              <w:ind w:right="-15"/>
              <w:rPr>
                <w:rFonts w:ascii="仿宋" w:hAnsi="仿宋" w:eastAsia="仿宋"/>
                <w:szCs w:val="21"/>
                <w:highlight w:val="none"/>
              </w:rPr>
            </w:pPr>
            <w:r>
              <w:rPr>
                <w:rFonts w:hint="eastAsia" w:ascii="仿宋" w:hAnsi="仿宋" w:eastAsia="仿宋"/>
                <w:szCs w:val="21"/>
                <w:highlight w:val="none"/>
              </w:rPr>
              <w:t>必选项</w:t>
            </w:r>
          </w:p>
        </w:tc>
        <w:tc>
          <w:tcPr>
            <w:tcW w:w="597" w:type="pct"/>
            <w:vAlign w:val="center"/>
          </w:tcPr>
          <w:p>
            <w:pPr>
              <w:adjustRightInd w:val="0"/>
              <w:snapToGrid w:val="0"/>
              <w:ind w:left="420"/>
              <w:rPr>
                <w:rFonts w:ascii="仿宋" w:hAnsi="仿宋" w:eastAsia="仿宋"/>
                <w:szCs w:val="21"/>
                <w:highlight w:val="none"/>
              </w:rPr>
            </w:pPr>
          </w:p>
        </w:tc>
        <w:tc>
          <w:tcPr>
            <w:tcW w:w="896" w:type="pct"/>
            <w:vAlign w:val="center"/>
          </w:tcPr>
          <w:p>
            <w:pPr>
              <w:adjustRightInd w:val="0"/>
              <w:snapToGrid w:val="0"/>
              <w:ind w:right="74"/>
              <w:rPr>
                <w:rFonts w:ascii="仿宋" w:hAnsi="仿宋" w:eastAsia="仿宋"/>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9" w:type="pct"/>
            <w:gridSpan w:val="3"/>
            <w:vMerge w:val="continue"/>
            <w:vAlign w:val="center"/>
          </w:tcPr>
          <w:p>
            <w:pPr>
              <w:numPr>
                <w:ilvl w:val="1"/>
                <w:numId w:val="151"/>
              </w:numPr>
              <w:rPr>
                <w:rFonts w:ascii="仿宋" w:hAnsi="仿宋" w:eastAsia="仿宋"/>
                <w:highlight w:val="none"/>
              </w:rPr>
            </w:pPr>
          </w:p>
        </w:tc>
        <w:tc>
          <w:tcPr>
            <w:tcW w:w="1636" w:type="pct"/>
            <w:vAlign w:val="center"/>
          </w:tcPr>
          <w:p>
            <w:pPr>
              <w:numPr>
                <w:ilvl w:val="2"/>
                <w:numId w:val="151"/>
              </w:numPr>
              <w:ind w:left="960" w:right="-117" w:hanging="947"/>
              <w:rPr>
                <w:rFonts w:ascii="仿宋" w:hAnsi="仿宋" w:eastAsia="仿宋"/>
                <w:bCs/>
                <w:kern w:val="44"/>
                <w:szCs w:val="21"/>
                <w:highlight w:val="none"/>
              </w:rPr>
            </w:pPr>
            <w:r>
              <w:rPr>
                <w:rFonts w:hint="eastAsia" w:ascii="仿宋" w:hAnsi="仿宋" w:eastAsia="仿宋"/>
                <w:bCs/>
                <w:kern w:val="44"/>
                <w:szCs w:val="21"/>
                <w:highlight w:val="none"/>
              </w:rPr>
              <w:t>上传文件类型限制，禁止使用黑名单；</w:t>
            </w:r>
          </w:p>
        </w:tc>
        <w:tc>
          <w:tcPr>
            <w:tcW w:w="680" w:type="pct"/>
            <w:vAlign w:val="center"/>
          </w:tcPr>
          <w:p>
            <w:pPr>
              <w:adjustRightInd w:val="0"/>
              <w:snapToGrid w:val="0"/>
              <w:ind w:right="-15"/>
              <w:rPr>
                <w:rFonts w:ascii="仿宋" w:hAnsi="仿宋" w:eastAsia="仿宋"/>
                <w:szCs w:val="21"/>
                <w:highlight w:val="none"/>
              </w:rPr>
            </w:pPr>
            <w:r>
              <w:rPr>
                <w:rFonts w:hint="eastAsia" w:ascii="仿宋" w:hAnsi="仿宋" w:eastAsia="仿宋"/>
                <w:szCs w:val="21"/>
                <w:highlight w:val="none"/>
              </w:rPr>
              <w:t>必选项</w:t>
            </w:r>
          </w:p>
        </w:tc>
        <w:tc>
          <w:tcPr>
            <w:tcW w:w="597" w:type="pct"/>
            <w:vAlign w:val="center"/>
          </w:tcPr>
          <w:p>
            <w:pPr>
              <w:adjustRightInd w:val="0"/>
              <w:snapToGrid w:val="0"/>
              <w:ind w:left="420"/>
              <w:rPr>
                <w:rFonts w:ascii="仿宋" w:hAnsi="仿宋" w:eastAsia="仿宋"/>
                <w:szCs w:val="21"/>
                <w:highlight w:val="none"/>
              </w:rPr>
            </w:pPr>
          </w:p>
        </w:tc>
        <w:tc>
          <w:tcPr>
            <w:tcW w:w="896" w:type="pct"/>
            <w:vAlign w:val="center"/>
          </w:tcPr>
          <w:p>
            <w:pPr>
              <w:adjustRightInd w:val="0"/>
              <w:snapToGrid w:val="0"/>
              <w:ind w:right="74"/>
              <w:rPr>
                <w:rFonts w:ascii="仿宋" w:hAnsi="仿宋" w:eastAsia="仿宋"/>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189" w:type="pct"/>
            <w:gridSpan w:val="3"/>
            <w:vMerge w:val="continue"/>
            <w:vAlign w:val="center"/>
          </w:tcPr>
          <w:p>
            <w:pPr>
              <w:numPr>
                <w:ilvl w:val="1"/>
                <w:numId w:val="151"/>
              </w:numPr>
              <w:rPr>
                <w:rFonts w:ascii="仿宋" w:hAnsi="仿宋" w:eastAsia="仿宋"/>
                <w:highlight w:val="none"/>
              </w:rPr>
            </w:pPr>
          </w:p>
        </w:tc>
        <w:tc>
          <w:tcPr>
            <w:tcW w:w="1636" w:type="pct"/>
            <w:vAlign w:val="center"/>
          </w:tcPr>
          <w:p>
            <w:pPr>
              <w:numPr>
                <w:ilvl w:val="2"/>
                <w:numId w:val="151"/>
              </w:numPr>
              <w:ind w:left="960" w:right="-117" w:hanging="947"/>
              <w:rPr>
                <w:rFonts w:ascii="仿宋" w:hAnsi="仿宋" w:eastAsia="仿宋"/>
                <w:bCs/>
                <w:kern w:val="44"/>
                <w:szCs w:val="21"/>
                <w:highlight w:val="none"/>
              </w:rPr>
            </w:pPr>
            <w:r>
              <w:rPr>
                <w:rFonts w:hint="eastAsia" w:ascii="仿宋" w:hAnsi="仿宋" w:eastAsia="仿宋"/>
                <w:bCs/>
                <w:kern w:val="44"/>
                <w:szCs w:val="21"/>
                <w:highlight w:val="none"/>
              </w:rPr>
              <w:t>存在图片上传时，对图片文件检查</w:t>
            </w:r>
          </w:p>
        </w:tc>
        <w:tc>
          <w:tcPr>
            <w:tcW w:w="680" w:type="pct"/>
            <w:vAlign w:val="center"/>
          </w:tcPr>
          <w:p>
            <w:pPr>
              <w:adjustRightInd w:val="0"/>
              <w:snapToGrid w:val="0"/>
              <w:ind w:right="-15"/>
              <w:rPr>
                <w:rFonts w:ascii="仿宋" w:hAnsi="仿宋" w:eastAsia="仿宋"/>
                <w:szCs w:val="21"/>
                <w:highlight w:val="none"/>
              </w:rPr>
            </w:pPr>
            <w:r>
              <w:rPr>
                <w:rFonts w:hint="eastAsia" w:ascii="仿宋" w:hAnsi="仿宋" w:eastAsia="仿宋"/>
                <w:szCs w:val="21"/>
                <w:highlight w:val="none"/>
              </w:rPr>
              <w:t>必选项</w:t>
            </w:r>
          </w:p>
        </w:tc>
        <w:tc>
          <w:tcPr>
            <w:tcW w:w="597" w:type="pct"/>
            <w:vAlign w:val="center"/>
          </w:tcPr>
          <w:p>
            <w:pPr>
              <w:adjustRightInd w:val="0"/>
              <w:snapToGrid w:val="0"/>
              <w:ind w:left="420"/>
              <w:rPr>
                <w:rFonts w:ascii="仿宋" w:hAnsi="仿宋" w:eastAsia="仿宋"/>
                <w:szCs w:val="21"/>
                <w:highlight w:val="none"/>
              </w:rPr>
            </w:pPr>
          </w:p>
        </w:tc>
        <w:tc>
          <w:tcPr>
            <w:tcW w:w="896" w:type="pct"/>
            <w:vAlign w:val="center"/>
          </w:tcPr>
          <w:p>
            <w:pPr>
              <w:adjustRightInd w:val="0"/>
              <w:snapToGrid w:val="0"/>
              <w:ind w:right="74"/>
              <w:rPr>
                <w:rFonts w:ascii="仿宋" w:hAnsi="仿宋" w:eastAsia="仿宋"/>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9" w:type="pct"/>
            <w:gridSpan w:val="3"/>
            <w:vMerge w:val="continue"/>
            <w:vAlign w:val="center"/>
          </w:tcPr>
          <w:p>
            <w:pPr>
              <w:numPr>
                <w:ilvl w:val="1"/>
                <w:numId w:val="151"/>
              </w:numPr>
              <w:rPr>
                <w:rFonts w:ascii="仿宋" w:hAnsi="仿宋" w:eastAsia="仿宋"/>
                <w:highlight w:val="none"/>
              </w:rPr>
            </w:pPr>
          </w:p>
        </w:tc>
        <w:tc>
          <w:tcPr>
            <w:tcW w:w="1636" w:type="pct"/>
            <w:vAlign w:val="center"/>
          </w:tcPr>
          <w:p>
            <w:pPr>
              <w:numPr>
                <w:ilvl w:val="2"/>
                <w:numId w:val="151"/>
              </w:numPr>
              <w:ind w:left="960" w:right="-117" w:hanging="947"/>
              <w:rPr>
                <w:rFonts w:ascii="仿宋" w:hAnsi="仿宋" w:eastAsia="仿宋"/>
                <w:bCs/>
                <w:kern w:val="44"/>
                <w:szCs w:val="21"/>
                <w:highlight w:val="none"/>
              </w:rPr>
            </w:pPr>
            <w:r>
              <w:rPr>
                <w:rFonts w:hint="eastAsia" w:ascii="仿宋" w:hAnsi="仿宋" w:eastAsia="仿宋"/>
                <w:bCs/>
                <w:kern w:val="44"/>
                <w:szCs w:val="21"/>
                <w:highlight w:val="none"/>
              </w:rPr>
              <w:t>上传文件不可以存放在WEB服务器上，要存放到指定服务器</w:t>
            </w:r>
          </w:p>
        </w:tc>
        <w:tc>
          <w:tcPr>
            <w:tcW w:w="680" w:type="pct"/>
            <w:vAlign w:val="center"/>
          </w:tcPr>
          <w:p>
            <w:pPr>
              <w:adjustRightInd w:val="0"/>
              <w:snapToGrid w:val="0"/>
              <w:ind w:right="-15"/>
              <w:rPr>
                <w:rFonts w:ascii="仿宋" w:hAnsi="仿宋" w:eastAsia="仿宋"/>
                <w:szCs w:val="21"/>
                <w:highlight w:val="none"/>
              </w:rPr>
            </w:pPr>
            <w:r>
              <w:rPr>
                <w:rFonts w:hint="eastAsia" w:ascii="仿宋" w:hAnsi="仿宋" w:eastAsia="仿宋"/>
                <w:szCs w:val="21"/>
                <w:highlight w:val="none"/>
              </w:rPr>
              <w:t>必选项</w:t>
            </w:r>
          </w:p>
        </w:tc>
        <w:tc>
          <w:tcPr>
            <w:tcW w:w="597" w:type="pct"/>
            <w:vAlign w:val="center"/>
          </w:tcPr>
          <w:p>
            <w:pPr>
              <w:adjustRightInd w:val="0"/>
              <w:snapToGrid w:val="0"/>
              <w:ind w:left="420"/>
              <w:rPr>
                <w:rFonts w:ascii="仿宋" w:hAnsi="仿宋" w:eastAsia="仿宋"/>
                <w:szCs w:val="21"/>
                <w:highlight w:val="none"/>
              </w:rPr>
            </w:pPr>
          </w:p>
        </w:tc>
        <w:tc>
          <w:tcPr>
            <w:tcW w:w="896" w:type="pct"/>
            <w:vAlign w:val="center"/>
          </w:tcPr>
          <w:p>
            <w:pPr>
              <w:adjustRightInd w:val="0"/>
              <w:snapToGrid w:val="0"/>
              <w:ind w:right="74"/>
              <w:rPr>
                <w:rFonts w:ascii="仿宋" w:hAnsi="仿宋" w:eastAsia="仿宋"/>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9" w:type="pct"/>
            <w:gridSpan w:val="3"/>
            <w:vMerge w:val="restart"/>
            <w:vAlign w:val="center"/>
          </w:tcPr>
          <w:p>
            <w:pPr>
              <w:numPr>
                <w:ilvl w:val="1"/>
                <w:numId w:val="151"/>
              </w:numPr>
              <w:ind w:right="-123"/>
              <w:rPr>
                <w:rFonts w:ascii="仿宋" w:hAnsi="仿宋" w:eastAsia="仿宋"/>
                <w:bCs/>
                <w:kern w:val="44"/>
                <w:szCs w:val="21"/>
                <w:highlight w:val="none"/>
              </w:rPr>
            </w:pPr>
            <w:r>
              <w:rPr>
                <w:rFonts w:hint="eastAsia" w:ascii="仿宋" w:hAnsi="仿宋" w:eastAsia="仿宋"/>
                <w:bCs/>
                <w:kern w:val="44"/>
                <w:szCs w:val="21"/>
                <w:highlight w:val="none"/>
              </w:rPr>
              <w:t>组件的选择</w:t>
            </w:r>
          </w:p>
        </w:tc>
        <w:tc>
          <w:tcPr>
            <w:tcW w:w="1636" w:type="pct"/>
            <w:vAlign w:val="center"/>
          </w:tcPr>
          <w:p>
            <w:pPr>
              <w:numPr>
                <w:ilvl w:val="2"/>
                <w:numId w:val="151"/>
              </w:numPr>
              <w:ind w:left="960" w:right="-117" w:hanging="947"/>
              <w:rPr>
                <w:rFonts w:ascii="仿宋" w:hAnsi="仿宋" w:eastAsia="仿宋"/>
                <w:highlight w:val="none"/>
              </w:rPr>
            </w:pPr>
            <w:r>
              <w:rPr>
                <w:rFonts w:hint="eastAsia" w:ascii="仿宋" w:hAnsi="仿宋" w:eastAsia="仿宋"/>
                <w:bCs/>
                <w:kern w:val="44"/>
                <w:szCs w:val="21"/>
                <w:highlight w:val="none"/>
              </w:rPr>
              <w:t>禁止使用有公开漏洞的中间件版本。</w:t>
            </w:r>
          </w:p>
        </w:tc>
        <w:tc>
          <w:tcPr>
            <w:tcW w:w="680" w:type="pct"/>
            <w:vAlign w:val="center"/>
          </w:tcPr>
          <w:p>
            <w:pPr>
              <w:adjustRightInd w:val="0"/>
              <w:snapToGrid w:val="0"/>
              <w:ind w:right="-15"/>
              <w:rPr>
                <w:rFonts w:ascii="仿宋" w:hAnsi="仿宋" w:eastAsia="仿宋"/>
                <w:szCs w:val="21"/>
                <w:highlight w:val="none"/>
              </w:rPr>
            </w:pPr>
            <w:r>
              <w:rPr>
                <w:rFonts w:hint="eastAsia" w:ascii="仿宋" w:hAnsi="仿宋" w:eastAsia="仿宋"/>
                <w:szCs w:val="21"/>
                <w:highlight w:val="none"/>
              </w:rPr>
              <w:t>必选项</w:t>
            </w:r>
          </w:p>
        </w:tc>
        <w:tc>
          <w:tcPr>
            <w:tcW w:w="597" w:type="pct"/>
            <w:vAlign w:val="center"/>
          </w:tcPr>
          <w:p>
            <w:pPr>
              <w:adjustRightInd w:val="0"/>
              <w:snapToGrid w:val="0"/>
              <w:ind w:left="420"/>
              <w:rPr>
                <w:rFonts w:ascii="仿宋" w:hAnsi="仿宋" w:eastAsia="仿宋"/>
                <w:szCs w:val="21"/>
                <w:highlight w:val="none"/>
              </w:rPr>
            </w:pPr>
          </w:p>
        </w:tc>
        <w:tc>
          <w:tcPr>
            <w:tcW w:w="896" w:type="pct"/>
            <w:vAlign w:val="center"/>
          </w:tcPr>
          <w:p>
            <w:pPr>
              <w:adjustRightInd w:val="0"/>
              <w:snapToGrid w:val="0"/>
              <w:ind w:right="74"/>
              <w:rPr>
                <w:rFonts w:ascii="仿宋" w:hAnsi="仿宋" w:eastAsia="仿宋"/>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189" w:type="pct"/>
            <w:gridSpan w:val="3"/>
            <w:vMerge w:val="continue"/>
            <w:vAlign w:val="center"/>
          </w:tcPr>
          <w:p>
            <w:pPr>
              <w:numPr>
                <w:ilvl w:val="1"/>
                <w:numId w:val="151"/>
              </w:numPr>
              <w:rPr>
                <w:rFonts w:ascii="仿宋" w:hAnsi="仿宋" w:eastAsia="仿宋"/>
                <w:highlight w:val="none"/>
              </w:rPr>
            </w:pPr>
          </w:p>
        </w:tc>
        <w:tc>
          <w:tcPr>
            <w:tcW w:w="1636" w:type="pct"/>
            <w:vAlign w:val="center"/>
          </w:tcPr>
          <w:p>
            <w:pPr>
              <w:numPr>
                <w:ilvl w:val="2"/>
                <w:numId w:val="151"/>
              </w:numPr>
              <w:ind w:left="960" w:right="-117" w:hanging="947"/>
              <w:rPr>
                <w:rFonts w:ascii="仿宋" w:hAnsi="仿宋" w:eastAsia="仿宋"/>
                <w:bCs/>
                <w:kern w:val="44"/>
                <w:szCs w:val="21"/>
                <w:highlight w:val="none"/>
              </w:rPr>
            </w:pPr>
            <w:r>
              <w:rPr>
                <w:rFonts w:hint="eastAsia" w:ascii="仿宋" w:hAnsi="仿宋" w:eastAsia="仿宋"/>
                <w:bCs/>
                <w:kern w:val="44"/>
                <w:szCs w:val="21"/>
                <w:highlight w:val="none"/>
              </w:rPr>
              <w:t>数据库选择当前的主流版本，版本不能过低。</w:t>
            </w:r>
          </w:p>
        </w:tc>
        <w:tc>
          <w:tcPr>
            <w:tcW w:w="680" w:type="pct"/>
            <w:vAlign w:val="center"/>
          </w:tcPr>
          <w:p>
            <w:pPr>
              <w:adjustRightInd w:val="0"/>
              <w:snapToGrid w:val="0"/>
              <w:ind w:right="-15"/>
              <w:rPr>
                <w:rFonts w:ascii="仿宋" w:hAnsi="仿宋" w:eastAsia="仿宋"/>
                <w:szCs w:val="21"/>
                <w:highlight w:val="none"/>
              </w:rPr>
            </w:pPr>
            <w:r>
              <w:rPr>
                <w:rFonts w:hint="eastAsia" w:ascii="仿宋" w:hAnsi="仿宋" w:eastAsia="仿宋"/>
                <w:szCs w:val="21"/>
                <w:highlight w:val="none"/>
              </w:rPr>
              <w:t>必选项</w:t>
            </w:r>
          </w:p>
        </w:tc>
        <w:tc>
          <w:tcPr>
            <w:tcW w:w="597" w:type="pct"/>
            <w:vAlign w:val="center"/>
          </w:tcPr>
          <w:p>
            <w:pPr>
              <w:adjustRightInd w:val="0"/>
              <w:snapToGrid w:val="0"/>
              <w:ind w:left="420"/>
              <w:rPr>
                <w:rFonts w:ascii="仿宋" w:hAnsi="仿宋" w:eastAsia="仿宋"/>
                <w:szCs w:val="21"/>
                <w:highlight w:val="none"/>
              </w:rPr>
            </w:pPr>
          </w:p>
        </w:tc>
        <w:tc>
          <w:tcPr>
            <w:tcW w:w="896" w:type="pct"/>
            <w:vAlign w:val="center"/>
          </w:tcPr>
          <w:p>
            <w:pPr>
              <w:adjustRightInd w:val="0"/>
              <w:snapToGrid w:val="0"/>
              <w:ind w:right="74"/>
              <w:rPr>
                <w:rFonts w:ascii="仿宋" w:hAnsi="仿宋" w:eastAsia="仿宋"/>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9" w:type="pct"/>
            <w:gridSpan w:val="3"/>
            <w:vMerge w:val="continue"/>
            <w:vAlign w:val="center"/>
          </w:tcPr>
          <w:p>
            <w:pPr>
              <w:numPr>
                <w:ilvl w:val="1"/>
                <w:numId w:val="151"/>
              </w:numPr>
              <w:rPr>
                <w:rFonts w:ascii="仿宋" w:hAnsi="仿宋" w:eastAsia="仿宋"/>
                <w:highlight w:val="none"/>
              </w:rPr>
            </w:pPr>
          </w:p>
        </w:tc>
        <w:tc>
          <w:tcPr>
            <w:tcW w:w="1636" w:type="pct"/>
            <w:vAlign w:val="center"/>
          </w:tcPr>
          <w:p>
            <w:pPr>
              <w:numPr>
                <w:ilvl w:val="2"/>
                <w:numId w:val="151"/>
              </w:numPr>
              <w:ind w:left="960" w:right="-117" w:hanging="947"/>
              <w:rPr>
                <w:rFonts w:ascii="仿宋" w:hAnsi="仿宋" w:eastAsia="仿宋"/>
                <w:bCs/>
                <w:kern w:val="44"/>
                <w:szCs w:val="21"/>
                <w:highlight w:val="none"/>
              </w:rPr>
            </w:pPr>
            <w:r>
              <w:rPr>
                <w:rFonts w:hint="eastAsia" w:ascii="仿宋" w:hAnsi="仿宋" w:eastAsia="仿宋"/>
                <w:bCs/>
                <w:kern w:val="44"/>
                <w:szCs w:val="21"/>
                <w:highlight w:val="none"/>
              </w:rPr>
              <w:t>禁止使用有公开漏洞的应用框架组件（如web报表、web编辑器、办公组件、论坛、项目管理、日志等）</w:t>
            </w:r>
          </w:p>
        </w:tc>
        <w:tc>
          <w:tcPr>
            <w:tcW w:w="680" w:type="pct"/>
            <w:vAlign w:val="center"/>
          </w:tcPr>
          <w:p>
            <w:pPr>
              <w:adjustRightInd w:val="0"/>
              <w:snapToGrid w:val="0"/>
              <w:ind w:right="-15"/>
              <w:rPr>
                <w:rFonts w:ascii="仿宋" w:hAnsi="仿宋" w:eastAsia="仿宋"/>
                <w:szCs w:val="21"/>
                <w:highlight w:val="none"/>
              </w:rPr>
            </w:pPr>
            <w:r>
              <w:rPr>
                <w:rFonts w:hint="eastAsia" w:ascii="仿宋" w:hAnsi="仿宋" w:eastAsia="仿宋"/>
                <w:szCs w:val="21"/>
                <w:highlight w:val="none"/>
              </w:rPr>
              <w:t>必选项</w:t>
            </w:r>
          </w:p>
        </w:tc>
        <w:tc>
          <w:tcPr>
            <w:tcW w:w="597" w:type="pct"/>
            <w:vAlign w:val="center"/>
          </w:tcPr>
          <w:p>
            <w:pPr>
              <w:adjustRightInd w:val="0"/>
              <w:snapToGrid w:val="0"/>
              <w:ind w:left="420"/>
              <w:rPr>
                <w:rFonts w:ascii="仿宋" w:hAnsi="仿宋" w:eastAsia="仿宋"/>
                <w:szCs w:val="21"/>
                <w:highlight w:val="none"/>
              </w:rPr>
            </w:pPr>
          </w:p>
        </w:tc>
        <w:tc>
          <w:tcPr>
            <w:tcW w:w="896" w:type="pct"/>
            <w:vAlign w:val="center"/>
          </w:tcPr>
          <w:p>
            <w:pPr>
              <w:adjustRightInd w:val="0"/>
              <w:snapToGrid w:val="0"/>
              <w:ind w:right="74"/>
              <w:rPr>
                <w:rFonts w:ascii="仿宋" w:hAnsi="仿宋" w:eastAsia="仿宋"/>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00" w:type="pct"/>
            <w:gridSpan w:val="7"/>
            <w:vAlign w:val="center"/>
          </w:tcPr>
          <w:p>
            <w:pPr>
              <w:adjustRightInd w:val="0"/>
              <w:snapToGrid w:val="0"/>
              <w:rPr>
                <w:rFonts w:ascii="仿宋" w:hAnsi="仿宋" w:eastAsia="仿宋"/>
                <w:b/>
                <w:szCs w:val="21"/>
                <w:highlight w:val="none"/>
              </w:rPr>
            </w:pPr>
            <w:r>
              <w:rPr>
                <w:rFonts w:hint="eastAsia" w:ascii="仿宋" w:hAnsi="仿宋" w:eastAsia="仿宋"/>
                <w:b/>
                <w:szCs w:val="21"/>
                <w:highlight w:val="none"/>
              </w:rPr>
              <w:t>3、数据安全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hidden/>
        </w:trPr>
        <w:tc>
          <w:tcPr>
            <w:tcW w:w="2826" w:type="pct"/>
            <w:gridSpan w:val="4"/>
            <w:vAlign w:val="center"/>
          </w:tcPr>
          <w:p>
            <w:pPr>
              <w:pStyle w:val="30"/>
              <w:numPr>
                <w:ilvl w:val="0"/>
                <w:numId w:val="152"/>
              </w:numPr>
              <w:ind w:firstLineChars="0"/>
              <w:rPr>
                <w:rFonts w:ascii="仿宋" w:hAnsi="仿宋" w:eastAsia="仿宋"/>
                <w:bCs/>
                <w:vanish/>
                <w:kern w:val="44"/>
                <w:szCs w:val="21"/>
                <w:highlight w:val="none"/>
              </w:rPr>
            </w:pPr>
          </w:p>
          <w:p>
            <w:pPr>
              <w:numPr>
                <w:ilvl w:val="1"/>
                <w:numId w:val="152"/>
              </w:numPr>
              <w:ind w:right="-137"/>
              <w:rPr>
                <w:rFonts w:ascii="仿宋" w:hAnsi="仿宋" w:eastAsia="仿宋"/>
                <w:kern w:val="0"/>
                <w:szCs w:val="21"/>
                <w:highlight w:val="none"/>
              </w:rPr>
            </w:pPr>
            <w:r>
              <w:rPr>
                <w:rFonts w:hint="eastAsia" w:ascii="仿宋" w:hAnsi="仿宋" w:eastAsia="仿宋"/>
                <w:bCs/>
                <w:kern w:val="44"/>
                <w:szCs w:val="21"/>
                <w:highlight w:val="none"/>
              </w:rPr>
              <w:t>区分高、中、低等风险级别参数的数据类别，按照不同风险等级设置不同操作界面，不同数据类别要可设置成不同的权限控制；</w:t>
            </w:r>
          </w:p>
        </w:tc>
        <w:tc>
          <w:tcPr>
            <w:tcW w:w="680" w:type="pct"/>
            <w:vAlign w:val="center"/>
          </w:tcPr>
          <w:p>
            <w:pPr>
              <w:adjustRightInd w:val="0"/>
              <w:snapToGrid w:val="0"/>
              <w:ind w:right="-29"/>
              <w:rPr>
                <w:rFonts w:ascii="仿宋" w:hAnsi="仿宋" w:eastAsia="仿宋"/>
                <w:szCs w:val="21"/>
                <w:highlight w:val="none"/>
              </w:rPr>
            </w:pPr>
            <w:r>
              <w:rPr>
                <w:rFonts w:hint="eastAsia" w:ascii="仿宋" w:hAnsi="仿宋" w:eastAsia="仿宋"/>
                <w:szCs w:val="21"/>
                <w:highlight w:val="none"/>
              </w:rPr>
              <w:t>可选项</w:t>
            </w:r>
          </w:p>
        </w:tc>
        <w:tc>
          <w:tcPr>
            <w:tcW w:w="597" w:type="pct"/>
            <w:vAlign w:val="center"/>
          </w:tcPr>
          <w:p>
            <w:pPr>
              <w:adjustRightInd w:val="0"/>
              <w:snapToGrid w:val="0"/>
              <w:rPr>
                <w:rFonts w:ascii="仿宋" w:hAnsi="仿宋" w:eastAsia="仿宋"/>
                <w:szCs w:val="21"/>
                <w:highlight w:val="none"/>
              </w:rPr>
            </w:pPr>
          </w:p>
        </w:tc>
        <w:tc>
          <w:tcPr>
            <w:tcW w:w="896" w:type="pct"/>
            <w:vAlign w:val="center"/>
          </w:tcPr>
          <w:p>
            <w:pPr>
              <w:adjustRightInd w:val="0"/>
              <w:snapToGrid w:val="0"/>
              <w:ind w:right="46"/>
              <w:rPr>
                <w:rFonts w:ascii="仿宋" w:hAnsi="仿宋" w:eastAsia="仿宋"/>
                <w:szCs w:val="21"/>
                <w:highlight w:val="none"/>
              </w:rPr>
            </w:pPr>
            <w:r>
              <w:rPr>
                <w:rFonts w:hint="eastAsia" w:ascii="仿宋" w:hAnsi="仿宋" w:eastAsia="仿宋"/>
                <w:szCs w:val="21"/>
                <w:highlight w:val="none"/>
              </w:rPr>
              <w:t>用户密码表、个人信息表、权限配置表、系统操作日志属于高安全级别数据；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36" w:hRule="atLeast"/>
          <w:jc w:val="center"/>
        </w:trPr>
        <w:tc>
          <w:tcPr>
            <w:tcW w:w="1189" w:type="pct"/>
            <w:gridSpan w:val="3"/>
            <w:vMerge w:val="restart"/>
            <w:vAlign w:val="center"/>
          </w:tcPr>
          <w:p>
            <w:pPr>
              <w:numPr>
                <w:ilvl w:val="1"/>
                <w:numId w:val="151"/>
              </w:numPr>
              <w:ind w:right="-123"/>
              <w:rPr>
                <w:rFonts w:ascii="仿宋" w:hAnsi="仿宋" w:eastAsia="仿宋"/>
                <w:kern w:val="0"/>
                <w:szCs w:val="21"/>
                <w:highlight w:val="none"/>
              </w:rPr>
            </w:pPr>
            <w:r>
              <w:rPr>
                <w:rFonts w:hint="eastAsia" w:ascii="仿宋" w:hAnsi="仿宋" w:eastAsia="仿宋"/>
                <w:highlight w:val="none"/>
              </w:rPr>
              <w:t>需求敏感字段处理</w:t>
            </w:r>
          </w:p>
        </w:tc>
        <w:tc>
          <w:tcPr>
            <w:tcW w:w="1636" w:type="pct"/>
            <w:vAlign w:val="center"/>
          </w:tcPr>
          <w:p>
            <w:pPr>
              <w:numPr>
                <w:ilvl w:val="2"/>
                <w:numId w:val="151"/>
              </w:numPr>
              <w:ind w:left="960" w:right="-117" w:hanging="947"/>
              <w:rPr>
                <w:rFonts w:ascii="仿宋" w:hAnsi="仿宋" w:eastAsia="仿宋"/>
                <w:bCs/>
                <w:kern w:val="44"/>
                <w:szCs w:val="21"/>
                <w:highlight w:val="none"/>
              </w:rPr>
            </w:pPr>
            <w:r>
              <w:rPr>
                <w:rFonts w:hint="eastAsia" w:ascii="仿宋" w:hAnsi="仿宋" w:eastAsia="仿宋"/>
                <w:bCs/>
                <w:kern w:val="44"/>
                <w:szCs w:val="21"/>
                <w:highlight w:val="none"/>
              </w:rPr>
              <w:t>数据传输方式应满足数据敏感程度的要求，如传输敏感数据，数据需加密或采用安全的传输协议与传输内容；</w:t>
            </w:r>
          </w:p>
        </w:tc>
        <w:tc>
          <w:tcPr>
            <w:tcW w:w="680" w:type="pct"/>
            <w:vAlign w:val="center"/>
          </w:tcPr>
          <w:p>
            <w:pPr>
              <w:adjustRightInd w:val="0"/>
              <w:snapToGrid w:val="0"/>
              <w:ind w:right="-29"/>
              <w:rPr>
                <w:rFonts w:ascii="仿宋" w:hAnsi="仿宋" w:eastAsia="仿宋"/>
                <w:szCs w:val="21"/>
                <w:highlight w:val="none"/>
              </w:rPr>
            </w:pPr>
            <w:r>
              <w:rPr>
                <w:rFonts w:hint="eastAsia" w:ascii="仿宋" w:hAnsi="仿宋" w:eastAsia="仿宋"/>
                <w:szCs w:val="21"/>
                <w:highlight w:val="none"/>
              </w:rPr>
              <w:t>必选项</w:t>
            </w:r>
          </w:p>
        </w:tc>
        <w:tc>
          <w:tcPr>
            <w:tcW w:w="597" w:type="pct"/>
            <w:vAlign w:val="center"/>
          </w:tcPr>
          <w:p>
            <w:pPr>
              <w:adjustRightInd w:val="0"/>
              <w:snapToGrid w:val="0"/>
              <w:rPr>
                <w:rFonts w:ascii="仿宋" w:hAnsi="仿宋" w:eastAsia="仿宋"/>
                <w:szCs w:val="21"/>
                <w:highlight w:val="none"/>
              </w:rPr>
            </w:pPr>
          </w:p>
        </w:tc>
        <w:tc>
          <w:tcPr>
            <w:tcW w:w="896" w:type="pct"/>
            <w:vAlign w:val="center"/>
          </w:tcPr>
          <w:p>
            <w:pPr>
              <w:adjustRightInd w:val="0"/>
              <w:snapToGrid w:val="0"/>
              <w:ind w:right="46"/>
              <w:rPr>
                <w:rFonts w:ascii="仿宋" w:hAnsi="仿宋" w:eastAsia="仿宋"/>
                <w:szCs w:val="21"/>
                <w:highlight w:val="none"/>
              </w:rPr>
            </w:pPr>
            <w:r>
              <w:rPr>
                <w:rFonts w:hint="eastAsia" w:ascii="仿宋" w:hAnsi="仿宋" w:eastAsia="仿宋"/>
                <w:szCs w:val="21"/>
                <w:highlight w:val="none"/>
              </w:rPr>
              <w:t>敏感字段包括a. 真实姓名、b.身份证号、c.账户号、d.生日、e.手机号码、f.联系电话、g.联系地址、h.单位名称、i.密码、j.银行账号、k.信用卡号等；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9" w:type="pct"/>
            <w:gridSpan w:val="3"/>
            <w:vMerge w:val="continue"/>
            <w:vAlign w:val="center"/>
          </w:tcPr>
          <w:p>
            <w:pPr>
              <w:rPr>
                <w:rFonts w:ascii="仿宋" w:hAnsi="仿宋" w:eastAsia="仿宋"/>
                <w:kern w:val="0"/>
                <w:szCs w:val="21"/>
                <w:highlight w:val="none"/>
              </w:rPr>
            </w:pPr>
          </w:p>
        </w:tc>
        <w:tc>
          <w:tcPr>
            <w:tcW w:w="1636" w:type="pct"/>
            <w:vAlign w:val="center"/>
          </w:tcPr>
          <w:p>
            <w:pPr>
              <w:numPr>
                <w:ilvl w:val="2"/>
                <w:numId w:val="151"/>
              </w:numPr>
              <w:ind w:left="960" w:right="-117" w:hanging="947"/>
              <w:rPr>
                <w:rFonts w:ascii="仿宋" w:hAnsi="仿宋" w:eastAsia="仿宋"/>
                <w:bCs/>
                <w:kern w:val="44"/>
                <w:szCs w:val="21"/>
                <w:highlight w:val="none"/>
              </w:rPr>
            </w:pPr>
            <w:r>
              <w:rPr>
                <w:rFonts w:hint="eastAsia" w:ascii="仿宋" w:hAnsi="仿宋" w:eastAsia="仿宋"/>
                <w:bCs/>
                <w:kern w:val="44"/>
                <w:szCs w:val="21"/>
                <w:highlight w:val="none"/>
              </w:rPr>
              <w:t>显示敏感字段时，应屏蔽部分字节。在服务端进行屏蔽。</w:t>
            </w:r>
          </w:p>
        </w:tc>
        <w:tc>
          <w:tcPr>
            <w:tcW w:w="680" w:type="pct"/>
            <w:vAlign w:val="center"/>
          </w:tcPr>
          <w:p>
            <w:pPr>
              <w:adjustRightInd w:val="0"/>
              <w:snapToGrid w:val="0"/>
              <w:ind w:right="-29"/>
              <w:rPr>
                <w:rFonts w:ascii="仿宋" w:hAnsi="仿宋" w:eastAsia="仿宋"/>
                <w:szCs w:val="21"/>
                <w:highlight w:val="none"/>
              </w:rPr>
            </w:pPr>
            <w:r>
              <w:rPr>
                <w:rFonts w:hint="eastAsia" w:ascii="仿宋" w:hAnsi="仿宋" w:eastAsia="仿宋"/>
                <w:szCs w:val="21"/>
                <w:highlight w:val="none"/>
              </w:rPr>
              <w:t>必选项</w:t>
            </w:r>
          </w:p>
        </w:tc>
        <w:tc>
          <w:tcPr>
            <w:tcW w:w="597" w:type="pct"/>
            <w:vAlign w:val="center"/>
          </w:tcPr>
          <w:p>
            <w:pPr>
              <w:adjustRightInd w:val="0"/>
              <w:snapToGrid w:val="0"/>
              <w:rPr>
                <w:rFonts w:ascii="仿宋" w:hAnsi="仿宋" w:eastAsia="仿宋"/>
                <w:szCs w:val="21"/>
                <w:highlight w:val="none"/>
              </w:rPr>
            </w:pPr>
          </w:p>
        </w:tc>
        <w:tc>
          <w:tcPr>
            <w:tcW w:w="896" w:type="pct"/>
            <w:vAlign w:val="center"/>
          </w:tcPr>
          <w:p>
            <w:pPr>
              <w:adjustRightInd w:val="0"/>
              <w:snapToGrid w:val="0"/>
              <w:ind w:right="52"/>
              <w:rPr>
                <w:rFonts w:ascii="仿宋" w:hAnsi="仿宋" w:eastAsia="仿宋"/>
                <w:szCs w:val="21"/>
                <w:highlight w:val="none"/>
              </w:rPr>
            </w:pPr>
            <w:r>
              <w:rPr>
                <w:rFonts w:hint="eastAsia" w:ascii="仿宋" w:hAnsi="仿宋" w:eastAsia="仿宋"/>
                <w:szCs w:val="21"/>
                <w:highlight w:val="none"/>
              </w:rPr>
              <w:t>身份证，银行帐号，信用卡号，密码不能明文在页面显示。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9" w:type="pct"/>
            <w:gridSpan w:val="3"/>
            <w:vMerge w:val="continue"/>
            <w:vAlign w:val="center"/>
          </w:tcPr>
          <w:p>
            <w:pPr>
              <w:rPr>
                <w:rFonts w:ascii="仿宋" w:hAnsi="仿宋" w:eastAsia="仿宋"/>
                <w:kern w:val="0"/>
                <w:szCs w:val="21"/>
                <w:highlight w:val="none"/>
              </w:rPr>
            </w:pPr>
          </w:p>
        </w:tc>
        <w:tc>
          <w:tcPr>
            <w:tcW w:w="1636" w:type="pct"/>
            <w:vAlign w:val="center"/>
          </w:tcPr>
          <w:p>
            <w:pPr>
              <w:numPr>
                <w:ilvl w:val="2"/>
                <w:numId w:val="151"/>
              </w:numPr>
              <w:ind w:left="960" w:right="-117" w:hanging="947"/>
              <w:rPr>
                <w:rFonts w:ascii="仿宋" w:hAnsi="仿宋" w:eastAsia="仿宋"/>
                <w:bCs/>
                <w:kern w:val="44"/>
                <w:szCs w:val="21"/>
                <w:highlight w:val="none"/>
              </w:rPr>
            </w:pPr>
            <w:r>
              <w:rPr>
                <w:rFonts w:hint="eastAsia" w:ascii="仿宋" w:hAnsi="仿宋" w:eastAsia="仿宋"/>
                <w:bCs/>
                <w:kern w:val="44"/>
                <w:szCs w:val="21"/>
                <w:highlight w:val="none"/>
              </w:rPr>
              <w:t>对敏感字段的操作（新增、维护、删除）应有日志或报表以供审核；</w:t>
            </w:r>
          </w:p>
        </w:tc>
        <w:tc>
          <w:tcPr>
            <w:tcW w:w="680" w:type="pct"/>
            <w:vAlign w:val="center"/>
          </w:tcPr>
          <w:p>
            <w:pPr>
              <w:adjustRightInd w:val="0"/>
              <w:snapToGrid w:val="0"/>
              <w:ind w:right="-29"/>
              <w:rPr>
                <w:rFonts w:ascii="仿宋" w:hAnsi="仿宋" w:eastAsia="仿宋"/>
                <w:szCs w:val="21"/>
                <w:highlight w:val="none"/>
              </w:rPr>
            </w:pPr>
            <w:r>
              <w:rPr>
                <w:rFonts w:hint="eastAsia" w:ascii="仿宋" w:hAnsi="仿宋" w:eastAsia="仿宋"/>
                <w:szCs w:val="21"/>
                <w:highlight w:val="none"/>
              </w:rPr>
              <w:t>必选项</w:t>
            </w:r>
          </w:p>
        </w:tc>
        <w:tc>
          <w:tcPr>
            <w:tcW w:w="597" w:type="pct"/>
            <w:vAlign w:val="center"/>
          </w:tcPr>
          <w:p>
            <w:pPr>
              <w:adjustRightInd w:val="0"/>
              <w:snapToGrid w:val="0"/>
              <w:rPr>
                <w:rFonts w:ascii="仿宋" w:hAnsi="仿宋" w:eastAsia="仿宋"/>
                <w:szCs w:val="21"/>
                <w:highlight w:val="none"/>
              </w:rPr>
            </w:pPr>
          </w:p>
        </w:tc>
        <w:tc>
          <w:tcPr>
            <w:tcW w:w="896" w:type="pct"/>
            <w:vAlign w:val="center"/>
          </w:tcPr>
          <w:p>
            <w:pPr>
              <w:adjustRightInd w:val="0"/>
              <w:snapToGrid w:val="0"/>
              <w:ind w:right="46"/>
              <w:rPr>
                <w:rFonts w:ascii="仿宋" w:hAnsi="仿宋" w:eastAsia="仿宋"/>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9" w:type="pct"/>
            <w:gridSpan w:val="3"/>
            <w:vMerge w:val="continue"/>
            <w:vAlign w:val="center"/>
          </w:tcPr>
          <w:p>
            <w:pPr>
              <w:rPr>
                <w:rFonts w:ascii="仿宋" w:hAnsi="仿宋" w:eastAsia="仿宋"/>
                <w:kern w:val="0"/>
                <w:szCs w:val="21"/>
                <w:highlight w:val="none"/>
              </w:rPr>
            </w:pPr>
          </w:p>
        </w:tc>
        <w:tc>
          <w:tcPr>
            <w:tcW w:w="1636" w:type="pct"/>
            <w:vAlign w:val="center"/>
          </w:tcPr>
          <w:p>
            <w:pPr>
              <w:numPr>
                <w:ilvl w:val="2"/>
                <w:numId w:val="151"/>
              </w:numPr>
              <w:ind w:left="960" w:right="-117" w:hanging="947"/>
              <w:rPr>
                <w:rFonts w:ascii="仿宋" w:hAnsi="仿宋" w:eastAsia="仿宋"/>
                <w:bCs/>
                <w:kern w:val="44"/>
                <w:szCs w:val="21"/>
                <w:highlight w:val="none"/>
              </w:rPr>
            </w:pPr>
            <w:r>
              <w:rPr>
                <w:rFonts w:hint="eastAsia" w:ascii="仿宋" w:hAnsi="仿宋" w:eastAsia="仿宋"/>
                <w:bCs/>
                <w:kern w:val="44"/>
                <w:szCs w:val="21"/>
                <w:highlight w:val="none"/>
              </w:rPr>
              <w:t>一般用户的批量数据浏览界面可屏蔽敏感数据的部分字节；</w:t>
            </w:r>
          </w:p>
        </w:tc>
        <w:tc>
          <w:tcPr>
            <w:tcW w:w="680" w:type="pct"/>
            <w:vAlign w:val="center"/>
          </w:tcPr>
          <w:p>
            <w:pPr>
              <w:adjustRightInd w:val="0"/>
              <w:snapToGrid w:val="0"/>
              <w:ind w:right="-29"/>
              <w:rPr>
                <w:rFonts w:ascii="仿宋" w:hAnsi="仿宋" w:eastAsia="仿宋"/>
                <w:szCs w:val="21"/>
                <w:highlight w:val="none"/>
              </w:rPr>
            </w:pPr>
            <w:r>
              <w:rPr>
                <w:rFonts w:hint="eastAsia" w:ascii="仿宋" w:hAnsi="仿宋" w:eastAsia="仿宋"/>
                <w:szCs w:val="21"/>
                <w:highlight w:val="none"/>
              </w:rPr>
              <w:t>必选项</w:t>
            </w:r>
          </w:p>
        </w:tc>
        <w:tc>
          <w:tcPr>
            <w:tcW w:w="597" w:type="pct"/>
            <w:vAlign w:val="center"/>
          </w:tcPr>
          <w:p>
            <w:pPr>
              <w:adjustRightInd w:val="0"/>
              <w:snapToGrid w:val="0"/>
              <w:rPr>
                <w:rFonts w:ascii="仿宋" w:hAnsi="仿宋" w:eastAsia="仿宋"/>
                <w:szCs w:val="21"/>
                <w:highlight w:val="none"/>
              </w:rPr>
            </w:pPr>
          </w:p>
        </w:tc>
        <w:tc>
          <w:tcPr>
            <w:tcW w:w="896" w:type="pct"/>
            <w:vAlign w:val="center"/>
          </w:tcPr>
          <w:p>
            <w:pPr>
              <w:adjustRightInd w:val="0"/>
              <w:snapToGrid w:val="0"/>
              <w:ind w:right="46"/>
              <w:rPr>
                <w:rFonts w:ascii="仿宋" w:hAnsi="仿宋" w:eastAsia="仿宋"/>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9" w:type="pct"/>
            <w:gridSpan w:val="3"/>
            <w:vMerge w:val="continue"/>
            <w:vAlign w:val="center"/>
          </w:tcPr>
          <w:p>
            <w:pPr>
              <w:rPr>
                <w:rFonts w:ascii="仿宋" w:hAnsi="仿宋" w:eastAsia="仿宋"/>
                <w:kern w:val="0"/>
                <w:szCs w:val="21"/>
                <w:highlight w:val="none"/>
              </w:rPr>
            </w:pPr>
          </w:p>
        </w:tc>
        <w:tc>
          <w:tcPr>
            <w:tcW w:w="1636" w:type="pct"/>
            <w:vAlign w:val="center"/>
          </w:tcPr>
          <w:p>
            <w:pPr>
              <w:numPr>
                <w:ilvl w:val="2"/>
                <w:numId w:val="151"/>
              </w:numPr>
              <w:ind w:left="960" w:right="-117" w:hanging="947"/>
              <w:rPr>
                <w:rFonts w:ascii="仿宋" w:hAnsi="仿宋" w:eastAsia="仿宋"/>
                <w:bCs/>
                <w:kern w:val="44"/>
                <w:szCs w:val="21"/>
                <w:highlight w:val="none"/>
              </w:rPr>
            </w:pPr>
            <w:r>
              <w:rPr>
                <w:rFonts w:hint="eastAsia" w:ascii="仿宋" w:hAnsi="仿宋" w:eastAsia="仿宋"/>
                <w:bCs/>
                <w:kern w:val="44"/>
                <w:szCs w:val="21"/>
                <w:highlight w:val="none"/>
              </w:rPr>
              <w:t>限制对敏感数据的复制功能。</w:t>
            </w:r>
          </w:p>
        </w:tc>
        <w:tc>
          <w:tcPr>
            <w:tcW w:w="680" w:type="pct"/>
            <w:vAlign w:val="center"/>
          </w:tcPr>
          <w:p>
            <w:pPr>
              <w:adjustRightInd w:val="0"/>
              <w:snapToGrid w:val="0"/>
              <w:ind w:right="-29"/>
              <w:rPr>
                <w:rFonts w:ascii="仿宋" w:hAnsi="仿宋" w:eastAsia="仿宋"/>
                <w:szCs w:val="21"/>
                <w:highlight w:val="none"/>
              </w:rPr>
            </w:pPr>
            <w:r>
              <w:rPr>
                <w:rFonts w:hint="eastAsia" w:ascii="仿宋" w:hAnsi="仿宋" w:eastAsia="仿宋"/>
                <w:szCs w:val="21"/>
                <w:highlight w:val="none"/>
              </w:rPr>
              <w:t>必选项</w:t>
            </w:r>
          </w:p>
        </w:tc>
        <w:tc>
          <w:tcPr>
            <w:tcW w:w="597" w:type="pct"/>
            <w:vAlign w:val="center"/>
          </w:tcPr>
          <w:p>
            <w:pPr>
              <w:adjustRightInd w:val="0"/>
              <w:snapToGrid w:val="0"/>
              <w:rPr>
                <w:rFonts w:ascii="仿宋" w:hAnsi="仿宋" w:eastAsia="仿宋"/>
                <w:szCs w:val="21"/>
                <w:highlight w:val="none"/>
              </w:rPr>
            </w:pPr>
          </w:p>
        </w:tc>
        <w:tc>
          <w:tcPr>
            <w:tcW w:w="896" w:type="pct"/>
            <w:vAlign w:val="center"/>
          </w:tcPr>
          <w:p>
            <w:pPr>
              <w:adjustRightInd w:val="0"/>
              <w:snapToGrid w:val="0"/>
              <w:ind w:right="46"/>
              <w:rPr>
                <w:rFonts w:ascii="仿宋" w:hAnsi="仿宋" w:eastAsia="仿宋"/>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9" w:type="pct"/>
            <w:gridSpan w:val="3"/>
            <w:vMerge w:val="continue"/>
            <w:vAlign w:val="center"/>
          </w:tcPr>
          <w:p>
            <w:pPr>
              <w:rPr>
                <w:rFonts w:ascii="仿宋" w:hAnsi="仿宋" w:eastAsia="仿宋"/>
                <w:kern w:val="0"/>
                <w:szCs w:val="21"/>
                <w:highlight w:val="none"/>
              </w:rPr>
            </w:pPr>
          </w:p>
        </w:tc>
        <w:tc>
          <w:tcPr>
            <w:tcW w:w="1636" w:type="pct"/>
            <w:vAlign w:val="center"/>
          </w:tcPr>
          <w:p>
            <w:pPr>
              <w:numPr>
                <w:ilvl w:val="2"/>
                <w:numId w:val="151"/>
              </w:numPr>
              <w:ind w:left="960" w:right="-117" w:hanging="947"/>
              <w:rPr>
                <w:rFonts w:ascii="仿宋" w:hAnsi="仿宋" w:eastAsia="仿宋"/>
                <w:bCs/>
                <w:kern w:val="44"/>
                <w:szCs w:val="21"/>
                <w:highlight w:val="none"/>
              </w:rPr>
            </w:pPr>
            <w:r>
              <w:rPr>
                <w:rFonts w:hint="eastAsia" w:ascii="仿宋" w:hAnsi="仿宋" w:eastAsia="仿宋"/>
                <w:bCs/>
                <w:kern w:val="44"/>
                <w:szCs w:val="21"/>
                <w:highlight w:val="none"/>
              </w:rPr>
              <w:t>批量展示敏感数据时使用水印功能</w:t>
            </w:r>
          </w:p>
        </w:tc>
        <w:tc>
          <w:tcPr>
            <w:tcW w:w="680" w:type="pct"/>
            <w:vAlign w:val="center"/>
          </w:tcPr>
          <w:p>
            <w:pPr>
              <w:adjustRightInd w:val="0"/>
              <w:snapToGrid w:val="0"/>
              <w:ind w:right="-29"/>
              <w:rPr>
                <w:rFonts w:ascii="仿宋" w:hAnsi="仿宋" w:eastAsia="仿宋"/>
                <w:szCs w:val="21"/>
                <w:highlight w:val="none"/>
              </w:rPr>
            </w:pPr>
            <w:r>
              <w:rPr>
                <w:rFonts w:hint="eastAsia" w:ascii="仿宋" w:hAnsi="仿宋" w:eastAsia="仿宋"/>
                <w:szCs w:val="21"/>
                <w:highlight w:val="none"/>
              </w:rPr>
              <w:t>可选项</w:t>
            </w:r>
          </w:p>
        </w:tc>
        <w:tc>
          <w:tcPr>
            <w:tcW w:w="597" w:type="pct"/>
            <w:vAlign w:val="center"/>
          </w:tcPr>
          <w:p>
            <w:pPr>
              <w:adjustRightInd w:val="0"/>
              <w:snapToGrid w:val="0"/>
              <w:rPr>
                <w:rFonts w:ascii="仿宋" w:hAnsi="仿宋" w:eastAsia="仿宋"/>
                <w:szCs w:val="21"/>
                <w:highlight w:val="none"/>
              </w:rPr>
            </w:pPr>
          </w:p>
        </w:tc>
        <w:tc>
          <w:tcPr>
            <w:tcW w:w="896" w:type="pct"/>
            <w:vAlign w:val="center"/>
          </w:tcPr>
          <w:p>
            <w:pPr>
              <w:adjustRightInd w:val="0"/>
              <w:snapToGrid w:val="0"/>
              <w:ind w:right="46"/>
              <w:rPr>
                <w:rFonts w:ascii="仿宋" w:hAnsi="仿宋" w:eastAsia="仿宋"/>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9" w:type="pct"/>
            <w:gridSpan w:val="3"/>
            <w:vMerge w:val="restart"/>
            <w:vAlign w:val="center"/>
          </w:tcPr>
          <w:p>
            <w:pPr>
              <w:numPr>
                <w:ilvl w:val="1"/>
                <w:numId w:val="151"/>
              </w:numPr>
              <w:ind w:right="-123"/>
              <w:rPr>
                <w:rFonts w:ascii="仿宋" w:hAnsi="仿宋" w:eastAsia="仿宋"/>
                <w:highlight w:val="none"/>
              </w:rPr>
            </w:pPr>
            <w:r>
              <w:rPr>
                <w:rFonts w:hint="eastAsia" w:ascii="仿宋" w:hAnsi="仿宋" w:eastAsia="仿宋"/>
                <w:highlight w:val="none"/>
              </w:rPr>
              <w:t>批量数据操作</w:t>
            </w:r>
          </w:p>
        </w:tc>
        <w:tc>
          <w:tcPr>
            <w:tcW w:w="1636" w:type="pct"/>
            <w:vAlign w:val="center"/>
          </w:tcPr>
          <w:p>
            <w:pPr>
              <w:numPr>
                <w:ilvl w:val="2"/>
                <w:numId w:val="151"/>
              </w:numPr>
              <w:ind w:left="960" w:right="-117" w:hanging="947"/>
              <w:rPr>
                <w:rFonts w:ascii="仿宋" w:hAnsi="仿宋" w:eastAsia="仿宋"/>
                <w:bCs/>
                <w:kern w:val="44"/>
                <w:szCs w:val="21"/>
                <w:highlight w:val="none"/>
              </w:rPr>
            </w:pPr>
            <w:r>
              <w:rPr>
                <w:rFonts w:hint="eastAsia" w:ascii="仿宋" w:hAnsi="仿宋" w:eastAsia="仿宋"/>
                <w:bCs/>
                <w:kern w:val="44"/>
                <w:szCs w:val="21"/>
                <w:highlight w:val="none"/>
              </w:rPr>
              <w:t>批量数据的导入应有校验；</w:t>
            </w:r>
          </w:p>
        </w:tc>
        <w:tc>
          <w:tcPr>
            <w:tcW w:w="680" w:type="pct"/>
            <w:vAlign w:val="center"/>
          </w:tcPr>
          <w:p>
            <w:pPr>
              <w:adjustRightInd w:val="0"/>
              <w:snapToGrid w:val="0"/>
              <w:ind w:right="-29"/>
              <w:rPr>
                <w:rFonts w:ascii="仿宋" w:hAnsi="仿宋" w:eastAsia="仿宋"/>
                <w:szCs w:val="21"/>
                <w:highlight w:val="none"/>
              </w:rPr>
            </w:pPr>
            <w:r>
              <w:rPr>
                <w:rFonts w:hint="eastAsia" w:ascii="仿宋" w:hAnsi="仿宋" w:eastAsia="仿宋"/>
                <w:szCs w:val="21"/>
                <w:highlight w:val="none"/>
              </w:rPr>
              <w:t>必选项</w:t>
            </w:r>
          </w:p>
        </w:tc>
        <w:tc>
          <w:tcPr>
            <w:tcW w:w="597" w:type="pct"/>
            <w:vAlign w:val="center"/>
          </w:tcPr>
          <w:p>
            <w:pPr>
              <w:adjustRightInd w:val="0"/>
              <w:snapToGrid w:val="0"/>
              <w:rPr>
                <w:rFonts w:ascii="仿宋" w:hAnsi="仿宋" w:eastAsia="仿宋"/>
                <w:szCs w:val="21"/>
                <w:highlight w:val="none"/>
              </w:rPr>
            </w:pPr>
          </w:p>
        </w:tc>
        <w:tc>
          <w:tcPr>
            <w:tcW w:w="896" w:type="pct"/>
            <w:vAlign w:val="center"/>
          </w:tcPr>
          <w:p>
            <w:pPr>
              <w:adjustRightInd w:val="0"/>
              <w:snapToGrid w:val="0"/>
              <w:ind w:right="46"/>
              <w:rPr>
                <w:rFonts w:ascii="仿宋" w:hAnsi="仿宋" w:eastAsia="仿宋"/>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9" w:type="pct"/>
            <w:gridSpan w:val="3"/>
            <w:vMerge w:val="continue"/>
            <w:vAlign w:val="center"/>
          </w:tcPr>
          <w:p>
            <w:pPr>
              <w:rPr>
                <w:rFonts w:ascii="仿宋" w:hAnsi="仿宋" w:eastAsia="仿宋"/>
                <w:kern w:val="0"/>
                <w:szCs w:val="21"/>
                <w:highlight w:val="none"/>
              </w:rPr>
            </w:pPr>
          </w:p>
        </w:tc>
        <w:tc>
          <w:tcPr>
            <w:tcW w:w="1636" w:type="pct"/>
            <w:vAlign w:val="center"/>
          </w:tcPr>
          <w:p>
            <w:pPr>
              <w:numPr>
                <w:ilvl w:val="2"/>
                <w:numId w:val="151"/>
              </w:numPr>
              <w:ind w:left="960" w:right="-117" w:hanging="947"/>
              <w:rPr>
                <w:rFonts w:ascii="仿宋" w:hAnsi="仿宋" w:eastAsia="仿宋"/>
                <w:bCs/>
                <w:kern w:val="44"/>
                <w:szCs w:val="21"/>
                <w:highlight w:val="none"/>
              </w:rPr>
            </w:pPr>
            <w:r>
              <w:rPr>
                <w:rFonts w:hint="eastAsia" w:ascii="仿宋" w:hAnsi="仿宋" w:eastAsia="仿宋"/>
                <w:bCs/>
                <w:kern w:val="44"/>
                <w:szCs w:val="21"/>
                <w:highlight w:val="none"/>
              </w:rPr>
              <w:t>严格控制复制、下载、打印、浏览、导入/导出批量数据的权限，对批量数据的任何操作都须产生报表或日志。</w:t>
            </w:r>
          </w:p>
        </w:tc>
        <w:tc>
          <w:tcPr>
            <w:tcW w:w="680" w:type="pct"/>
            <w:vAlign w:val="center"/>
          </w:tcPr>
          <w:p>
            <w:pPr>
              <w:adjustRightInd w:val="0"/>
              <w:snapToGrid w:val="0"/>
              <w:ind w:right="-29"/>
              <w:rPr>
                <w:rFonts w:ascii="仿宋" w:hAnsi="仿宋" w:eastAsia="仿宋"/>
                <w:szCs w:val="21"/>
                <w:highlight w:val="none"/>
              </w:rPr>
            </w:pPr>
            <w:r>
              <w:rPr>
                <w:rFonts w:hint="eastAsia" w:ascii="仿宋" w:hAnsi="仿宋" w:eastAsia="仿宋"/>
                <w:szCs w:val="21"/>
                <w:highlight w:val="none"/>
              </w:rPr>
              <w:t>必选项</w:t>
            </w:r>
          </w:p>
        </w:tc>
        <w:tc>
          <w:tcPr>
            <w:tcW w:w="597" w:type="pct"/>
            <w:vAlign w:val="center"/>
          </w:tcPr>
          <w:p>
            <w:pPr>
              <w:adjustRightInd w:val="0"/>
              <w:snapToGrid w:val="0"/>
              <w:rPr>
                <w:rFonts w:ascii="仿宋" w:hAnsi="仿宋" w:eastAsia="仿宋"/>
                <w:szCs w:val="21"/>
                <w:highlight w:val="none"/>
              </w:rPr>
            </w:pPr>
          </w:p>
        </w:tc>
        <w:tc>
          <w:tcPr>
            <w:tcW w:w="896" w:type="pct"/>
            <w:vAlign w:val="center"/>
          </w:tcPr>
          <w:p>
            <w:pPr>
              <w:adjustRightInd w:val="0"/>
              <w:snapToGrid w:val="0"/>
              <w:ind w:right="46"/>
              <w:rPr>
                <w:rFonts w:ascii="仿宋" w:hAnsi="仿宋" w:eastAsia="仿宋"/>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9" w:type="pct"/>
            <w:gridSpan w:val="3"/>
            <w:vMerge w:val="restart"/>
            <w:vAlign w:val="center"/>
          </w:tcPr>
          <w:p>
            <w:pPr>
              <w:numPr>
                <w:ilvl w:val="1"/>
                <w:numId w:val="151"/>
              </w:numPr>
              <w:ind w:right="-123"/>
              <w:rPr>
                <w:rFonts w:ascii="仿宋" w:hAnsi="仿宋" w:eastAsia="仿宋"/>
                <w:highlight w:val="none"/>
              </w:rPr>
            </w:pPr>
            <w:r>
              <w:rPr>
                <w:rFonts w:hint="eastAsia" w:ascii="仿宋" w:hAnsi="仿宋" w:eastAsia="仿宋"/>
                <w:highlight w:val="none"/>
              </w:rPr>
              <w:t>数据保存</w:t>
            </w:r>
          </w:p>
        </w:tc>
        <w:tc>
          <w:tcPr>
            <w:tcW w:w="1636" w:type="pct"/>
            <w:vAlign w:val="center"/>
          </w:tcPr>
          <w:p>
            <w:pPr>
              <w:numPr>
                <w:ilvl w:val="2"/>
                <w:numId w:val="151"/>
              </w:numPr>
              <w:ind w:left="960" w:right="-117" w:hanging="947"/>
              <w:rPr>
                <w:rFonts w:ascii="仿宋" w:hAnsi="仿宋" w:eastAsia="仿宋"/>
                <w:bCs/>
                <w:kern w:val="44"/>
                <w:szCs w:val="21"/>
                <w:highlight w:val="none"/>
              </w:rPr>
            </w:pPr>
            <w:r>
              <w:rPr>
                <w:rFonts w:hint="eastAsia" w:ascii="仿宋" w:hAnsi="仿宋" w:eastAsia="仿宋"/>
                <w:bCs/>
                <w:kern w:val="44"/>
                <w:szCs w:val="21"/>
                <w:highlight w:val="none"/>
              </w:rPr>
              <w:t>存储在数据库表中的敏感数据须加密或混淆</w:t>
            </w:r>
          </w:p>
        </w:tc>
        <w:tc>
          <w:tcPr>
            <w:tcW w:w="680" w:type="pct"/>
            <w:vAlign w:val="center"/>
          </w:tcPr>
          <w:p>
            <w:pPr>
              <w:adjustRightInd w:val="0"/>
              <w:snapToGrid w:val="0"/>
              <w:ind w:right="-29"/>
              <w:rPr>
                <w:rFonts w:ascii="仿宋" w:hAnsi="仿宋" w:eastAsia="仿宋"/>
                <w:szCs w:val="21"/>
                <w:highlight w:val="none"/>
              </w:rPr>
            </w:pPr>
            <w:r>
              <w:rPr>
                <w:rFonts w:hint="eastAsia" w:ascii="仿宋" w:hAnsi="仿宋" w:eastAsia="仿宋"/>
                <w:szCs w:val="21"/>
                <w:highlight w:val="none"/>
              </w:rPr>
              <w:t>必选项</w:t>
            </w:r>
          </w:p>
        </w:tc>
        <w:tc>
          <w:tcPr>
            <w:tcW w:w="597" w:type="pct"/>
            <w:vAlign w:val="center"/>
          </w:tcPr>
          <w:p>
            <w:pPr>
              <w:adjustRightInd w:val="0"/>
              <w:snapToGrid w:val="0"/>
              <w:ind w:left="420"/>
              <w:rPr>
                <w:rFonts w:ascii="仿宋" w:hAnsi="仿宋" w:eastAsia="仿宋"/>
                <w:szCs w:val="21"/>
                <w:highlight w:val="none"/>
              </w:rPr>
            </w:pPr>
          </w:p>
        </w:tc>
        <w:tc>
          <w:tcPr>
            <w:tcW w:w="896" w:type="pct"/>
            <w:vAlign w:val="center"/>
          </w:tcPr>
          <w:p>
            <w:pPr>
              <w:adjustRightInd w:val="0"/>
              <w:snapToGrid w:val="0"/>
              <w:ind w:right="46"/>
              <w:rPr>
                <w:rFonts w:ascii="仿宋" w:hAnsi="仿宋" w:eastAsia="仿宋"/>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9" w:type="pct"/>
            <w:gridSpan w:val="3"/>
            <w:vMerge w:val="continue"/>
            <w:vAlign w:val="center"/>
          </w:tcPr>
          <w:p>
            <w:pPr>
              <w:numPr>
                <w:ilvl w:val="0"/>
                <w:numId w:val="153"/>
              </w:numPr>
              <w:rPr>
                <w:rFonts w:ascii="仿宋" w:hAnsi="仿宋" w:eastAsia="仿宋"/>
                <w:kern w:val="0"/>
                <w:szCs w:val="21"/>
                <w:highlight w:val="none"/>
              </w:rPr>
            </w:pPr>
          </w:p>
        </w:tc>
        <w:tc>
          <w:tcPr>
            <w:tcW w:w="1636" w:type="pct"/>
            <w:vAlign w:val="center"/>
          </w:tcPr>
          <w:p>
            <w:pPr>
              <w:numPr>
                <w:ilvl w:val="2"/>
                <w:numId w:val="151"/>
              </w:numPr>
              <w:ind w:left="960" w:right="-117" w:hanging="947"/>
              <w:rPr>
                <w:rFonts w:ascii="仿宋" w:hAnsi="仿宋" w:eastAsia="仿宋"/>
                <w:bCs/>
                <w:kern w:val="44"/>
                <w:szCs w:val="21"/>
                <w:highlight w:val="none"/>
              </w:rPr>
            </w:pPr>
            <w:r>
              <w:rPr>
                <w:rFonts w:hint="eastAsia" w:ascii="仿宋" w:hAnsi="仿宋" w:eastAsia="仿宋"/>
                <w:bCs/>
                <w:kern w:val="44"/>
                <w:szCs w:val="21"/>
                <w:highlight w:val="none"/>
              </w:rPr>
              <w:t>系统自动备份数据，并能设置备份的周期。</w:t>
            </w:r>
          </w:p>
        </w:tc>
        <w:tc>
          <w:tcPr>
            <w:tcW w:w="680" w:type="pct"/>
            <w:vAlign w:val="center"/>
          </w:tcPr>
          <w:p>
            <w:pPr>
              <w:adjustRightInd w:val="0"/>
              <w:snapToGrid w:val="0"/>
              <w:ind w:right="-29"/>
              <w:rPr>
                <w:rFonts w:ascii="仿宋" w:hAnsi="仿宋" w:eastAsia="仿宋"/>
                <w:szCs w:val="21"/>
                <w:highlight w:val="none"/>
              </w:rPr>
            </w:pPr>
            <w:r>
              <w:rPr>
                <w:rFonts w:hint="eastAsia" w:ascii="仿宋" w:hAnsi="仿宋" w:eastAsia="仿宋"/>
                <w:szCs w:val="21"/>
                <w:highlight w:val="none"/>
              </w:rPr>
              <w:t>可选项</w:t>
            </w:r>
          </w:p>
        </w:tc>
        <w:tc>
          <w:tcPr>
            <w:tcW w:w="597" w:type="pct"/>
            <w:vAlign w:val="center"/>
          </w:tcPr>
          <w:p>
            <w:pPr>
              <w:adjustRightInd w:val="0"/>
              <w:snapToGrid w:val="0"/>
              <w:rPr>
                <w:rFonts w:ascii="仿宋" w:hAnsi="仿宋" w:eastAsia="仿宋"/>
                <w:szCs w:val="21"/>
                <w:highlight w:val="none"/>
              </w:rPr>
            </w:pPr>
          </w:p>
        </w:tc>
        <w:tc>
          <w:tcPr>
            <w:tcW w:w="896" w:type="pct"/>
            <w:vAlign w:val="center"/>
          </w:tcPr>
          <w:p>
            <w:pPr>
              <w:adjustRightInd w:val="0"/>
              <w:snapToGrid w:val="0"/>
              <w:ind w:right="46"/>
              <w:rPr>
                <w:rFonts w:ascii="仿宋" w:hAnsi="仿宋" w:eastAsia="仿宋"/>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9" w:type="pct"/>
            <w:gridSpan w:val="3"/>
            <w:vMerge w:val="restart"/>
            <w:vAlign w:val="center"/>
          </w:tcPr>
          <w:p>
            <w:pPr>
              <w:numPr>
                <w:ilvl w:val="1"/>
                <w:numId w:val="151"/>
              </w:numPr>
              <w:ind w:right="-123"/>
              <w:rPr>
                <w:rFonts w:ascii="仿宋" w:hAnsi="仿宋" w:eastAsia="仿宋"/>
                <w:highlight w:val="none"/>
              </w:rPr>
            </w:pPr>
            <w:r>
              <w:rPr>
                <w:rFonts w:hint="eastAsia" w:ascii="仿宋" w:hAnsi="仿宋" w:eastAsia="仿宋"/>
                <w:highlight w:val="none"/>
              </w:rPr>
              <w:t>个人信息保护</w:t>
            </w:r>
          </w:p>
        </w:tc>
        <w:tc>
          <w:tcPr>
            <w:tcW w:w="1636" w:type="pct"/>
            <w:vAlign w:val="center"/>
          </w:tcPr>
          <w:p>
            <w:pPr>
              <w:numPr>
                <w:ilvl w:val="2"/>
                <w:numId w:val="151"/>
              </w:numPr>
              <w:ind w:left="960" w:right="-117" w:hanging="947"/>
              <w:rPr>
                <w:rFonts w:ascii="仿宋" w:hAnsi="仿宋" w:eastAsia="仿宋"/>
                <w:bCs/>
                <w:kern w:val="44"/>
                <w:szCs w:val="21"/>
                <w:highlight w:val="none"/>
              </w:rPr>
            </w:pPr>
            <w:r>
              <w:rPr>
                <w:rFonts w:hint="eastAsia" w:ascii="仿宋" w:hAnsi="仿宋" w:eastAsia="仿宋"/>
                <w:bCs/>
                <w:kern w:val="44"/>
                <w:szCs w:val="21"/>
                <w:highlight w:val="none"/>
              </w:rPr>
              <w:t>涉及个人信息采集和保存的系统,须对个人信息主体提供个人信息的收集的授权同意功能.</w:t>
            </w:r>
          </w:p>
        </w:tc>
        <w:tc>
          <w:tcPr>
            <w:tcW w:w="680" w:type="pct"/>
            <w:vAlign w:val="center"/>
          </w:tcPr>
          <w:p>
            <w:pPr>
              <w:adjustRightInd w:val="0"/>
              <w:snapToGrid w:val="0"/>
              <w:ind w:right="-29"/>
              <w:rPr>
                <w:rFonts w:ascii="仿宋" w:hAnsi="仿宋" w:eastAsia="仿宋"/>
                <w:szCs w:val="21"/>
                <w:highlight w:val="none"/>
              </w:rPr>
            </w:pPr>
            <w:r>
              <w:rPr>
                <w:rFonts w:hint="eastAsia" w:ascii="仿宋" w:hAnsi="仿宋" w:eastAsia="仿宋"/>
                <w:szCs w:val="21"/>
                <w:highlight w:val="none"/>
              </w:rPr>
              <w:t>必选项</w:t>
            </w:r>
          </w:p>
        </w:tc>
        <w:tc>
          <w:tcPr>
            <w:tcW w:w="597" w:type="pct"/>
            <w:vAlign w:val="center"/>
          </w:tcPr>
          <w:p>
            <w:pPr>
              <w:adjustRightInd w:val="0"/>
              <w:snapToGrid w:val="0"/>
              <w:rPr>
                <w:rFonts w:ascii="仿宋" w:hAnsi="仿宋" w:eastAsia="仿宋"/>
                <w:szCs w:val="21"/>
                <w:highlight w:val="none"/>
              </w:rPr>
            </w:pPr>
          </w:p>
        </w:tc>
        <w:tc>
          <w:tcPr>
            <w:tcW w:w="896" w:type="pct"/>
            <w:vAlign w:val="center"/>
          </w:tcPr>
          <w:p>
            <w:pPr>
              <w:adjustRightInd w:val="0"/>
              <w:snapToGrid w:val="0"/>
              <w:ind w:right="46"/>
              <w:rPr>
                <w:rFonts w:ascii="仿宋" w:hAnsi="仿宋" w:eastAsia="仿宋"/>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9" w:type="pct"/>
            <w:gridSpan w:val="3"/>
            <w:vMerge w:val="continue"/>
            <w:vAlign w:val="center"/>
          </w:tcPr>
          <w:p>
            <w:pPr>
              <w:numPr>
                <w:ilvl w:val="0"/>
                <w:numId w:val="153"/>
              </w:numPr>
              <w:rPr>
                <w:rFonts w:ascii="仿宋" w:hAnsi="仿宋" w:eastAsia="仿宋"/>
                <w:kern w:val="0"/>
                <w:szCs w:val="21"/>
                <w:highlight w:val="none"/>
              </w:rPr>
            </w:pPr>
          </w:p>
        </w:tc>
        <w:tc>
          <w:tcPr>
            <w:tcW w:w="1636" w:type="pct"/>
            <w:vAlign w:val="center"/>
          </w:tcPr>
          <w:p>
            <w:pPr>
              <w:numPr>
                <w:ilvl w:val="2"/>
                <w:numId w:val="151"/>
              </w:numPr>
              <w:ind w:left="960" w:right="-117" w:hanging="947"/>
              <w:rPr>
                <w:rFonts w:ascii="仿宋" w:hAnsi="仿宋" w:eastAsia="仿宋"/>
                <w:bCs/>
                <w:kern w:val="44"/>
                <w:szCs w:val="21"/>
                <w:highlight w:val="none"/>
              </w:rPr>
            </w:pPr>
            <w:r>
              <w:rPr>
                <w:rFonts w:hint="eastAsia" w:ascii="仿宋" w:hAnsi="仿宋" w:eastAsia="仿宋"/>
                <w:bCs/>
                <w:kern w:val="44"/>
                <w:szCs w:val="21"/>
                <w:highlight w:val="none"/>
              </w:rPr>
              <w:t>涉及个人信息采集和保存的系统,须对个人信息主体提供个人信息的查询/更正/删除功能.</w:t>
            </w:r>
          </w:p>
        </w:tc>
        <w:tc>
          <w:tcPr>
            <w:tcW w:w="680" w:type="pct"/>
            <w:vAlign w:val="center"/>
          </w:tcPr>
          <w:p>
            <w:pPr>
              <w:adjustRightInd w:val="0"/>
              <w:snapToGrid w:val="0"/>
              <w:ind w:right="-29"/>
              <w:rPr>
                <w:rFonts w:ascii="仿宋" w:hAnsi="仿宋" w:eastAsia="仿宋"/>
                <w:szCs w:val="21"/>
                <w:highlight w:val="none"/>
              </w:rPr>
            </w:pPr>
            <w:r>
              <w:rPr>
                <w:rFonts w:hint="eastAsia" w:ascii="仿宋" w:hAnsi="仿宋" w:eastAsia="仿宋"/>
                <w:szCs w:val="21"/>
                <w:highlight w:val="none"/>
              </w:rPr>
              <w:t>必选项</w:t>
            </w:r>
          </w:p>
        </w:tc>
        <w:tc>
          <w:tcPr>
            <w:tcW w:w="597" w:type="pct"/>
            <w:vAlign w:val="center"/>
          </w:tcPr>
          <w:p>
            <w:pPr>
              <w:adjustRightInd w:val="0"/>
              <w:snapToGrid w:val="0"/>
              <w:rPr>
                <w:rFonts w:ascii="仿宋" w:hAnsi="仿宋" w:eastAsia="仿宋"/>
                <w:szCs w:val="21"/>
                <w:highlight w:val="none"/>
              </w:rPr>
            </w:pPr>
          </w:p>
        </w:tc>
        <w:tc>
          <w:tcPr>
            <w:tcW w:w="896" w:type="pct"/>
            <w:vAlign w:val="center"/>
          </w:tcPr>
          <w:p>
            <w:pPr>
              <w:adjustRightInd w:val="0"/>
              <w:snapToGrid w:val="0"/>
              <w:ind w:right="46"/>
              <w:rPr>
                <w:rFonts w:ascii="仿宋" w:hAnsi="仿宋" w:eastAsia="仿宋"/>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9" w:type="pct"/>
            <w:gridSpan w:val="3"/>
            <w:vMerge w:val="continue"/>
            <w:vAlign w:val="center"/>
          </w:tcPr>
          <w:p>
            <w:pPr>
              <w:numPr>
                <w:ilvl w:val="0"/>
                <w:numId w:val="153"/>
              </w:numPr>
              <w:rPr>
                <w:rFonts w:ascii="仿宋" w:hAnsi="仿宋" w:eastAsia="仿宋"/>
                <w:kern w:val="0"/>
                <w:szCs w:val="21"/>
                <w:highlight w:val="none"/>
              </w:rPr>
            </w:pPr>
          </w:p>
        </w:tc>
        <w:tc>
          <w:tcPr>
            <w:tcW w:w="1636" w:type="pct"/>
            <w:vAlign w:val="center"/>
          </w:tcPr>
          <w:p>
            <w:pPr>
              <w:numPr>
                <w:ilvl w:val="2"/>
                <w:numId w:val="151"/>
              </w:numPr>
              <w:ind w:left="960" w:right="-117" w:hanging="947"/>
              <w:rPr>
                <w:rFonts w:ascii="仿宋" w:hAnsi="仿宋" w:eastAsia="仿宋"/>
                <w:bCs/>
                <w:kern w:val="44"/>
                <w:szCs w:val="21"/>
                <w:highlight w:val="none"/>
              </w:rPr>
            </w:pPr>
            <w:r>
              <w:rPr>
                <w:rFonts w:hint="eastAsia" w:ascii="仿宋" w:hAnsi="仿宋" w:eastAsia="仿宋"/>
                <w:bCs/>
                <w:kern w:val="44"/>
                <w:szCs w:val="21"/>
                <w:highlight w:val="none"/>
              </w:rPr>
              <w:t>涉及个人信息采集和保存的系统,须对个人信息主体提供个人信息的撤回授权功能.</w:t>
            </w:r>
          </w:p>
        </w:tc>
        <w:tc>
          <w:tcPr>
            <w:tcW w:w="680" w:type="pct"/>
            <w:vAlign w:val="center"/>
          </w:tcPr>
          <w:p>
            <w:pPr>
              <w:adjustRightInd w:val="0"/>
              <w:snapToGrid w:val="0"/>
              <w:ind w:right="-29"/>
              <w:rPr>
                <w:rFonts w:ascii="仿宋" w:hAnsi="仿宋" w:eastAsia="仿宋"/>
                <w:szCs w:val="21"/>
                <w:highlight w:val="none"/>
              </w:rPr>
            </w:pPr>
            <w:r>
              <w:rPr>
                <w:rFonts w:hint="eastAsia" w:ascii="仿宋" w:hAnsi="仿宋" w:eastAsia="仿宋"/>
                <w:szCs w:val="21"/>
                <w:highlight w:val="none"/>
              </w:rPr>
              <w:t>必选项</w:t>
            </w:r>
          </w:p>
        </w:tc>
        <w:tc>
          <w:tcPr>
            <w:tcW w:w="597" w:type="pct"/>
            <w:vAlign w:val="center"/>
          </w:tcPr>
          <w:p>
            <w:pPr>
              <w:adjustRightInd w:val="0"/>
              <w:snapToGrid w:val="0"/>
              <w:rPr>
                <w:rFonts w:ascii="仿宋" w:hAnsi="仿宋" w:eastAsia="仿宋"/>
                <w:szCs w:val="21"/>
                <w:highlight w:val="none"/>
              </w:rPr>
            </w:pPr>
          </w:p>
        </w:tc>
        <w:tc>
          <w:tcPr>
            <w:tcW w:w="896" w:type="pct"/>
            <w:vAlign w:val="center"/>
          </w:tcPr>
          <w:p>
            <w:pPr>
              <w:adjustRightInd w:val="0"/>
              <w:snapToGrid w:val="0"/>
              <w:ind w:right="46"/>
              <w:rPr>
                <w:rFonts w:ascii="仿宋" w:hAnsi="仿宋" w:eastAsia="仿宋"/>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9" w:type="pct"/>
            <w:gridSpan w:val="3"/>
            <w:vMerge w:val="continue"/>
            <w:vAlign w:val="center"/>
          </w:tcPr>
          <w:p>
            <w:pPr>
              <w:numPr>
                <w:ilvl w:val="0"/>
                <w:numId w:val="153"/>
              </w:numPr>
              <w:rPr>
                <w:rFonts w:ascii="仿宋" w:hAnsi="仿宋" w:eastAsia="仿宋"/>
                <w:kern w:val="0"/>
                <w:szCs w:val="21"/>
                <w:highlight w:val="none"/>
              </w:rPr>
            </w:pPr>
          </w:p>
        </w:tc>
        <w:tc>
          <w:tcPr>
            <w:tcW w:w="1636" w:type="pct"/>
            <w:vAlign w:val="center"/>
          </w:tcPr>
          <w:p>
            <w:pPr>
              <w:numPr>
                <w:ilvl w:val="2"/>
                <w:numId w:val="151"/>
              </w:numPr>
              <w:ind w:left="960" w:right="-117" w:hanging="947"/>
              <w:rPr>
                <w:rFonts w:ascii="仿宋" w:hAnsi="仿宋" w:eastAsia="仿宋"/>
                <w:bCs/>
                <w:kern w:val="44"/>
                <w:szCs w:val="21"/>
                <w:highlight w:val="none"/>
              </w:rPr>
            </w:pPr>
            <w:r>
              <w:rPr>
                <w:rFonts w:hint="eastAsia" w:ascii="仿宋" w:hAnsi="仿宋" w:eastAsia="仿宋"/>
                <w:bCs/>
                <w:kern w:val="44"/>
                <w:szCs w:val="21"/>
                <w:highlight w:val="none"/>
              </w:rPr>
              <w:t>如业务需要收集个人信息,系统需发布个人隐私政策.</w:t>
            </w:r>
          </w:p>
        </w:tc>
        <w:tc>
          <w:tcPr>
            <w:tcW w:w="680" w:type="pct"/>
            <w:vAlign w:val="center"/>
          </w:tcPr>
          <w:p>
            <w:pPr>
              <w:adjustRightInd w:val="0"/>
              <w:snapToGrid w:val="0"/>
              <w:ind w:right="-29"/>
              <w:rPr>
                <w:rFonts w:ascii="仿宋" w:hAnsi="仿宋" w:eastAsia="仿宋"/>
                <w:szCs w:val="21"/>
                <w:highlight w:val="none"/>
              </w:rPr>
            </w:pPr>
            <w:r>
              <w:rPr>
                <w:rFonts w:hint="eastAsia" w:ascii="仿宋" w:hAnsi="仿宋" w:eastAsia="仿宋"/>
                <w:szCs w:val="21"/>
                <w:highlight w:val="none"/>
              </w:rPr>
              <w:t>必选项</w:t>
            </w:r>
          </w:p>
        </w:tc>
        <w:tc>
          <w:tcPr>
            <w:tcW w:w="597" w:type="pct"/>
            <w:vAlign w:val="center"/>
          </w:tcPr>
          <w:p>
            <w:pPr>
              <w:adjustRightInd w:val="0"/>
              <w:snapToGrid w:val="0"/>
              <w:rPr>
                <w:rFonts w:ascii="仿宋" w:hAnsi="仿宋" w:eastAsia="仿宋"/>
                <w:szCs w:val="21"/>
                <w:highlight w:val="none"/>
              </w:rPr>
            </w:pPr>
          </w:p>
        </w:tc>
        <w:tc>
          <w:tcPr>
            <w:tcW w:w="896" w:type="pct"/>
            <w:vAlign w:val="center"/>
          </w:tcPr>
          <w:p>
            <w:pPr>
              <w:adjustRightInd w:val="0"/>
              <w:snapToGrid w:val="0"/>
              <w:ind w:right="46"/>
              <w:rPr>
                <w:rFonts w:ascii="仿宋" w:hAnsi="仿宋" w:eastAsia="仿宋"/>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00" w:type="pct"/>
            <w:gridSpan w:val="7"/>
            <w:vAlign w:val="center"/>
          </w:tcPr>
          <w:p>
            <w:pPr>
              <w:adjustRightInd w:val="0"/>
              <w:snapToGrid w:val="0"/>
              <w:rPr>
                <w:rFonts w:ascii="仿宋" w:hAnsi="仿宋" w:eastAsia="仿宋"/>
                <w:b/>
                <w:szCs w:val="21"/>
                <w:highlight w:val="none"/>
              </w:rPr>
            </w:pPr>
            <w:r>
              <w:rPr>
                <w:rFonts w:hint="eastAsia" w:ascii="仿宋" w:hAnsi="仿宋" w:eastAsia="仿宋"/>
                <w:b/>
                <w:szCs w:val="21"/>
                <w:highlight w:val="none"/>
              </w:rPr>
              <w:t>4、故障预警要求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26" w:type="pct"/>
            <w:gridSpan w:val="4"/>
            <w:vAlign w:val="center"/>
          </w:tcPr>
          <w:p>
            <w:pPr>
              <w:pStyle w:val="30"/>
              <w:numPr>
                <w:ilvl w:val="0"/>
                <w:numId w:val="151"/>
              </w:numPr>
              <w:ind w:firstLineChars="0"/>
              <w:rPr>
                <w:rFonts w:ascii="仿宋" w:hAnsi="仿宋" w:eastAsia="仿宋"/>
                <w:bCs/>
                <w:kern w:val="44"/>
                <w:szCs w:val="21"/>
                <w:highlight w:val="none"/>
              </w:rPr>
            </w:pPr>
          </w:p>
          <w:p>
            <w:pPr>
              <w:numPr>
                <w:ilvl w:val="1"/>
                <w:numId w:val="151"/>
              </w:numPr>
              <w:ind w:right="-143"/>
              <w:rPr>
                <w:rFonts w:ascii="仿宋" w:hAnsi="仿宋" w:eastAsia="仿宋"/>
                <w:bCs/>
                <w:kern w:val="44"/>
                <w:szCs w:val="21"/>
                <w:highlight w:val="none"/>
              </w:rPr>
            </w:pPr>
            <w:r>
              <w:rPr>
                <w:rFonts w:hint="eastAsia" w:ascii="仿宋" w:hAnsi="仿宋" w:eastAsia="仿宋"/>
                <w:bCs/>
                <w:kern w:val="44"/>
                <w:szCs w:val="21"/>
                <w:highlight w:val="none"/>
              </w:rPr>
              <w:t>提供系统故障、超过系统容量、数据出错、操作失误等的报警功能，以对话框或禁止下一步操作的方式报警并记录在系统日志内。</w:t>
            </w:r>
          </w:p>
        </w:tc>
        <w:tc>
          <w:tcPr>
            <w:tcW w:w="680" w:type="pct"/>
            <w:vAlign w:val="center"/>
          </w:tcPr>
          <w:p>
            <w:pPr>
              <w:adjustRightInd w:val="0"/>
              <w:snapToGrid w:val="0"/>
              <w:ind w:right="-29"/>
              <w:rPr>
                <w:rFonts w:ascii="仿宋" w:hAnsi="仿宋" w:eastAsia="仿宋"/>
                <w:szCs w:val="21"/>
                <w:highlight w:val="none"/>
              </w:rPr>
            </w:pPr>
            <w:r>
              <w:rPr>
                <w:rFonts w:hint="eastAsia" w:ascii="仿宋" w:hAnsi="仿宋" w:eastAsia="仿宋"/>
                <w:szCs w:val="21"/>
                <w:highlight w:val="none"/>
              </w:rPr>
              <w:t>必选项</w:t>
            </w:r>
          </w:p>
        </w:tc>
        <w:tc>
          <w:tcPr>
            <w:tcW w:w="597" w:type="pct"/>
            <w:vAlign w:val="center"/>
          </w:tcPr>
          <w:p>
            <w:pPr>
              <w:adjustRightInd w:val="0"/>
              <w:snapToGrid w:val="0"/>
              <w:rPr>
                <w:rFonts w:ascii="仿宋" w:hAnsi="仿宋" w:eastAsia="仿宋"/>
                <w:szCs w:val="21"/>
                <w:highlight w:val="none"/>
              </w:rPr>
            </w:pPr>
          </w:p>
        </w:tc>
        <w:tc>
          <w:tcPr>
            <w:tcW w:w="896" w:type="pct"/>
            <w:vAlign w:val="center"/>
          </w:tcPr>
          <w:p>
            <w:pPr>
              <w:adjustRightInd w:val="0"/>
              <w:snapToGrid w:val="0"/>
              <w:ind w:right="46"/>
              <w:rPr>
                <w:rFonts w:ascii="仿宋" w:hAnsi="仿宋" w:eastAsia="仿宋"/>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00" w:type="pct"/>
            <w:gridSpan w:val="7"/>
            <w:vAlign w:val="center"/>
          </w:tcPr>
          <w:p>
            <w:pPr>
              <w:adjustRightInd w:val="0"/>
              <w:snapToGrid w:val="0"/>
              <w:rPr>
                <w:rFonts w:ascii="仿宋" w:hAnsi="仿宋" w:eastAsia="仿宋"/>
                <w:b/>
                <w:szCs w:val="21"/>
                <w:highlight w:val="none"/>
              </w:rPr>
            </w:pPr>
            <w:bookmarkStart w:id="383" w:name="_Toc27865"/>
            <w:r>
              <w:rPr>
                <w:rFonts w:hint="eastAsia" w:ascii="仿宋" w:hAnsi="仿宋" w:eastAsia="仿宋"/>
                <w:b/>
                <w:szCs w:val="21"/>
                <w:highlight w:val="none"/>
              </w:rPr>
              <w:t>5、日志和报表</w:t>
            </w:r>
            <w:bookmarkEnd w:id="383"/>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hidden/>
        </w:trPr>
        <w:tc>
          <w:tcPr>
            <w:tcW w:w="2826" w:type="pct"/>
            <w:gridSpan w:val="4"/>
            <w:vAlign w:val="center"/>
          </w:tcPr>
          <w:p>
            <w:pPr>
              <w:pStyle w:val="30"/>
              <w:numPr>
                <w:ilvl w:val="0"/>
                <w:numId w:val="151"/>
              </w:numPr>
              <w:ind w:firstLineChars="0"/>
              <w:rPr>
                <w:rFonts w:ascii="仿宋" w:hAnsi="仿宋" w:eastAsia="仿宋"/>
                <w:vanish/>
                <w:highlight w:val="none"/>
              </w:rPr>
            </w:pPr>
          </w:p>
          <w:p>
            <w:pPr>
              <w:numPr>
                <w:ilvl w:val="1"/>
                <w:numId w:val="151"/>
              </w:numPr>
              <w:ind w:right="-143"/>
              <w:rPr>
                <w:rFonts w:ascii="仿宋" w:hAnsi="仿宋" w:eastAsia="仿宋"/>
                <w:kern w:val="0"/>
                <w:szCs w:val="21"/>
                <w:highlight w:val="none"/>
              </w:rPr>
            </w:pPr>
            <w:r>
              <w:rPr>
                <w:rFonts w:hint="eastAsia" w:ascii="仿宋" w:hAnsi="仿宋" w:eastAsia="仿宋"/>
                <w:bCs/>
                <w:kern w:val="44"/>
                <w:szCs w:val="21"/>
                <w:highlight w:val="none"/>
              </w:rPr>
              <w:t>应开启网页访问日志与数据库访问日志</w:t>
            </w:r>
          </w:p>
        </w:tc>
        <w:tc>
          <w:tcPr>
            <w:tcW w:w="680" w:type="pct"/>
          </w:tcPr>
          <w:p>
            <w:pPr>
              <w:adjustRightInd w:val="0"/>
              <w:snapToGrid w:val="0"/>
              <w:ind w:right="-29"/>
              <w:rPr>
                <w:rFonts w:ascii="仿宋" w:hAnsi="仿宋" w:eastAsia="仿宋"/>
                <w:szCs w:val="21"/>
                <w:highlight w:val="none"/>
              </w:rPr>
            </w:pPr>
            <w:r>
              <w:rPr>
                <w:rFonts w:hint="eastAsia" w:ascii="仿宋" w:hAnsi="仿宋" w:eastAsia="仿宋"/>
                <w:szCs w:val="21"/>
                <w:highlight w:val="none"/>
              </w:rPr>
              <w:t>必选项</w:t>
            </w:r>
          </w:p>
        </w:tc>
        <w:tc>
          <w:tcPr>
            <w:tcW w:w="597" w:type="pct"/>
          </w:tcPr>
          <w:p>
            <w:pPr>
              <w:adjustRightInd w:val="0"/>
              <w:snapToGrid w:val="0"/>
              <w:rPr>
                <w:rFonts w:ascii="仿宋" w:hAnsi="仿宋" w:eastAsia="仿宋"/>
                <w:szCs w:val="21"/>
                <w:highlight w:val="none"/>
              </w:rPr>
            </w:pPr>
          </w:p>
        </w:tc>
        <w:tc>
          <w:tcPr>
            <w:tcW w:w="896" w:type="pct"/>
            <w:vAlign w:val="center"/>
          </w:tcPr>
          <w:p>
            <w:pPr>
              <w:adjustRightInd w:val="0"/>
              <w:snapToGrid w:val="0"/>
              <w:ind w:right="46"/>
              <w:rPr>
                <w:rFonts w:ascii="仿宋" w:hAnsi="仿宋" w:eastAsia="仿宋"/>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26" w:type="pct"/>
            <w:gridSpan w:val="4"/>
            <w:vAlign w:val="center"/>
          </w:tcPr>
          <w:p>
            <w:pPr>
              <w:numPr>
                <w:ilvl w:val="1"/>
                <w:numId w:val="151"/>
              </w:numPr>
              <w:ind w:right="-143"/>
              <w:rPr>
                <w:rFonts w:ascii="仿宋" w:hAnsi="仿宋" w:eastAsia="仿宋"/>
                <w:bCs/>
                <w:kern w:val="44"/>
                <w:szCs w:val="21"/>
                <w:highlight w:val="none"/>
              </w:rPr>
            </w:pPr>
            <w:r>
              <w:rPr>
                <w:rFonts w:hint="eastAsia" w:ascii="仿宋" w:hAnsi="仿宋" w:eastAsia="仿宋"/>
                <w:bCs/>
                <w:kern w:val="44"/>
                <w:szCs w:val="21"/>
                <w:highlight w:val="none"/>
              </w:rPr>
              <w:t>报表或日志文件不可修改或删除。</w:t>
            </w:r>
          </w:p>
        </w:tc>
        <w:tc>
          <w:tcPr>
            <w:tcW w:w="680" w:type="pct"/>
          </w:tcPr>
          <w:p>
            <w:pPr>
              <w:adjustRightInd w:val="0"/>
              <w:snapToGrid w:val="0"/>
              <w:ind w:right="-29"/>
              <w:rPr>
                <w:rFonts w:ascii="仿宋" w:hAnsi="仿宋" w:eastAsia="仿宋"/>
                <w:szCs w:val="21"/>
                <w:highlight w:val="none"/>
              </w:rPr>
            </w:pPr>
            <w:r>
              <w:rPr>
                <w:rFonts w:hint="eastAsia" w:ascii="仿宋" w:hAnsi="仿宋" w:eastAsia="仿宋"/>
                <w:szCs w:val="21"/>
                <w:highlight w:val="none"/>
              </w:rPr>
              <w:t>必选项</w:t>
            </w:r>
          </w:p>
        </w:tc>
        <w:tc>
          <w:tcPr>
            <w:tcW w:w="597" w:type="pct"/>
          </w:tcPr>
          <w:p>
            <w:pPr>
              <w:adjustRightInd w:val="0"/>
              <w:snapToGrid w:val="0"/>
              <w:rPr>
                <w:rFonts w:ascii="仿宋" w:hAnsi="仿宋" w:eastAsia="仿宋"/>
                <w:szCs w:val="21"/>
                <w:highlight w:val="none"/>
              </w:rPr>
            </w:pPr>
          </w:p>
        </w:tc>
        <w:tc>
          <w:tcPr>
            <w:tcW w:w="896" w:type="pct"/>
            <w:vAlign w:val="center"/>
          </w:tcPr>
          <w:p>
            <w:pPr>
              <w:adjustRightInd w:val="0"/>
              <w:snapToGrid w:val="0"/>
              <w:ind w:right="46"/>
              <w:rPr>
                <w:rFonts w:ascii="仿宋" w:hAnsi="仿宋" w:eastAsia="仿宋"/>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26" w:type="pct"/>
            <w:gridSpan w:val="4"/>
            <w:vAlign w:val="center"/>
          </w:tcPr>
          <w:p>
            <w:pPr>
              <w:numPr>
                <w:ilvl w:val="1"/>
                <w:numId w:val="151"/>
              </w:numPr>
              <w:ind w:right="-143"/>
              <w:rPr>
                <w:rFonts w:ascii="仿宋" w:hAnsi="仿宋" w:eastAsia="仿宋"/>
                <w:bCs/>
                <w:kern w:val="44"/>
                <w:szCs w:val="21"/>
                <w:highlight w:val="none"/>
              </w:rPr>
            </w:pPr>
            <w:r>
              <w:rPr>
                <w:rFonts w:hint="eastAsia" w:ascii="仿宋" w:hAnsi="仿宋" w:eastAsia="仿宋"/>
                <w:bCs/>
                <w:kern w:val="44"/>
                <w:szCs w:val="21"/>
                <w:highlight w:val="none"/>
              </w:rPr>
              <w:t>系统应提供单独的日志审核界面（权限）供审计人员使用；须对任何日志文件进行保护。</w:t>
            </w:r>
          </w:p>
        </w:tc>
        <w:tc>
          <w:tcPr>
            <w:tcW w:w="680" w:type="pct"/>
            <w:vAlign w:val="center"/>
          </w:tcPr>
          <w:p>
            <w:pPr>
              <w:adjustRightInd w:val="0"/>
              <w:snapToGrid w:val="0"/>
              <w:ind w:right="-29"/>
              <w:rPr>
                <w:rFonts w:ascii="仿宋" w:hAnsi="仿宋" w:eastAsia="仿宋"/>
                <w:szCs w:val="21"/>
                <w:highlight w:val="none"/>
              </w:rPr>
            </w:pPr>
            <w:r>
              <w:rPr>
                <w:rFonts w:hint="eastAsia" w:ascii="仿宋" w:hAnsi="仿宋" w:eastAsia="仿宋"/>
                <w:szCs w:val="21"/>
                <w:highlight w:val="none"/>
              </w:rPr>
              <w:t>必选项</w:t>
            </w:r>
          </w:p>
        </w:tc>
        <w:tc>
          <w:tcPr>
            <w:tcW w:w="597" w:type="pct"/>
          </w:tcPr>
          <w:p>
            <w:pPr>
              <w:adjustRightInd w:val="0"/>
              <w:snapToGrid w:val="0"/>
              <w:rPr>
                <w:rFonts w:ascii="仿宋" w:hAnsi="仿宋" w:eastAsia="仿宋"/>
                <w:szCs w:val="21"/>
                <w:highlight w:val="none"/>
              </w:rPr>
            </w:pPr>
          </w:p>
        </w:tc>
        <w:tc>
          <w:tcPr>
            <w:tcW w:w="896" w:type="pct"/>
            <w:vAlign w:val="center"/>
          </w:tcPr>
          <w:p>
            <w:pPr>
              <w:adjustRightInd w:val="0"/>
              <w:snapToGrid w:val="0"/>
              <w:ind w:right="46"/>
              <w:rPr>
                <w:rFonts w:ascii="仿宋" w:hAnsi="仿宋" w:eastAsia="仿宋"/>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26" w:type="pct"/>
            <w:gridSpan w:val="4"/>
            <w:vAlign w:val="center"/>
          </w:tcPr>
          <w:p>
            <w:pPr>
              <w:numPr>
                <w:ilvl w:val="1"/>
                <w:numId w:val="151"/>
              </w:numPr>
              <w:ind w:right="-143"/>
              <w:rPr>
                <w:rFonts w:ascii="仿宋" w:hAnsi="仿宋" w:eastAsia="仿宋"/>
                <w:bCs/>
                <w:kern w:val="44"/>
                <w:szCs w:val="21"/>
                <w:highlight w:val="none"/>
              </w:rPr>
            </w:pPr>
            <w:r>
              <w:rPr>
                <w:rFonts w:hint="eastAsia" w:ascii="仿宋" w:hAnsi="仿宋" w:eastAsia="仿宋"/>
                <w:bCs/>
                <w:kern w:val="44"/>
                <w:szCs w:val="21"/>
                <w:highlight w:val="none"/>
              </w:rPr>
              <w:t>系统产生的所有日志应支持syslog协议，存储到第三方日志服务器；</w:t>
            </w:r>
          </w:p>
        </w:tc>
        <w:tc>
          <w:tcPr>
            <w:tcW w:w="680" w:type="pct"/>
            <w:vAlign w:val="center"/>
          </w:tcPr>
          <w:p>
            <w:pPr>
              <w:adjustRightInd w:val="0"/>
              <w:snapToGrid w:val="0"/>
              <w:ind w:right="-29"/>
              <w:rPr>
                <w:rFonts w:ascii="仿宋" w:hAnsi="仿宋" w:eastAsia="仿宋"/>
                <w:szCs w:val="21"/>
                <w:highlight w:val="none"/>
              </w:rPr>
            </w:pPr>
            <w:r>
              <w:rPr>
                <w:rFonts w:hint="eastAsia" w:ascii="仿宋" w:hAnsi="仿宋" w:eastAsia="仿宋"/>
                <w:szCs w:val="21"/>
                <w:highlight w:val="none"/>
              </w:rPr>
              <w:t>必选项</w:t>
            </w:r>
          </w:p>
        </w:tc>
        <w:tc>
          <w:tcPr>
            <w:tcW w:w="597" w:type="pct"/>
          </w:tcPr>
          <w:p>
            <w:pPr>
              <w:adjustRightInd w:val="0"/>
              <w:snapToGrid w:val="0"/>
              <w:rPr>
                <w:rFonts w:ascii="仿宋" w:hAnsi="仿宋" w:eastAsia="仿宋"/>
                <w:szCs w:val="21"/>
                <w:highlight w:val="none"/>
              </w:rPr>
            </w:pPr>
          </w:p>
        </w:tc>
        <w:tc>
          <w:tcPr>
            <w:tcW w:w="896" w:type="pct"/>
            <w:vAlign w:val="center"/>
          </w:tcPr>
          <w:p>
            <w:pPr>
              <w:adjustRightInd w:val="0"/>
              <w:snapToGrid w:val="0"/>
              <w:ind w:right="46"/>
              <w:rPr>
                <w:rFonts w:ascii="仿宋" w:hAnsi="仿宋" w:eastAsia="仿宋"/>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73" w:type="pct"/>
            <w:gridSpan w:val="2"/>
            <w:vMerge w:val="restart"/>
            <w:vAlign w:val="center"/>
          </w:tcPr>
          <w:p>
            <w:pPr>
              <w:numPr>
                <w:ilvl w:val="1"/>
                <w:numId w:val="151"/>
              </w:numPr>
              <w:ind w:right="-64"/>
              <w:rPr>
                <w:rFonts w:ascii="仿宋" w:hAnsi="仿宋" w:eastAsia="仿宋"/>
                <w:kern w:val="0"/>
                <w:szCs w:val="21"/>
                <w:highlight w:val="none"/>
              </w:rPr>
            </w:pPr>
            <w:r>
              <w:rPr>
                <w:rFonts w:hint="eastAsia" w:ascii="仿宋" w:hAnsi="仿宋" w:eastAsia="仿宋"/>
                <w:highlight w:val="none"/>
              </w:rPr>
              <w:t>系统运行日志</w:t>
            </w:r>
          </w:p>
        </w:tc>
        <w:tc>
          <w:tcPr>
            <w:tcW w:w="1953" w:type="pct"/>
            <w:gridSpan w:val="2"/>
            <w:vAlign w:val="center"/>
          </w:tcPr>
          <w:p>
            <w:pPr>
              <w:numPr>
                <w:ilvl w:val="2"/>
                <w:numId w:val="151"/>
              </w:numPr>
              <w:ind w:left="947" w:right="-117" w:hanging="947"/>
              <w:rPr>
                <w:rFonts w:ascii="仿宋" w:hAnsi="仿宋" w:eastAsia="仿宋"/>
                <w:szCs w:val="21"/>
                <w:highlight w:val="none"/>
              </w:rPr>
            </w:pPr>
            <w:r>
              <w:rPr>
                <w:rFonts w:hint="eastAsia" w:ascii="仿宋" w:hAnsi="仿宋" w:eastAsia="仿宋"/>
                <w:highlight w:val="none"/>
              </w:rPr>
              <w:t>需要能记录操作者、操作对象、时间、IP 、事件、操作结果（成功、失败）以及原因（如考虑性能，此功能可作为开关，必要时提供）；</w:t>
            </w:r>
          </w:p>
        </w:tc>
        <w:tc>
          <w:tcPr>
            <w:tcW w:w="680" w:type="pct"/>
            <w:vAlign w:val="center"/>
          </w:tcPr>
          <w:p>
            <w:pPr>
              <w:adjustRightInd w:val="0"/>
              <w:snapToGrid w:val="0"/>
              <w:ind w:right="-29"/>
              <w:rPr>
                <w:rFonts w:ascii="仿宋" w:hAnsi="仿宋" w:eastAsia="仿宋"/>
                <w:szCs w:val="21"/>
                <w:highlight w:val="none"/>
              </w:rPr>
            </w:pPr>
            <w:r>
              <w:rPr>
                <w:rFonts w:hint="eastAsia" w:ascii="仿宋" w:hAnsi="仿宋" w:eastAsia="仿宋"/>
                <w:szCs w:val="21"/>
                <w:highlight w:val="none"/>
              </w:rPr>
              <w:t>必选项</w:t>
            </w:r>
          </w:p>
        </w:tc>
        <w:tc>
          <w:tcPr>
            <w:tcW w:w="597" w:type="pct"/>
            <w:vAlign w:val="center"/>
          </w:tcPr>
          <w:p>
            <w:pPr>
              <w:adjustRightInd w:val="0"/>
              <w:snapToGrid w:val="0"/>
              <w:rPr>
                <w:rFonts w:ascii="仿宋" w:hAnsi="仿宋" w:eastAsia="仿宋"/>
                <w:szCs w:val="21"/>
                <w:highlight w:val="none"/>
              </w:rPr>
            </w:pPr>
          </w:p>
        </w:tc>
        <w:tc>
          <w:tcPr>
            <w:tcW w:w="896" w:type="pct"/>
            <w:vAlign w:val="center"/>
          </w:tcPr>
          <w:p>
            <w:pPr>
              <w:adjustRightInd w:val="0"/>
              <w:snapToGrid w:val="0"/>
              <w:ind w:right="46"/>
              <w:rPr>
                <w:rFonts w:ascii="仿宋" w:hAnsi="仿宋" w:eastAsia="仿宋"/>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73" w:type="pct"/>
            <w:gridSpan w:val="2"/>
            <w:vMerge w:val="continue"/>
            <w:vAlign w:val="center"/>
          </w:tcPr>
          <w:p>
            <w:pPr>
              <w:numPr>
                <w:ilvl w:val="0"/>
                <w:numId w:val="153"/>
              </w:numPr>
              <w:rPr>
                <w:rFonts w:ascii="仿宋" w:hAnsi="仿宋" w:eastAsia="仿宋"/>
                <w:kern w:val="0"/>
                <w:szCs w:val="21"/>
                <w:highlight w:val="none"/>
              </w:rPr>
            </w:pPr>
          </w:p>
        </w:tc>
        <w:tc>
          <w:tcPr>
            <w:tcW w:w="1953" w:type="pct"/>
            <w:gridSpan w:val="2"/>
            <w:vAlign w:val="center"/>
          </w:tcPr>
          <w:p>
            <w:pPr>
              <w:numPr>
                <w:ilvl w:val="2"/>
                <w:numId w:val="151"/>
              </w:numPr>
              <w:ind w:left="947" w:right="-117" w:hanging="947"/>
              <w:rPr>
                <w:rFonts w:ascii="仿宋" w:hAnsi="仿宋" w:eastAsia="仿宋"/>
                <w:szCs w:val="21"/>
                <w:highlight w:val="none"/>
              </w:rPr>
            </w:pPr>
            <w:r>
              <w:rPr>
                <w:rFonts w:hint="eastAsia" w:ascii="仿宋" w:hAnsi="仿宋" w:eastAsia="仿宋"/>
                <w:highlight w:val="none"/>
              </w:rPr>
              <w:t>系统错误或警报的记录。</w:t>
            </w:r>
          </w:p>
        </w:tc>
        <w:tc>
          <w:tcPr>
            <w:tcW w:w="680" w:type="pct"/>
          </w:tcPr>
          <w:p>
            <w:pPr>
              <w:adjustRightInd w:val="0"/>
              <w:snapToGrid w:val="0"/>
              <w:ind w:right="-29"/>
              <w:rPr>
                <w:rFonts w:ascii="仿宋" w:hAnsi="仿宋" w:eastAsia="仿宋"/>
                <w:szCs w:val="21"/>
                <w:highlight w:val="none"/>
              </w:rPr>
            </w:pPr>
            <w:r>
              <w:rPr>
                <w:rFonts w:hint="eastAsia" w:ascii="仿宋" w:hAnsi="仿宋" w:eastAsia="仿宋"/>
                <w:szCs w:val="21"/>
                <w:highlight w:val="none"/>
              </w:rPr>
              <w:t>必选项</w:t>
            </w:r>
          </w:p>
        </w:tc>
        <w:tc>
          <w:tcPr>
            <w:tcW w:w="597" w:type="pct"/>
          </w:tcPr>
          <w:p>
            <w:pPr>
              <w:adjustRightInd w:val="0"/>
              <w:snapToGrid w:val="0"/>
              <w:rPr>
                <w:rFonts w:ascii="仿宋" w:hAnsi="仿宋" w:eastAsia="仿宋"/>
                <w:szCs w:val="21"/>
                <w:highlight w:val="none"/>
              </w:rPr>
            </w:pPr>
          </w:p>
        </w:tc>
        <w:tc>
          <w:tcPr>
            <w:tcW w:w="896" w:type="pct"/>
            <w:vAlign w:val="center"/>
          </w:tcPr>
          <w:p>
            <w:pPr>
              <w:adjustRightInd w:val="0"/>
              <w:snapToGrid w:val="0"/>
              <w:ind w:right="46"/>
              <w:rPr>
                <w:rFonts w:ascii="仿宋" w:hAnsi="仿宋" w:eastAsia="仿宋"/>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873" w:type="pct"/>
            <w:gridSpan w:val="2"/>
            <w:vMerge w:val="restart"/>
            <w:vAlign w:val="center"/>
          </w:tcPr>
          <w:p>
            <w:pPr>
              <w:numPr>
                <w:ilvl w:val="1"/>
                <w:numId w:val="151"/>
              </w:numPr>
              <w:ind w:right="-64"/>
              <w:rPr>
                <w:rFonts w:ascii="仿宋" w:hAnsi="仿宋" w:eastAsia="仿宋"/>
                <w:highlight w:val="none"/>
              </w:rPr>
            </w:pPr>
            <w:r>
              <w:rPr>
                <w:rFonts w:hint="eastAsia" w:ascii="仿宋" w:hAnsi="仿宋" w:eastAsia="仿宋"/>
                <w:highlight w:val="none"/>
              </w:rPr>
              <w:t>权限维护日志</w:t>
            </w:r>
          </w:p>
        </w:tc>
        <w:tc>
          <w:tcPr>
            <w:tcW w:w="1953" w:type="pct"/>
            <w:gridSpan w:val="2"/>
            <w:vAlign w:val="center"/>
          </w:tcPr>
          <w:p>
            <w:pPr>
              <w:numPr>
                <w:ilvl w:val="2"/>
                <w:numId w:val="151"/>
              </w:numPr>
              <w:ind w:left="947" w:right="-117" w:hanging="947"/>
              <w:rPr>
                <w:rFonts w:ascii="仿宋" w:hAnsi="仿宋" w:eastAsia="仿宋"/>
                <w:highlight w:val="none"/>
              </w:rPr>
            </w:pPr>
            <w:r>
              <w:rPr>
                <w:rFonts w:hint="eastAsia" w:ascii="仿宋" w:hAnsi="仿宋" w:eastAsia="仿宋"/>
                <w:highlight w:val="none"/>
              </w:rPr>
              <w:t>维护员ID；维护日期、时间；</w:t>
            </w:r>
          </w:p>
        </w:tc>
        <w:tc>
          <w:tcPr>
            <w:tcW w:w="680" w:type="pct"/>
          </w:tcPr>
          <w:p>
            <w:pPr>
              <w:adjustRightInd w:val="0"/>
              <w:snapToGrid w:val="0"/>
              <w:ind w:right="-29"/>
              <w:rPr>
                <w:rFonts w:ascii="仿宋" w:hAnsi="仿宋" w:eastAsia="仿宋"/>
                <w:szCs w:val="21"/>
                <w:highlight w:val="none"/>
              </w:rPr>
            </w:pPr>
            <w:r>
              <w:rPr>
                <w:rFonts w:hint="eastAsia" w:ascii="仿宋" w:hAnsi="仿宋" w:eastAsia="仿宋"/>
                <w:szCs w:val="21"/>
                <w:highlight w:val="none"/>
              </w:rPr>
              <w:t>必选项</w:t>
            </w:r>
          </w:p>
        </w:tc>
        <w:tc>
          <w:tcPr>
            <w:tcW w:w="597" w:type="pct"/>
          </w:tcPr>
          <w:p>
            <w:pPr>
              <w:adjustRightInd w:val="0"/>
              <w:snapToGrid w:val="0"/>
              <w:rPr>
                <w:rFonts w:ascii="仿宋" w:hAnsi="仿宋" w:eastAsia="仿宋"/>
                <w:szCs w:val="21"/>
                <w:highlight w:val="none"/>
              </w:rPr>
            </w:pPr>
          </w:p>
        </w:tc>
        <w:tc>
          <w:tcPr>
            <w:tcW w:w="896" w:type="pct"/>
            <w:vAlign w:val="center"/>
          </w:tcPr>
          <w:p>
            <w:pPr>
              <w:adjustRightInd w:val="0"/>
              <w:snapToGrid w:val="0"/>
              <w:ind w:right="46"/>
              <w:rPr>
                <w:rFonts w:ascii="仿宋" w:hAnsi="仿宋" w:eastAsia="仿宋"/>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73" w:type="pct"/>
            <w:gridSpan w:val="2"/>
            <w:vMerge w:val="continue"/>
            <w:vAlign w:val="center"/>
          </w:tcPr>
          <w:p>
            <w:pPr>
              <w:numPr>
                <w:ilvl w:val="1"/>
                <w:numId w:val="151"/>
              </w:numPr>
              <w:ind w:right="-64"/>
              <w:rPr>
                <w:rFonts w:ascii="仿宋" w:hAnsi="仿宋" w:eastAsia="仿宋"/>
                <w:highlight w:val="none"/>
              </w:rPr>
            </w:pPr>
          </w:p>
        </w:tc>
        <w:tc>
          <w:tcPr>
            <w:tcW w:w="1953" w:type="pct"/>
            <w:gridSpan w:val="2"/>
            <w:vAlign w:val="center"/>
          </w:tcPr>
          <w:p>
            <w:pPr>
              <w:numPr>
                <w:ilvl w:val="2"/>
                <w:numId w:val="151"/>
              </w:numPr>
              <w:ind w:left="947" w:right="-117" w:hanging="947"/>
              <w:rPr>
                <w:rFonts w:ascii="仿宋" w:hAnsi="仿宋" w:eastAsia="仿宋"/>
                <w:highlight w:val="none"/>
              </w:rPr>
            </w:pPr>
            <w:r>
              <w:rPr>
                <w:rFonts w:hint="eastAsia" w:ascii="仿宋" w:hAnsi="仿宋" w:eastAsia="仿宋"/>
                <w:highlight w:val="none"/>
              </w:rPr>
              <w:t>权限的新增、删除或变更的记录。</w:t>
            </w:r>
          </w:p>
        </w:tc>
        <w:tc>
          <w:tcPr>
            <w:tcW w:w="680" w:type="pct"/>
            <w:vAlign w:val="center"/>
          </w:tcPr>
          <w:p>
            <w:pPr>
              <w:adjustRightInd w:val="0"/>
              <w:snapToGrid w:val="0"/>
              <w:ind w:right="-29"/>
              <w:rPr>
                <w:rFonts w:ascii="仿宋" w:hAnsi="仿宋" w:eastAsia="仿宋"/>
                <w:szCs w:val="21"/>
                <w:highlight w:val="none"/>
              </w:rPr>
            </w:pPr>
            <w:r>
              <w:rPr>
                <w:rFonts w:hint="eastAsia" w:ascii="仿宋" w:hAnsi="仿宋" w:eastAsia="仿宋"/>
                <w:szCs w:val="21"/>
                <w:highlight w:val="none"/>
              </w:rPr>
              <w:t>必选项</w:t>
            </w:r>
          </w:p>
        </w:tc>
        <w:tc>
          <w:tcPr>
            <w:tcW w:w="597" w:type="pct"/>
          </w:tcPr>
          <w:p>
            <w:pPr>
              <w:adjustRightInd w:val="0"/>
              <w:snapToGrid w:val="0"/>
              <w:rPr>
                <w:rFonts w:ascii="仿宋" w:hAnsi="仿宋" w:eastAsia="仿宋"/>
                <w:szCs w:val="21"/>
                <w:highlight w:val="none"/>
              </w:rPr>
            </w:pPr>
          </w:p>
        </w:tc>
        <w:tc>
          <w:tcPr>
            <w:tcW w:w="896" w:type="pct"/>
            <w:vAlign w:val="center"/>
          </w:tcPr>
          <w:p>
            <w:pPr>
              <w:adjustRightInd w:val="0"/>
              <w:snapToGrid w:val="0"/>
              <w:ind w:right="46"/>
              <w:rPr>
                <w:rFonts w:ascii="仿宋" w:hAnsi="仿宋" w:eastAsia="仿宋"/>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73" w:type="pct"/>
            <w:gridSpan w:val="2"/>
            <w:vMerge w:val="restart"/>
            <w:vAlign w:val="center"/>
          </w:tcPr>
          <w:p>
            <w:pPr>
              <w:numPr>
                <w:ilvl w:val="1"/>
                <w:numId w:val="151"/>
              </w:numPr>
              <w:ind w:right="-64"/>
              <w:rPr>
                <w:rFonts w:ascii="仿宋" w:hAnsi="仿宋" w:eastAsia="仿宋"/>
                <w:highlight w:val="none"/>
              </w:rPr>
            </w:pPr>
            <w:r>
              <w:rPr>
                <w:rFonts w:hint="eastAsia" w:ascii="仿宋" w:hAnsi="仿宋" w:eastAsia="仿宋"/>
                <w:highlight w:val="none"/>
              </w:rPr>
              <w:t>系统操作日志</w:t>
            </w:r>
          </w:p>
        </w:tc>
        <w:tc>
          <w:tcPr>
            <w:tcW w:w="1953" w:type="pct"/>
            <w:gridSpan w:val="2"/>
            <w:vAlign w:val="center"/>
          </w:tcPr>
          <w:p>
            <w:pPr>
              <w:numPr>
                <w:ilvl w:val="2"/>
                <w:numId w:val="151"/>
              </w:numPr>
              <w:ind w:left="947" w:right="-117" w:hanging="947"/>
              <w:rPr>
                <w:rFonts w:ascii="仿宋" w:hAnsi="仿宋" w:eastAsia="仿宋"/>
                <w:highlight w:val="none"/>
              </w:rPr>
            </w:pPr>
            <w:r>
              <w:rPr>
                <w:rFonts w:hint="eastAsia" w:ascii="仿宋" w:hAnsi="仿宋" w:eastAsia="仿宋"/>
                <w:highlight w:val="none"/>
              </w:rPr>
              <w:t>用户ID；日期、时间和关键事件的细节，如登录或退出、增删改事件、点击访问数据；</w:t>
            </w:r>
          </w:p>
        </w:tc>
        <w:tc>
          <w:tcPr>
            <w:tcW w:w="680" w:type="pct"/>
            <w:vAlign w:val="center"/>
          </w:tcPr>
          <w:p>
            <w:pPr>
              <w:adjustRightInd w:val="0"/>
              <w:snapToGrid w:val="0"/>
              <w:ind w:right="-29"/>
              <w:rPr>
                <w:rFonts w:ascii="仿宋" w:hAnsi="仿宋" w:eastAsia="仿宋"/>
                <w:szCs w:val="21"/>
                <w:highlight w:val="none"/>
              </w:rPr>
            </w:pPr>
            <w:r>
              <w:rPr>
                <w:rFonts w:hint="eastAsia" w:ascii="仿宋" w:hAnsi="仿宋" w:eastAsia="仿宋"/>
                <w:szCs w:val="21"/>
                <w:highlight w:val="none"/>
              </w:rPr>
              <w:t>必选项</w:t>
            </w:r>
          </w:p>
        </w:tc>
        <w:tc>
          <w:tcPr>
            <w:tcW w:w="597" w:type="pct"/>
          </w:tcPr>
          <w:p>
            <w:pPr>
              <w:adjustRightInd w:val="0"/>
              <w:snapToGrid w:val="0"/>
              <w:rPr>
                <w:rFonts w:ascii="仿宋" w:hAnsi="仿宋" w:eastAsia="仿宋"/>
                <w:szCs w:val="21"/>
                <w:highlight w:val="none"/>
              </w:rPr>
            </w:pPr>
          </w:p>
        </w:tc>
        <w:tc>
          <w:tcPr>
            <w:tcW w:w="896" w:type="pct"/>
            <w:vAlign w:val="center"/>
          </w:tcPr>
          <w:p>
            <w:pPr>
              <w:adjustRightInd w:val="0"/>
              <w:snapToGrid w:val="0"/>
              <w:rPr>
                <w:rFonts w:ascii="仿宋" w:hAnsi="仿宋" w:eastAsia="仿宋"/>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73" w:type="pct"/>
            <w:gridSpan w:val="2"/>
            <w:vMerge w:val="continue"/>
            <w:vAlign w:val="center"/>
          </w:tcPr>
          <w:p>
            <w:pPr>
              <w:numPr>
                <w:ilvl w:val="0"/>
                <w:numId w:val="153"/>
              </w:numPr>
              <w:rPr>
                <w:rFonts w:ascii="仿宋" w:hAnsi="仿宋" w:eastAsia="仿宋"/>
                <w:kern w:val="0"/>
                <w:szCs w:val="21"/>
                <w:highlight w:val="none"/>
              </w:rPr>
            </w:pPr>
          </w:p>
        </w:tc>
        <w:tc>
          <w:tcPr>
            <w:tcW w:w="1953" w:type="pct"/>
            <w:gridSpan w:val="2"/>
            <w:vAlign w:val="center"/>
          </w:tcPr>
          <w:p>
            <w:pPr>
              <w:numPr>
                <w:ilvl w:val="2"/>
                <w:numId w:val="151"/>
              </w:numPr>
              <w:ind w:left="947" w:right="-117" w:hanging="947"/>
              <w:rPr>
                <w:rFonts w:ascii="仿宋" w:hAnsi="仿宋" w:eastAsia="仿宋"/>
                <w:highlight w:val="none"/>
              </w:rPr>
            </w:pPr>
            <w:r>
              <w:rPr>
                <w:rFonts w:hint="eastAsia" w:ascii="仿宋" w:hAnsi="仿宋" w:eastAsia="仿宋"/>
                <w:highlight w:val="none"/>
              </w:rPr>
              <w:t>系统提供用户的登录时长查询功能</w:t>
            </w:r>
          </w:p>
        </w:tc>
        <w:tc>
          <w:tcPr>
            <w:tcW w:w="680" w:type="pct"/>
            <w:vAlign w:val="center"/>
          </w:tcPr>
          <w:p>
            <w:pPr>
              <w:adjustRightInd w:val="0"/>
              <w:snapToGrid w:val="0"/>
              <w:ind w:right="-29"/>
              <w:rPr>
                <w:rFonts w:ascii="仿宋" w:hAnsi="仿宋" w:eastAsia="仿宋"/>
                <w:szCs w:val="21"/>
                <w:highlight w:val="none"/>
              </w:rPr>
            </w:pPr>
            <w:r>
              <w:rPr>
                <w:rFonts w:hint="eastAsia" w:ascii="仿宋" w:hAnsi="仿宋" w:eastAsia="仿宋"/>
                <w:szCs w:val="21"/>
                <w:highlight w:val="none"/>
              </w:rPr>
              <w:t>必选项</w:t>
            </w:r>
          </w:p>
        </w:tc>
        <w:tc>
          <w:tcPr>
            <w:tcW w:w="597" w:type="pct"/>
          </w:tcPr>
          <w:p>
            <w:pPr>
              <w:adjustRightInd w:val="0"/>
              <w:snapToGrid w:val="0"/>
              <w:rPr>
                <w:rFonts w:ascii="仿宋" w:hAnsi="仿宋" w:eastAsia="仿宋"/>
                <w:szCs w:val="21"/>
                <w:highlight w:val="none"/>
              </w:rPr>
            </w:pPr>
          </w:p>
        </w:tc>
        <w:tc>
          <w:tcPr>
            <w:tcW w:w="896" w:type="pct"/>
            <w:vAlign w:val="center"/>
          </w:tcPr>
          <w:p>
            <w:pPr>
              <w:adjustRightInd w:val="0"/>
              <w:snapToGrid w:val="0"/>
              <w:ind w:right="52"/>
              <w:rPr>
                <w:rFonts w:ascii="仿宋" w:hAnsi="仿宋" w:eastAsia="仿宋"/>
                <w:szCs w:val="21"/>
                <w:highlight w:val="none"/>
              </w:rPr>
            </w:pPr>
            <w:r>
              <w:rPr>
                <w:rFonts w:hint="eastAsia" w:ascii="仿宋" w:hAnsi="仿宋" w:eastAsia="仿宋"/>
                <w:szCs w:val="21"/>
                <w:highlight w:val="none"/>
              </w:rPr>
              <w:t>对应要求1.4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73" w:type="pct"/>
            <w:gridSpan w:val="2"/>
            <w:vMerge w:val="continue"/>
            <w:vAlign w:val="center"/>
          </w:tcPr>
          <w:p>
            <w:pPr>
              <w:numPr>
                <w:ilvl w:val="0"/>
                <w:numId w:val="153"/>
              </w:numPr>
              <w:rPr>
                <w:rFonts w:ascii="仿宋" w:hAnsi="仿宋" w:eastAsia="仿宋"/>
                <w:kern w:val="0"/>
                <w:szCs w:val="21"/>
                <w:highlight w:val="none"/>
              </w:rPr>
            </w:pPr>
          </w:p>
        </w:tc>
        <w:tc>
          <w:tcPr>
            <w:tcW w:w="1953" w:type="pct"/>
            <w:gridSpan w:val="2"/>
            <w:vAlign w:val="center"/>
          </w:tcPr>
          <w:p>
            <w:pPr>
              <w:numPr>
                <w:ilvl w:val="2"/>
                <w:numId w:val="151"/>
              </w:numPr>
              <w:ind w:left="947" w:right="-117" w:hanging="947"/>
              <w:rPr>
                <w:rFonts w:ascii="仿宋" w:hAnsi="仿宋" w:eastAsia="仿宋"/>
                <w:highlight w:val="none"/>
              </w:rPr>
            </w:pPr>
            <w:r>
              <w:rPr>
                <w:rFonts w:hint="eastAsia" w:ascii="仿宋" w:hAnsi="仿宋" w:eastAsia="仿宋"/>
                <w:highlight w:val="none"/>
              </w:rPr>
              <w:t>记录单位时长内用户密码连续输错，导致账户被锁定的行为</w:t>
            </w:r>
          </w:p>
        </w:tc>
        <w:tc>
          <w:tcPr>
            <w:tcW w:w="680" w:type="pct"/>
            <w:vAlign w:val="center"/>
          </w:tcPr>
          <w:p>
            <w:pPr>
              <w:adjustRightInd w:val="0"/>
              <w:snapToGrid w:val="0"/>
              <w:ind w:right="-29"/>
              <w:rPr>
                <w:rFonts w:ascii="仿宋" w:hAnsi="仿宋" w:eastAsia="仿宋"/>
                <w:szCs w:val="21"/>
                <w:highlight w:val="none"/>
              </w:rPr>
            </w:pPr>
            <w:r>
              <w:rPr>
                <w:rFonts w:hint="eastAsia" w:ascii="仿宋" w:hAnsi="仿宋" w:eastAsia="仿宋"/>
                <w:szCs w:val="21"/>
                <w:highlight w:val="none"/>
              </w:rPr>
              <w:t>必选项</w:t>
            </w:r>
          </w:p>
        </w:tc>
        <w:tc>
          <w:tcPr>
            <w:tcW w:w="597" w:type="pct"/>
          </w:tcPr>
          <w:p>
            <w:pPr>
              <w:adjustRightInd w:val="0"/>
              <w:snapToGrid w:val="0"/>
              <w:rPr>
                <w:rFonts w:ascii="仿宋" w:hAnsi="仿宋" w:eastAsia="仿宋"/>
                <w:szCs w:val="21"/>
                <w:highlight w:val="none"/>
              </w:rPr>
            </w:pPr>
          </w:p>
        </w:tc>
        <w:tc>
          <w:tcPr>
            <w:tcW w:w="896" w:type="pct"/>
            <w:vAlign w:val="center"/>
          </w:tcPr>
          <w:p>
            <w:pPr>
              <w:adjustRightInd w:val="0"/>
              <w:snapToGrid w:val="0"/>
              <w:ind w:right="52"/>
              <w:rPr>
                <w:rFonts w:ascii="仿宋" w:hAnsi="仿宋" w:eastAsia="仿宋"/>
                <w:szCs w:val="21"/>
                <w:highlight w:val="none"/>
              </w:rPr>
            </w:pPr>
            <w:r>
              <w:rPr>
                <w:rFonts w:hint="eastAsia" w:ascii="仿宋" w:hAnsi="仿宋" w:eastAsia="仿宋"/>
                <w:szCs w:val="21"/>
                <w:highlight w:val="none"/>
              </w:rPr>
              <w:t>对应要求1.13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73" w:type="pct"/>
            <w:gridSpan w:val="2"/>
            <w:vMerge w:val="continue"/>
            <w:vAlign w:val="center"/>
          </w:tcPr>
          <w:p>
            <w:pPr>
              <w:numPr>
                <w:ilvl w:val="1"/>
                <w:numId w:val="0"/>
              </w:numPr>
              <w:tabs>
                <w:tab w:val="left" w:pos="567"/>
              </w:tabs>
              <w:adjustRightInd w:val="0"/>
              <w:snapToGrid w:val="0"/>
              <w:outlineLvl w:val="1"/>
              <w:rPr>
                <w:rFonts w:ascii="仿宋" w:hAnsi="仿宋" w:eastAsia="仿宋"/>
                <w:b/>
                <w:bCs/>
                <w:szCs w:val="21"/>
                <w:highlight w:val="none"/>
              </w:rPr>
            </w:pPr>
          </w:p>
        </w:tc>
        <w:tc>
          <w:tcPr>
            <w:tcW w:w="1953" w:type="pct"/>
            <w:gridSpan w:val="2"/>
            <w:vAlign w:val="center"/>
          </w:tcPr>
          <w:p>
            <w:pPr>
              <w:numPr>
                <w:ilvl w:val="2"/>
                <w:numId w:val="151"/>
              </w:numPr>
              <w:ind w:left="947" w:right="-117" w:hanging="947"/>
              <w:rPr>
                <w:rFonts w:ascii="仿宋" w:hAnsi="仿宋" w:eastAsia="仿宋"/>
                <w:highlight w:val="none"/>
              </w:rPr>
            </w:pPr>
            <w:r>
              <w:rPr>
                <w:rFonts w:hint="eastAsia" w:ascii="仿宋" w:hAnsi="仿宋" w:eastAsia="仿宋"/>
                <w:highlight w:val="none"/>
              </w:rPr>
              <w:t>成功的和被拒绝的对系统尝试访问的记录；</w:t>
            </w:r>
          </w:p>
        </w:tc>
        <w:tc>
          <w:tcPr>
            <w:tcW w:w="680" w:type="pct"/>
          </w:tcPr>
          <w:p>
            <w:pPr>
              <w:adjustRightInd w:val="0"/>
              <w:snapToGrid w:val="0"/>
              <w:ind w:right="-29"/>
              <w:rPr>
                <w:rFonts w:ascii="仿宋" w:hAnsi="仿宋" w:eastAsia="仿宋"/>
                <w:szCs w:val="21"/>
                <w:highlight w:val="none"/>
              </w:rPr>
            </w:pPr>
            <w:r>
              <w:rPr>
                <w:rFonts w:hint="eastAsia" w:ascii="仿宋" w:hAnsi="仿宋" w:eastAsia="仿宋"/>
                <w:szCs w:val="21"/>
                <w:highlight w:val="none"/>
              </w:rPr>
              <w:t>必选项</w:t>
            </w:r>
          </w:p>
        </w:tc>
        <w:tc>
          <w:tcPr>
            <w:tcW w:w="597" w:type="pct"/>
          </w:tcPr>
          <w:p>
            <w:pPr>
              <w:adjustRightInd w:val="0"/>
              <w:snapToGrid w:val="0"/>
              <w:rPr>
                <w:rFonts w:ascii="仿宋" w:hAnsi="仿宋" w:eastAsia="仿宋"/>
                <w:szCs w:val="21"/>
                <w:highlight w:val="none"/>
              </w:rPr>
            </w:pPr>
          </w:p>
        </w:tc>
        <w:tc>
          <w:tcPr>
            <w:tcW w:w="896" w:type="pct"/>
            <w:vAlign w:val="center"/>
          </w:tcPr>
          <w:p>
            <w:pPr>
              <w:adjustRightInd w:val="0"/>
              <w:snapToGrid w:val="0"/>
              <w:rPr>
                <w:rFonts w:ascii="仿宋" w:hAnsi="仿宋" w:eastAsia="仿宋"/>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73" w:type="pct"/>
            <w:gridSpan w:val="2"/>
            <w:vMerge w:val="continue"/>
            <w:vAlign w:val="center"/>
          </w:tcPr>
          <w:p>
            <w:pPr>
              <w:numPr>
                <w:ilvl w:val="1"/>
                <w:numId w:val="0"/>
              </w:numPr>
              <w:tabs>
                <w:tab w:val="left" w:pos="567"/>
              </w:tabs>
              <w:adjustRightInd w:val="0"/>
              <w:snapToGrid w:val="0"/>
              <w:outlineLvl w:val="1"/>
              <w:rPr>
                <w:rFonts w:ascii="仿宋" w:hAnsi="仿宋" w:eastAsia="仿宋"/>
                <w:b/>
                <w:bCs/>
                <w:szCs w:val="21"/>
                <w:highlight w:val="none"/>
              </w:rPr>
            </w:pPr>
          </w:p>
        </w:tc>
        <w:tc>
          <w:tcPr>
            <w:tcW w:w="1953" w:type="pct"/>
            <w:gridSpan w:val="2"/>
            <w:vAlign w:val="center"/>
          </w:tcPr>
          <w:p>
            <w:pPr>
              <w:numPr>
                <w:ilvl w:val="2"/>
                <w:numId w:val="151"/>
              </w:numPr>
              <w:ind w:left="947" w:right="-117" w:hanging="947"/>
              <w:rPr>
                <w:rFonts w:ascii="仿宋" w:hAnsi="仿宋" w:eastAsia="仿宋"/>
                <w:highlight w:val="none"/>
              </w:rPr>
            </w:pPr>
            <w:r>
              <w:rPr>
                <w:rFonts w:hint="eastAsia" w:ascii="仿宋" w:hAnsi="仿宋" w:eastAsia="仿宋"/>
                <w:highlight w:val="none"/>
              </w:rPr>
              <w:t>成功的和被拒绝的对敏感数据以及其他批量资源尝试访问的记录；</w:t>
            </w:r>
          </w:p>
        </w:tc>
        <w:tc>
          <w:tcPr>
            <w:tcW w:w="680" w:type="pct"/>
          </w:tcPr>
          <w:p>
            <w:pPr>
              <w:adjustRightInd w:val="0"/>
              <w:snapToGrid w:val="0"/>
              <w:ind w:right="-29"/>
              <w:rPr>
                <w:rFonts w:ascii="仿宋" w:hAnsi="仿宋" w:eastAsia="仿宋"/>
                <w:szCs w:val="21"/>
                <w:highlight w:val="none"/>
              </w:rPr>
            </w:pPr>
            <w:r>
              <w:rPr>
                <w:rFonts w:hint="eastAsia" w:ascii="仿宋" w:hAnsi="仿宋" w:eastAsia="仿宋"/>
                <w:szCs w:val="21"/>
                <w:highlight w:val="none"/>
              </w:rPr>
              <w:t>必选项</w:t>
            </w:r>
          </w:p>
        </w:tc>
        <w:tc>
          <w:tcPr>
            <w:tcW w:w="597" w:type="pct"/>
          </w:tcPr>
          <w:p>
            <w:pPr>
              <w:adjustRightInd w:val="0"/>
              <w:snapToGrid w:val="0"/>
              <w:rPr>
                <w:rFonts w:ascii="仿宋" w:hAnsi="仿宋" w:eastAsia="仿宋"/>
                <w:szCs w:val="21"/>
                <w:highlight w:val="none"/>
              </w:rPr>
            </w:pPr>
          </w:p>
        </w:tc>
        <w:tc>
          <w:tcPr>
            <w:tcW w:w="896" w:type="pct"/>
            <w:vAlign w:val="center"/>
          </w:tcPr>
          <w:p>
            <w:pPr>
              <w:adjustRightInd w:val="0"/>
              <w:snapToGrid w:val="0"/>
              <w:rPr>
                <w:rFonts w:ascii="仿宋" w:hAnsi="仿宋" w:eastAsia="仿宋"/>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73" w:type="pct"/>
            <w:gridSpan w:val="2"/>
            <w:vMerge w:val="continue"/>
            <w:vAlign w:val="center"/>
          </w:tcPr>
          <w:p>
            <w:pPr>
              <w:numPr>
                <w:ilvl w:val="1"/>
                <w:numId w:val="0"/>
              </w:numPr>
              <w:tabs>
                <w:tab w:val="left" w:pos="567"/>
              </w:tabs>
              <w:adjustRightInd w:val="0"/>
              <w:snapToGrid w:val="0"/>
              <w:outlineLvl w:val="1"/>
              <w:rPr>
                <w:rFonts w:ascii="仿宋" w:hAnsi="仿宋" w:eastAsia="仿宋"/>
                <w:b/>
                <w:bCs/>
                <w:szCs w:val="21"/>
                <w:highlight w:val="none"/>
              </w:rPr>
            </w:pPr>
          </w:p>
        </w:tc>
        <w:tc>
          <w:tcPr>
            <w:tcW w:w="1953" w:type="pct"/>
            <w:gridSpan w:val="2"/>
            <w:vAlign w:val="center"/>
          </w:tcPr>
          <w:p>
            <w:pPr>
              <w:numPr>
                <w:ilvl w:val="2"/>
                <w:numId w:val="151"/>
              </w:numPr>
              <w:ind w:left="947" w:right="-117" w:hanging="947"/>
              <w:rPr>
                <w:rFonts w:ascii="仿宋" w:hAnsi="仿宋" w:eastAsia="仿宋"/>
                <w:highlight w:val="none"/>
              </w:rPr>
            </w:pPr>
            <w:r>
              <w:rPr>
                <w:rFonts w:hint="eastAsia" w:ascii="仿宋" w:hAnsi="仿宋" w:eastAsia="仿宋"/>
                <w:highlight w:val="none"/>
              </w:rPr>
              <w:t>特权的使用。</w:t>
            </w:r>
          </w:p>
        </w:tc>
        <w:tc>
          <w:tcPr>
            <w:tcW w:w="680" w:type="pct"/>
          </w:tcPr>
          <w:p>
            <w:pPr>
              <w:adjustRightInd w:val="0"/>
              <w:snapToGrid w:val="0"/>
              <w:ind w:right="-29"/>
              <w:rPr>
                <w:rFonts w:ascii="仿宋" w:hAnsi="仿宋" w:eastAsia="仿宋"/>
                <w:szCs w:val="21"/>
                <w:highlight w:val="none"/>
              </w:rPr>
            </w:pPr>
            <w:r>
              <w:rPr>
                <w:rFonts w:hint="eastAsia" w:ascii="仿宋" w:hAnsi="仿宋" w:eastAsia="仿宋"/>
                <w:szCs w:val="21"/>
                <w:highlight w:val="none"/>
              </w:rPr>
              <w:t>必选项</w:t>
            </w:r>
          </w:p>
        </w:tc>
        <w:tc>
          <w:tcPr>
            <w:tcW w:w="597" w:type="pct"/>
          </w:tcPr>
          <w:p>
            <w:pPr>
              <w:adjustRightInd w:val="0"/>
              <w:snapToGrid w:val="0"/>
              <w:rPr>
                <w:rFonts w:ascii="仿宋" w:hAnsi="仿宋" w:eastAsia="仿宋"/>
                <w:szCs w:val="21"/>
                <w:highlight w:val="none"/>
              </w:rPr>
            </w:pPr>
          </w:p>
        </w:tc>
        <w:tc>
          <w:tcPr>
            <w:tcW w:w="896" w:type="pct"/>
            <w:vAlign w:val="center"/>
          </w:tcPr>
          <w:p>
            <w:pPr>
              <w:adjustRightInd w:val="0"/>
              <w:snapToGrid w:val="0"/>
              <w:rPr>
                <w:rFonts w:ascii="仿宋" w:hAnsi="仿宋" w:eastAsia="仿宋"/>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73" w:type="pct"/>
            <w:gridSpan w:val="2"/>
            <w:vMerge w:val="continue"/>
            <w:vAlign w:val="center"/>
          </w:tcPr>
          <w:p>
            <w:pPr>
              <w:numPr>
                <w:ilvl w:val="1"/>
                <w:numId w:val="0"/>
              </w:numPr>
              <w:tabs>
                <w:tab w:val="left" w:pos="567"/>
              </w:tabs>
              <w:adjustRightInd w:val="0"/>
              <w:snapToGrid w:val="0"/>
              <w:outlineLvl w:val="1"/>
              <w:rPr>
                <w:rFonts w:ascii="仿宋" w:hAnsi="仿宋" w:eastAsia="仿宋"/>
                <w:b/>
                <w:bCs/>
                <w:szCs w:val="21"/>
                <w:highlight w:val="none"/>
              </w:rPr>
            </w:pPr>
          </w:p>
        </w:tc>
        <w:tc>
          <w:tcPr>
            <w:tcW w:w="1953" w:type="pct"/>
            <w:gridSpan w:val="2"/>
            <w:vAlign w:val="center"/>
          </w:tcPr>
          <w:p>
            <w:pPr>
              <w:numPr>
                <w:ilvl w:val="2"/>
                <w:numId w:val="151"/>
              </w:numPr>
              <w:ind w:left="947" w:right="-117" w:hanging="947"/>
              <w:rPr>
                <w:rFonts w:ascii="仿宋" w:hAnsi="仿宋" w:eastAsia="仿宋"/>
                <w:highlight w:val="none"/>
              </w:rPr>
            </w:pPr>
            <w:r>
              <w:rPr>
                <w:rFonts w:hint="eastAsia" w:ascii="仿宋" w:hAnsi="仿宋" w:eastAsia="仿宋"/>
                <w:highlight w:val="none"/>
              </w:rPr>
              <w:t>系统配置参数的维护；</w:t>
            </w:r>
          </w:p>
        </w:tc>
        <w:tc>
          <w:tcPr>
            <w:tcW w:w="680" w:type="pct"/>
          </w:tcPr>
          <w:p>
            <w:pPr>
              <w:adjustRightInd w:val="0"/>
              <w:snapToGrid w:val="0"/>
              <w:ind w:right="-29"/>
              <w:rPr>
                <w:rFonts w:ascii="仿宋" w:hAnsi="仿宋" w:eastAsia="仿宋"/>
                <w:szCs w:val="21"/>
                <w:highlight w:val="none"/>
              </w:rPr>
            </w:pPr>
            <w:r>
              <w:rPr>
                <w:rFonts w:hint="eastAsia" w:ascii="仿宋" w:hAnsi="仿宋" w:eastAsia="仿宋"/>
                <w:szCs w:val="21"/>
                <w:highlight w:val="none"/>
              </w:rPr>
              <w:t>可选项</w:t>
            </w:r>
          </w:p>
        </w:tc>
        <w:tc>
          <w:tcPr>
            <w:tcW w:w="597" w:type="pct"/>
          </w:tcPr>
          <w:p>
            <w:pPr>
              <w:adjustRightInd w:val="0"/>
              <w:snapToGrid w:val="0"/>
              <w:rPr>
                <w:rFonts w:ascii="仿宋" w:hAnsi="仿宋" w:eastAsia="仿宋"/>
                <w:szCs w:val="21"/>
                <w:highlight w:val="none"/>
              </w:rPr>
            </w:pPr>
          </w:p>
        </w:tc>
        <w:tc>
          <w:tcPr>
            <w:tcW w:w="896" w:type="pct"/>
            <w:vAlign w:val="center"/>
          </w:tcPr>
          <w:p>
            <w:pPr>
              <w:adjustRightInd w:val="0"/>
              <w:snapToGrid w:val="0"/>
              <w:rPr>
                <w:rFonts w:ascii="仿宋" w:hAnsi="仿宋" w:eastAsia="仿宋"/>
                <w:szCs w:val="21"/>
                <w:highlight w:val="none"/>
              </w:rPr>
            </w:pPr>
          </w:p>
        </w:tc>
      </w:tr>
    </w:tbl>
    <w:p>
      <w:pPr>
        <w:pStyle w:val="47"/>
        <w:rPr>
          <w:highlight w:val="none"/>
        </w:rPr>
      </w:pPr>
      <w:r>
        <w:rPr>
          <w:rFonts w:hint="eastAsia"/>
          <w:highlight w:val="none"/>
        </w:rPr>
        <w:t>注明：对医院重要系统，安全管理责任部门和开发方参照推荐项，具体讨论后决定。</w:t>
      </w:r>
    </w:p>
    <w:tbl>
      <w:tblPr>
        <w:tblStyle w:val="1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E7E6E6" w:themeFill="background2"/>
        <w:tblLayout w:type="autofit"/>
        <w:tblCellMar>
          <w:top w:w="0" w:type="dxa"/>
          <w:left w:w="108" w:type="dxa"/>
          <w:bottom w:w="0" w:type="dxa"/>
          <w:right w:w="108" w:type="dxa"/>
        </w:tblCellMar>
      </w:tblPr>
      <w:tblGrid>
        <w:gridCol w:w="85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E7E6E6" w:themeFill="background2"/>
          <w:tblCellMar>
            <w:top w:w="0" w:type="dxa"/>
            <w:left w:w="108" w:type="dxa"/>
            <w:bottom w:w="0" w:type="dxa"/>
            <w:right w:w="108" w:type="dxa"/>
          </w:tblCellMar>
        </w:tblPrEx>
        <w:tc>
          <w:tcPr>
            <w:tcW w:w="9327" w:type="dxa"/>
            <w:tcBorders>
              <w:top w:val="nil"/>
              <w:left w:val="nil"/>
              <w:bottom w:val="nil"/>
              <w:right w:val="nil"/>
            </w:tcBorders>
            <w:shd w:val="clear" w:color="auto" w:fill="E7E6E6" w:themeFill="background2"/>
          </w:tcPr>
          <w:p>
            <w:pPr>
              <w:widowControl w:val="0"/>
              <w:jc w:val="both"/>
              <w:rPr>
                <w:rFonts w:ascii="仿宋" w:hAnsi="仿宋" w:eastAsia="仿宋" w:cs="仿宋"/>
                <w:b/>
                <w:bCs/>
                <w:sz w:val="32"/>
                <w:szCs w:val="32"/>
                <w:highlight w:val="none"/>
              </w:rPr>
            </w:pPr>
            <w:bookmarkStart w:id="384" w:name="_Toc14902"/>
            <w:bookmarkStart w:id="385" w:name="_Toc10087"/>
            <w:r>
              <w:rPr>
                <w:rFonts w:hint="eastAsia" w:ascii="仿宋" w:hAnsi="仿宋" w:eastAsia="仿宋" w:cs="仿宋"/>
                <w:b/>
                <w:bCs/>
                <w:sz w:val="32"/>
                <w:szCs w:val="32"/>
                <w:highlight w:val="none"/>
              </w:rPr>
              <w:t>五、测试阶段须提交的文档</w:t>
            </w:r>
          </w:p>
        </w:tc>
      </w:tr>
      <w:bookmarkEnd w:id="384"/>
      <w:bookmarkEnd w:id="385"/>
    </w:tbl>
    <w:p>
      <w:pPr>
        <w:pStyle w:val="46"/>
        <w:numPr>
          <w:ilvl w:val="0"/>
          <w:numId w:val="154"/>
        </w:numPr>
        <w:spacing w:after="156" w:afterLines="50"/>
        <w:ind w:firstLineChars="0"/>
        <w:rPr>
          <w:rFonts w:ascii="仿宋" w:hAnsi="仿宋" w:eastAsia="仿宋"/>
          <w:highlight w:val="none"/>
        </w:rPr>
      </w:pPr>
      <w:r>
        <w:rPr>
          <w:rFonts w:hint="eastAsia" w:ascii="仿宋" w:hAnsi="仿宋" w:eastAsia="仿宋"/>
          <w:highlight w:val="none"/>
        </w:rPr>
        <w:t>应用系统编码安全评审表</w:t>
      </w:r>
    </w:p>
    <w:tbl>
      <w:tblPr>
        <w:tblStyle w:val="18"/>
        <w:tblW w:w="4953"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8"/>
        <w:gridCol w:w="1952"/>
        <w:gridCol w:w="2021"/>
        <w:gridCol w:w="299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1" w:hRule="atLeast"/>
        </w:trPr>
        <w:tc>
          <w:tcPr>
            <w:tcW w:w="875" w:type="pct"/>
            <w:vAlign w:val="center"/>
          </w:tcPr>
          <w:p>
            <w:pPr>
              <w:adjustRightInd w:val="0"/>
              <w:snapToGrid w:val="0"/>
              <w:ind w:right="114"/>
              <w:rPr>
                <w:rFonts w:ascii="仿宋" w:hAnsi="仿宋" w:eastAsia="仿宋"/>
                <w:szCs w:val="21"/>
                <w:highlight w:val="none"/>
              </w:rPr>
            </w:pPr>
            <w:r>
              <w:rPr>
                <w:rFonts w:hint="eastAsia" w:ascii="仿宋" w:hAnsi="仿宋" w:eastAsia="仿宋"/>
                <w:szCs w:val="21"/>
                <w:highlight w:val="none"/>
              </w:rPr>
              <w:t>项目名称</w:t>
            </w:r>
          </w:p>
        </w:tc>
        <w:tc>
          <w:tcPr>
            <w:tcW w:w="4125" w:type="pct"/>
            <w:gridSpan w:val="3"/>
            <w:vAlign w:val="center"/>
          </w:tcPr>
          <w:p>
            <w:pPr>
              <w:adjustRightInd w:val="0"/>
              <w:snapToGrid w:val="0"/>
              <w:rPr>
                <w:rFonts w:ascii="仿宋" w:hAnsi="仿宋" w:eastAsia="仿宋"/>
                <w:szCs w:val="21"/>
                <w:highlight w:val="none"/>
              </w:rPr>
            </w:pPr>
          </w:p>
          <w:p>
            <w:pPr>
              <w:adjustRightInd w:val="0"/>
              <w:snapToGrid w:val="0"/>
              <w:rPr>
                <w:rFonts w:ascii="仿宋" w:hAnsi="仿宋" w:eastAsia="仿宋"/>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91" w:hRule="atLeast"/>
        </w:trPr>
        <w:tc>
          <w:tcPr>
            <w:tcW w:w="5000" w:type="pct"/>
            <w:gridSpan w:val="4"/>
            <w:shd w:val="clear" w:color="auto" w:fill="B3B3B3"/>
            <w:vAlign w:val="center"/>
          </w:tcPr>
          <w:p>
            <w:pPr>
              <w:adjustRightInd w:val="0"/>
              <w:snapToGrid w:val="0"/>
              <w:rPr>
                <w:rFonts w:ascii="仿宋" w:hAnsi="仿宋" w:eastAsia="仿宋"/>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trPr>
        <w:tc>
          <w:tcPr>
            <w:tcW w:w="2031" w:type="pct"/>
            <w:gridSpan w:val="2"/>
            <w:vAlign w:val="center"/>
          </w:tcPr>
          <w:p>
            <w:pPr>
              <w:adjustRightInd w:val="0"/>
              <w:snapToGrid w:val="0"/>
              <w:jc w:val="center"/>
              <w:rPr>
                <w:rFonts w:ascii="仿宋" w:hAnsi="仿宋" w:eastAsia="仿宋"/>
                <w:szCs w:val="21"/>
                <w:highlight w:val="none"/>
              </w:rPr>
            </w:pPr>
            <w:r>
              <w:rPr>
                <w:rFonts w:hint="eastAsia" w:ascii="仿宋" w:hAnsi="仿宋" w:eastAsia="仿宋"/>
                <w:szCs w:val="21"/>
                <w:highlight w:val="none"/>
              </w:rPr>
              <w:t>评估内容</w:t>
            </w:r>
          </w:p>
        </w:tc>
        <w:tc>
          <w:tcPr>
            <w:tcW w:w="1197" w:type="pct"/>
            <w:vAlign w:val="center"/>
          </w:tcPr>
          <w:p>
            <w:pPr>
              <w:adjustRightInd w:val="0"/>
              <w:snapToGrid w:val="0"/>
              <w:ind w:right="317"/>
              <w:jc w:val="center"/>
              <w:rPr>
                <w:rFonts w:ascii="仿宋" w:hAnsi="仿宋" w:eastAsia="仿宋"/>
                <w:szCs w:val="21"/>
                <w:highlight w:val="none"/>
              </w:rPr>
            </w:pPr>
            <w:r>
              <w:rPr>
                <w:rFonts w:hint="eastAsia" w:ascii="仿宋" w:hAnsi="仿宋" w:eastAsia="仿宋"/>
                <w:szCs w:val="21"/>
                <w:highlight w:val="none"/>
              </w:rPr>
              <w:t>结果记录</w:t>
            </w:r>
          </w:p>
        </w:tc>
        <w:tc>
          <w:tcPr>
            <w:tcW w:w="1771" w:type="pct"/>
            <w:vAlign w:val="center"/>
          </w:tcPr>
          <w:p>
            <w:pPr>
              <w:adjustRightInd w:val="0"/>
              <w:snapToGrid w:val="0"/>
              <w:jc w:val="center"/>
              <w:rPr>
                <w:rFonts w:ascii="仿宋" w:hAnsi="仿宋" w:eastAsia="仿宋"/>
                <w:b/>
                <w:szCs w:val="21"/>
                <w:highlight w:val="none"/>
              </w:rPr>
            </w:pPr>
            <w:r>
              <w:rPr>
                <w:rFonts w:hint="eastAsia" w:ascii="仿宋" w:hAnsi="仿宋" w:eastAsia="仿宋"/>
                <w:b/>
                <w:szCs w:val="21"/>
                <w:highlight w:val="none"/>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3" w:hRule="atLeast"/>
        </w:trPr>
        <w:tc>
          <w:tcPr>
            <w:tcW w:w="5000" w:type="pct"/>
            <w:gridSpan w:val="4"/>
            <w:vAlign w:val="center"/>
          </w:tcPr>
          <w:p>
            <w:pPr>
              <w:adjustRightInd w:val="0"/>
              <w:snapToGrid w:val="0"/>
              <w:rPr>
                <w:rFonts w:ascii="仿宋" w:hAnsi="仿宋" w:eastAsia="仿宋"/>
                <w:highlight w:val="none"/>
              </w:rPr>
            </w:pPr>
            <w:bookmarkStart w:id="386" w:name="_Toc23259"/>
            <w:r>
              <w:rPr>
                <w:rFonts w:hint="eastAsia" w:ascii="仿宋" w:hAnsi="仿宋" w:eastAsia="仿宋"/>
                <w:highlight w:val="none"/>
              </w:rPr>
              <w:t>注入漏洞</w:t>
            </w:r>
            <w:bookmarkEnd w:id="386"/>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31" w:type="pct"/>
            <w:gridSpan w:val="2"/>
            <w:vAlign w:val="center"/>
          </w:tcPr>
          <w:p>
            <w:pPr>
              <w:numPr>
                <w:ilvl w:val="0"/>
                <w:numId w:val="155"/>
              </w:numPr>
              <w:ind w:right="-61"/>
              <w:rPr>
                <w:rFonts w:ascii="仿宋" w:hAnsi="仿宋" w:eastAsia="仿宋"/>
                <w:highlight w:val="none"/>
              </w:rPr>
            </w:pPr>
            <w:r>
              <w:rPr>
                <w:rFonts w:hint="eastAsia" w:ascii="仿宋" w:hAnsi="仿宋" w:eastAsia="仿宋"/>
                <w:highlight w:val="none"/>
              </w:rPr>
              <w:t>SQL注入漏洞；</w:t>
            </w:r>
          </w:p>
        </w:tc>
        <w:tc>
          <w:tcPr>
            <w:tcW w:w="1197" w:type="pct"/>
            <w:vAlign w:val="center"/>
          </w:tcPr>
          <w:p>
            <w:pPr>
              <w:adjustRightInd w:val="0"/>
              <w:snapToGrid w:val="0"/>
              <w:rPr>
                <w:rFonts w:ascii="仿宋" w:hAnsi="仿宋" w:eastAsia="仿宋"/>
                <w:szCs w:val="21"/>
                <w:highlight w:val="none"/>
              </w:rPr>
            </w:pPr>
          </w:p>
        </w:tc>
        <w:tc>
          <w:tcPr>
            <w:tcW w:w="1771" w:type="pct"/>
            <w:vMerge w:val="restart"/>
            <w:vAlign w:val="center"/>
          </w:tcPr>
          <w:p>
            <w:pPr>
              <w:adjustRightInd w:val="0"/>
              <w:snapToGrid w:val="0"/>
              <w:ind w:right="-165"/>
              <w:rPr>
                <w:rFonts w:ascii="仿宋" w:hAnsi="仿宋" w:eastAsia="仿宋"/>
                <w:szCs w:val="21"/>
                <w:highlight w:val="none"/>
              </w:rPr>
            </w:pPr>
            <w:r>
              <w:rPr>
                <w:rFonts w:hint="eastAsia" w:ascii="仿宋" w:hAnsi="仿宋" w:eastAsia="仿宋"/>
                <w:szCs w:val="21"/>
                <w:highlight w:val="none"/>
              </w:rPr>
              <w:t>参考：</w:t>
            </w:r>
            <w:r>
              <w:rPr>
                <w:rFonts w:ascii="仿宋" w:hAnsi="仿宋" w:eastAsia="仿宋"/>
                <w:szCs w:val="21"/>
                <w:highlight w:val="none"/>
              </w:rPr>
              <w:t>https://owasp.org/Top10/A03_2021-Injection/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31" w:type="pct"/>
            <w:gridSpan w:val="2"/>
            <w:vAlign w:val="center"/>
          </w:tcPr>
          <w:p>
            <w:pPr>
              <w:numPr>
                <w:ilvl w:val="0"/>
                <w:numId w:val="155"/>
              </w:numPr>
              <w:ind w:right="-61"/>
              <w:rPr>
                <w:rFonts w:ascii="仿宋" w:hAnsi="仿宋" w:eastAsia="仿宋"/>
                <w:highlight w:val="none"/>
              </w:rPr>
            </w:pPr>
            <w:r>
              <w:rPr>
                <w:rFonts w:hint="eastAsia" w:ascii="仿宋" w:hAnsi="仿宋" w:eastAsia="仿宋"/>
                <w:highlight w:val="none"/>
              </w:rPr>
              <w:t>LDAP（轻量目录访问协议）注入</w:t>
            </w:r>
          </w:p>
        </w:tc>
        <w:tc>
          <w:tcPr>
            <w:tcW w:w="1197" w:type="pct"/>
            <w:vAlign w:val="center"/>
          </w:tcPr>
          <w:p>
            <w:pPr>
              <w:adjustRightInd w:val="0"/>
              <w:snapToGrid w:val="0"/>
              <w:rPr>
                <w:rFonts w:ascii="仿宋" w:hAnsi="仿宋" w:eastAsia="仿宋"/>
                <w:szCs w:val="21"/>
                <w:highlight w:val="none"/>
              </w:rPr>
            </w:pPr>
          </w:p>
        </w:tc>
        <w:tc>
          <w:tcPr>
            <w:tcW w:w="1771" w:type="pct"/>
            <w:vMerge w:val="continue"/>
            <w:vAlign w:val="center"/>
          </w:tcPr>
          <w:p>
            <w:pPr>
              <w:adjustRightInd w:val="0"/>
              <w:snapToGrid w:val="0"/>
              <w:rPr>
                <w:rFonts w:ascii="仿宋" w:hAnsi="仿宋" w:eastAsia="仿宋"/>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031" w:type="pct"/>
            <w:gridSpan w:val="2"/>
            <w:vAlign w:val="center"/>
          </w:tcPr>
          <w:p>
            <w:pPr>
              <w:numPr>
                <w:ilvl w:val="0"/>
                <w:numId w:val="155"/>
              </w:numPr>
              <w:ind w:right="-61"/>
              <w:rPr>
                <w:rFonts w:ascii="仿宋" w:hAnsi="仿宋" w:eastAsia="仿宋"/>
                <w:highlight w:val="none"/>
              </w:rPr>
            </w:pPr>
            <w:r>
              <w:rPr>
                <w:rFonts w:hint="eastAsia" w:ascii="仿宋" w:hAnsi="仿宋" w:eastAsia="仿宋"/>
                <w:highlight w:val="none"/>
              </w:rPr>
              <w:t>xpath（XPath即为XML路径语言，它是一种用来确定XML（标准通用标记语言的子集）文档中某部分位置的语言）</w:t>
            </w:r>
          </w:p>
        </w:tc>
        <w:tc>
          <w:tcPr>
            <w:tcW w:w="1197" w:type="pct"/>
            <w:vAlign w:val="center"/>
          </w:tcPr>
          <w:p>
            <w:pPr>
              <w:adjustRightInd w:val="0"/>
              <w:snapToGrid w:val="0"/>
              <w:rPr>
                <w:rFonts w:ascii="仿宋" w:hAnsi="仿宋" w:eastAsia="仿宋"/>
                <w:szCs w:val="21"/>
                <w:highlight w:val="none"/>
              </w:rPr>
            </w:pPr>
          </w:p>
        </w:tc>
        <w:tc>
          <w:tcPr>
            <w:tcW w:w="1771" w:type="pct"/>
            <w:vMerge w:val="continue"/>
            <w:vAlign w:val="center"/>
          </w:tcPr>
          <w:p>
            <w:pPr>
              <w:adjustRightInd w:val="0"/>
              <w:snapToGrid w:val="0"/>
              <w:rPr>
                <w:rFonts w:ascii="仿宋" w:hAnsi="仿宋" w:eastAsia="仿宋"/>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0" w:type="pct"/>
            <w:gridSpan w:val="4"/>
            <w:vAlign w:val="center"/>
          </w:tcPr>
          <w:p>
            <w:pPr>
              <w:adjustRightInd w:val="0"/>
              <w:snapToGrid w:val="0"/>
              <w:rPr>
                <w:rFonts w:ascii="仿宋" w:hAnsi="仿宋" w:eastAsia="仿宋"/>
                <w:szCs w:val="21"/>
                <w:highlight w:val="none"/>
              </w:rPr>
            </w:pPr>
            <w:r>
              <w:rPr>
                <w:rFonts w:hint="eastAsia" w:ascii="仿宋" w:hAnsi="仿宋" w:eastAsia="仿宋"/>
                <w:highlight w:val="none"/>
              </w:rPr>
              <w:t>配置漏洞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31" w:type="pct"/>
            <w:gridSpan w:val="2"/>
            <w:vAlign w:val="center"/>
          </w:tcPr>
          <w:p>
            <w:pPr>
              <w:numPr>
                <w:ilvl w:val="0"/>
                <w:numId w:val="155"/>
              </w:numPr>
              <w:rPr>
                <w:rFonts w:ascii="仿宋" w:hAnsi="仿宋" w:eastAsia="仿宋"/>
                <w:highlight w:val="none"/>
              </w:rPr>
            </w:pPr>
            <w:r>
              <w:rPr>
                <w:rFonts w:hint="eastAsia" w:ascii="仿宋" w:hAnsi="仿宋" w:eastAsia="仿宋"/>
                <w:highlight w:val="none"/>
              </w:rPr>
              <w:t>弱口令；</w:t>
            </w:r>
          </w:p>
        </w:tc>
        <w:tc>
          <w:tcPr>
            <w:tcW w:w="1197" w:type="pct"/>
            <w:vAlign w:val="center"/>
          </w:tcPr>
          <w:p>
            <w:pPr>
              <w:adjustRightInd w:val="0"/>
              <w:snapToGrid w:val="0"/>
              <w:rPr>
                <w:rFonts w:ascii="仿宋" w:hAnsi="仿宋" w:eastAsia="仿宋"/>
                <w:szCs w:val="21"/>
                <w:highlight w:val="none"/>
              </w:rPr>
            </w:pPr>
          </w:p>
        </w:tc>
        <w:tc>
          <w:tcPr>
            <w:tcW w:w="1771" w:type="pct"/>
            <w:vMerge w:val="restart"/>
            <w:vAlign w:val="center"/>
          </w:tcPr>
          <w:p>
            <w:pPr>
              <w:adjustRightInd w:val="0"/>
              <w:snapToGrid w:val="0"/>
              <w:rPr>
                <w:rFonts w:ascii="仿宋" w:hAnsi="仿宋" w:eastAsia="仿宋"/>
                <w:szCs w:val="21"/>
                <w:highlight w:val="none"/>
              </w:rPr>
            </w:pPr>
            <w:r>
              <w:rPr>
                <w:rFonts w:hint="eastAsia" w:ascii="仿宋" w:hAnsi="仿宋" w:eastAsia="仿宋"/>
                <w:szCs w:val="21"/>
                <w:highlight w:val="none"/>
              </w:rPr>
              <w:t>参考：</w:t>
            </w:r>
          </w:p>
          <w:p>
            <w:pPr>
              <w:adjustRightInd w:val="0"/>
              <w:snapToGrid w:val="0"/>
              <w:ind w:right="-165"/>
              <w:rPr>
                <w:rFonts w:ascii="仿宋" w:hAnsi="仿宋" w:eastAsia="仿宋"/>
                <w:szCs w:val="21"/>
                <w:highlight w:val="none"/>
              </w:rPr>
            </w:pPr>
            <w:r>
              <w:rPr>
                <w:rFonts w:ascii="仿宋" w:hAnsi="仿宋" w:eastAsia="仿宋"/>
                <w:szCs w:val="21"/>
                <w:highlight w:val="none"/>
              </w:rPr>
              <w:t>https://owasp.org/Top10/A05_2021-</w:t>
            </w:r>
            <w:r>
              <w:rPr>
                <w:rFonts w:hint="eastAsia" w:ascii="仿宋" w:hAnsi="仿宋" w:eastAsia="仿宋"/>
                <w:szCs w:val="21"/>
                <w:highlight w:val="none"/>
              </w:rPr>
              <w:t>Security</w:t>
            </w:r>
            <w:r>
              <w:rPr>
                <w:rFonts w:ascii="仿宋" w:hAnsi="仿宋" w:eastAsia="仿宋"/>
                <w:szCs w:val="21"/>
                <w:highlight w:val="none"/>
              </w:rPr>
              <w:t>_Misconfiguration/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31" w:type="pct"/>
            <w:gridSpan w:val="2"/>
            <w:vAlign w:val="center"/>
          </w:tcPr>
          <w:p>
            <w:pPr>
              <w:numPr>
                <w:ilvl w:val="0"/>
                <w:numId w:val="155"/>
              </w:numPr>
              <w:ind w:right="-61"/>
              <w:rPr>
                <w:rFonts w:ascii="仿宋" w:hAnsi="仿宋" w:eastAsia="仿宋"/>
                <w:highlight w:val="none"/>
              </w:rPr>
            </w:pPr>
            <w:r>
              <w:rPr>
                <w:rFonts w:hint="eastAsia" w:ascii="仿宋" w:hAnsi="仿宋" w:eastAsia="仿宋"/>
                <w:highlight w:val="none"/>
              </w:rPr>
              <w:t>敏感信息泄露漏洞；</w:t>
            </w:r>
          </w:p>
        </w:tc>
        <w:tc>
          <w:tcPr>
            <w:tcW w:w="1197" w:type="pct"/>
            <w:vAlign w:val="center"/>
          </w:tcPr>
          <w:p>
            <w:pPr>
              <w:adjustRightInd w:val="0"/>
              <w:snapToGrid w:val="0"/>
              <w:rPr>
                <w:rFonts w:ascii="仿宋" w:hAnsi="仿宋" w:eastAsia="仿宋"/>
                <w:szCs w:val="21"/>
                <w:highlight w:val="none"/>
              </w:rPr>
            </w:pPr>
          </w:p>
        </w:tc>
        <w:tc>
          <w:tcPr>
            <w:tcW w:w="1771" w:type="pct"/>
            <w:vMerge w:val="continue"/>
            <w:vAlign w:val="center"/>
          </w:tcPr>
          <w:p>
            <w:pPr>
              <w:adjustRightInd w:val="0"/>
              <w:snapToGrid w:val="0"/>
              <w:rPr>
                <w:rFonts w:ascii="仿宋" w:hAnsi="仿宋" w:eastAsia="仿宋"/>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31" w:type="pct"/>
            <w:gridSpan w:val="2"/>
            <w:vAlign w:val="center"/>
          </w:tcPr>
          <w:p>
            <w:pPr>
              <w:numPr>
                <w:ilvl w:val="0"/>
                <w:numId w:val="155"/>
              </w:numPr>
              <w:rPr>
                <w:rFonts w:ascii="仿宋" w:hAnsi="仿宋" w:eastAsia="仿宋"/>
                <w:highlight w:val="none"/>
              </w:rPr>
            </w:pPr>
            <w:r>
              <w:rPr>
                <w:rFonts w:ascii="仿宋" w:hAnsi="仿宋" w:eastAsia="仿宋"/>
                <w:highlight w:val="none"/>
              </w:rPr>
              <w:t>目录浏览</w:t>
            </w:r>
          </w:p>
        </w:tc>
        <w:tc>
          <w:tcPr>
            <w:tcW w:w="1197" w:type="pct"/>
            <w:vAlign w:val="center"/>
          </w:tcPr>
          <w:p>
            <w:pPr>
              <w:adjustRightInd w:val="0"/>
              <w:snapToGrid w:val="0"/>
              <w:rPr>
                <w:rFonts w:ascii="仿宋" w:hAnsi="仿宋" w:eastAsia="仿宋"/>
                <w:szCs w:val="21"/>
                <w:highlight w:val="none"/>
              </w:rPr>
            </w:pPr>
          </w:p>
        </w:tc>
        <w:tc>
          <w:tcPr>
            <w:tcW w:w="1771" w:type="pct"/>
            <w:vMerge w:val="continue"/>
            <w:vAlign w:val="center"/>
          </w:tcPr>
          <w:p>
            <w:pPr>
              <w:adjustRightInd w:val="0"/>
              <w:snapToGrid w:val="0"/>
              <w:rPr>
                <w:rFonts w:ascii="仿宋" w:hAnsi="仿宋" w:eastAsia="仿宋"/>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31" w:type="pct"/>
            <w:gridSpan w:val="2"/>
            <w:vAlign w:val="center"/>
          </w:tcPr>
          <w:p>
            <w:pPr>
              <w:numPr>
                <w:ilvl w:val="0"/>
                <w:numId w:val="155"/>
              </w:numPr>
              <w:ind w:right="-61"/>
              <w:rPr>
                <w:rFonts w:ascii="仿宋" w:hAnsi="仿宋" w:eastAsia="仿宋"/>
                <w:highlight w:val="none"/>
              </w:rPr>
            </w:pPr>
            <w:r>
              <w:rPr>
                <w:rFonts w:hint="eastAsia" w:ascii="仿宋" w:hAnsi="仿宋" w:eastAsia="仿宋"/>
                <w:highlight w:val="none"/>
              </w:rPr>
              <w:t>文件上传目录禁止运行权限。</w:t>
            </w:r>
          </w:p>
        </w:tc>
        <w:tc>
          <w:tcPr>
            <w:tcW w:w="1197" w:type="pct"/>
            <w:vAlign w:val="center"/>
          </w:tcPr>
          <w:p>
            <w:pPr>
              <w:adjustRightInd w:val="0"/>
              <w:snapToGrid w:val="0"/>
              <w:rPr>
                <w:rFonts w:ascii="仿宋" w:hAnsi="仿宋" w:eastAsia="仿宋"/>
                <w:szCs w:val="21"/>
                <w:highlight w:val="none"/>
              </w:rPr>
            </w:pPr>
          </w:p>
        </w:tc>
        <w:tc>
          <w:tcPr>
            <w:tcW w:w="1771" w:type="pct"/>
            <w:vMerge w:val="continue"/>
            <w:vAlign w:val="center"/>
          </w:tcPr>
          <w:p>
            <w:pPr>
              <w:adjustRightInd w:val="0"/>
              <w:snapToGrid w:val="0"/>
              <w:rPr>
                <w:rFonts w:ascii="仿宋" w:hAnsi="仿宋" w:eastAsia="仿宋"/>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0" w:type="pct"/>
            <w:gridSpan w:val="4"/>
            <w:vAlign w:val="center"/>
          </w:tcPr>
          <w:p>
            <w:pPr>
              <w:adjustRightInd w:val="0"/>
              <w:snapToGrid w:val="0"/>
              <w:rPr>
                <w:rFonts w:ascii="仿宋" w:hAnsi="仿宋" w:eastAsia="仿宋"/>
                <w:szCs w:val="21"/>
                <w:highlight w:val="none"/>
              </w:rPr>
            </w:pPr>
            <w:r>
              <w:rPr>
                <w:rFonts w:hint="eastAsia" w:ascii="仿宋" w:hAnsi="仿宋" w:eastAsia="仿宋"/>
                <w:szCs w:val="21"/>
                <w:highlight w:val="none"/>
              </w:rPr>
              <w:t>失效的访问控制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31" w:type="pct"/>
            <w:gridSpan w:val="2"/>
            <w:vAlign w:val="center"/>
          </w:tcPr>
          <w:p>
            <w:pPr>
              <w:numPr>
                <w:ilvl w:val="0"/>
                <w:numId w:val="155"/>
              </w:numPr>
              <w:rPr>
                <w:rFonts w:ascii="仿宋" w:hAnsi="仿宋" w:eastAsia="仿宋"/>
                <w:highlight w:val="none"/>
              </w:rPr>
            </w:pPr>
            <w:r>
              <w:rPr>
                <w:rFonts w:hint="eastAsia" w:ascii="仿宋" w:hAnsi="仿宋" w:eastAsia="仿宋"/>
                <w:highlight w:val="none"/>
              </w:rPr>
              <w:t>目录遍历漏洞</w:t>
            </w:r>
          </w:p>
        </w:tc>
        <w:tc>
          <w:tcPr>
            <w:tcW w:w="1197" w:type="pct"/>
            <w:vAlign w:val="center"/>
          </w:tcPr>
          <w:p>
            <w:pPr>
              <w:adjustRightInd w:val="0"/>
              <w:snapToGrid w:val="0"/>
              <w:rPr>
                <w:rFonts w:ascii="仿宋" w:hAnsi="仿宋" w:eastAsia="仿宋"/>
                <w:szCs w:val="21"/>
                <w:highlight w:val="none"/>
              </w:rPr>
            </w:pPr>
          </w:p>
        </w:tc>
        <w:tc>
          <w:tcPr>
            <w:tcW w:w="1771" w:type="pct"/>
            <w:vMerge w:val="restart"/>
            <w:vAlign w:val="center"/>
          </w:tcPr>
          <w:p>
            <w:pPr>
              <w:adjustRightInd w:val="0"/>
              <w:snapToGrid w:val="0"/>
              <w:ind w:right="-165"/>
              <w:rPr>
                <w:rFonts w:ascii="仿宋" w:hAnsi="仿宋" w:eastAsia="仿宋"/>
                <w:szCs w:val="21"/>
                <w:highlight w:val="none"/>
              </w:rPr>
            </w:pPr>
            <w:r>
              <w:rPr>
                <w:rFonts w:hint="eastAsia" w:ascii="仿宋" w:hAnsi="仿宋" w:eastAsia="仿宋"/>
                <w:szCs w:val="21"/>
                <w:highlight w:val="none"/>
              </w:rPr>
              <w:t>参考：</w:t>
            </w:r>
            <w:r>
              <w:rPr>
                <w:rFonts w:ascii="仿宋" w:hAnsi="仿宋" w:eastAsia="仿宋"/>
                <w:szCs w:val="21"/>
                <w:highlight w:val="none"/>
              </w:rPr>
              <w:t>https://owasp.org/Top10/A01_2021-Broken_Access_Control/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31" w:type="pct"/>
            <w:gridSpan w:val="2"/>
            <w:vAlign w:val="center"/>
          </w:tcPr>
          <w:p>
            <w:pPr>
              <w:numPr>
                <w:ilvl w:val="0"/>
                <w:numId w:val="155"/>
              </w:numPr>
              <w:ind w:right="-61"/>
              <w:rPr>
                <w:rFonts w:ascii="仿宋" w:hAnsi="仿宋" w:eastAsia="仿宋"/>
                <w:highlight w:val="none"/>
              </w:rPr>
            </w:pPr>
            <w:r>
              <w:rPr>
                <w:rFonts w:hint="eastAsia" w:ascii="仿宋" w:hAnsi="仿宋" w:eastAsia="仿宋"/>
                <w:highlight w:val="none"/>
              </w:rPr>
              <w:t>越权访问漏洞（</w:t>
            </w:r>
            <w:r>
              <w:rPr>
                <w:rFonts w:ascii="仿宋" w:hAnsi="仿宋" w:eastAsia="仿宋"/>
                <w:highlight w:val="none"/>
              </w:rPr>
              <w:t>访问其他</w:t>
            </w:r>
            <w:r>
              <w:rPr>
                <w:rFonts w:hint="eastAsia" w:ascii="仿宋" w:hAnsi="仿宋" w:eastAsia="仿宋"/>
                <w:highlight w:val="none"/>
              </w:rPr>
              <w:t>用户</w:t>
            </w:r>
            <w:r>
              <w:rPr>
                <w:rFonts w:ascii="仿宋" w:hAnsi="仿宋" w:eastAsia="仿宋"/>
                <w:highlight w:val="none"/>
              </w:rPr>
              <w:t>的帐户、查看敏感文件、修改其他用户的数据、更改访问权限等</w:t>
            </w:r>
            <w:r>
              <w:rPr>
                <w:rFonts w:hint="eastAsia" w:ascii="仿宋" w:hAnsi="仿宋" w:eastAsia="仿宋"/>
                <w:highlight w:val="none"/>
              </w:rPr>
              <w:t>）</w:t>
            </w:r>
          </w:p>
        </w:tc>
        <w:tc>
          <w:tcPr>
            <w:tcW w:w="1197" w:type="pct"/>
            <w:vAlign w:val="center"/>
          </w:tcPr>
          <w:p>
            <w:pPr>
              <w:adjustRightInd w:val="0"/>
              <w:snapToGrid w:val="0"/>
              <w:rPr>
                <w:rFonts w:ascii="仿宋" w:hAnsi="仿宋" w:eastAsia="仿宋"/>
                <w:szCs w:val="21"/>
                <w:highlight w:val="none"/>
              </w:rPr>
            </w:pPr>
          </w:p>
        </w:tc>
        <w:tc>
          <w:tcPr>
            <w:tcW w:w="1771" w:type="pct"/>
            <w:vMerge w:val="continue"/>
            <w:vAlign w:val="center"/>
          </w:tcPr>
          <w:p>
            <w:pPr>
              <w:adjustRightInd w:val="0"/>
              <w:snapToGrid w:val="0"/>
              <w:rPr>
                <w:rFonts w:ascii="仿宋" w:hAnsi="仿宋" w:eastAsia="仿宋"/>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31" w:type="pct"/>
            <w:gridSpan w:val="2"/>
            <w:vAlign w:val="center"/>
          </w:tcPr>
          <w:p>
            <w:pPr>
              <w:numPr>
                <w:ilvl w:val="0"/>
                <w:numId w:val="155"/>
              </w:numPr>
              <w:rPr>
                <w:rFonts w:ascii="仿宋" w:hAnsi="仿宋" w:eastAsia="仿宋"/>
                <w:highlight w:val="none"/>
              </w:rPr>
            </w:pPr>
            <w:r>
              <w:rPr>
                <w:rFonts w:ascii="仿宋" w:hAnsi="仿宋" w:eastAsia="仿宋"/>
                <w:highlight w:val="none"/>
              </w:rPr>
              <w:t>任意</w:t>
            </w:r>
            <w:r>
              <w:rPr>
                <w:rFonts w:hint="eastAsia" w:ascii="仿宋" w:hAnsi="仿宋" w:eastAsia="仿宋"/>
                <w:highlight w:val="none"/>
              </w:rPr>
              <w:t>插件安装</w:t>
            </w:r>
          </w:p>
        </w:tc>
        <w:tc>
          <w:tcPr>
            <w:tcW w:w="1197" w:type="pct"/>
            <w:vAlign w:val="center"/>
          </w:tcPr>
          <w:p>
            <w:pPr>
              <w:adjustRightInd w:val="0"/>
              <w:snapToGrid w:val="0"/>
              <w:rPr>
                <w:rFonts w:ascii="仿宋" w:hAnsi="仿宋" w:eastAsia="仿宋"/>
                <w:szCs w:val="21"/>
                <w:highlight w:val="none"/>
              </w:rPr>
            </w:pPr>
          </w:p>
        </w:tc>
        <w:tc>
          <w:tcPr>
            <w:tcW w:w="1771" w:type="pct"/>
            <w:vMerge w:val="continue"/>
            <w:vAlign w:val="center"/>
          </w:tcPr>
          <w:p>
            <w:pPr>
              <w:adjustRightInd w:val="0"/>
              <w:snapToGrid w:val="0"/>
              <w:rPr>
                <w:rFonts w:ascii="仿宋" w:hAnsi="仿宋" w:eastAsia="仿宋"/>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0" w:type="pct"/>
            <w:gridSpan w:val="4"/>
            <w:vAlign w:val="center"/>
          </w:tcPr>
          <w:p>
            <w:pPr>
              <w:adjustRightInd w:val="0"/>
              <w:snapToGrid w:val="0"/>
              <w:rPr>
                <w:rFonts w:ascii="仿宋" w:hAnsi="仿宋" w:eastAsia="仿宋"/>
                <w:szCs w:val="21"/>
                <w:highlight w:val="none"/>
              </w:rPr>
            </w:pPr>
            <w:r>
              <w:rPr>
                <w:rFonts w:hint="eastAsia" w:ascii="仿宋" w:hAnsi="仿宋" w:eastAsia="仿宋"/>
                <w:highlight w:val="none"/>
              </w:rPr>
              <w:t>失效的身份验证漏洞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31" w:type="pct"/>
            <w:gridSpan w:val="2"/>
            <w:vAlign w:val="center"/>
          </w:tcPr>
          <w:p>
            <w:pPr>
              <w:numPr>
                <w:ilvl w:val="0"/>
                <w:numId w:val="155"/>
              </w:numPr>
              <w:ind w:right="-61"/>
              <w:rPr>
                <w:rFonts w:ascii="仿宋" w:hAnsi="仿宋" w:eastAsia="仿宋"/>
                <w:highlight w:val="none"/>
              </w:rPr>
            </w:pPr>
            <w:r>
              <w:rPr>
                <w:rFonts w:hint="eastAsia" w:ascii="仿宋" w:hAnsi="仿宋" w:eastAsia="仿宋"/>
                <w:highlight w:val="none"/>
              </w:rPr>
              <w:t>客户端验证身份漏洞</w:t>
            </w:r>
          </w:p>
        </w:tc>
        <w:tc>
          <w:tcPr>
            <w:tcW w:w="1197" w:type="pct"/>
            <w:vAlign w:val="center"/>
          </w:tcPr>
          <w:p>
            <w:pPr>
              <w:adjustRightInd w:val="0"/>
              <w:snapToGrid w:val="0"/>
              <w:rPr>
                <w:rFonts w:ascii="仿宋" w:hAnsi="仿宋" w:eastAsia="仿宋"/>
                <w:szCs w:val="21"/>
                <w:highlight w:val="none"/>
              </w:rPr>
            </w:pPr>
          </w:p>
        </w:tc>
        <w:tc>
          <w:tcPr>
            <w:tcW w:w="1771" w:type="pct"/>
            <w:vAlign w:val="center"/>
          </w:tcPr>
          <w:p>
            <w:pPr>
              <w:adjustRightInd w:val="0"/>
              <w:snapToGrid w:val="0"/>
              <w:ind w:right="75"/>
              <w:rPr>
                <w:rFonts w:ascii="仿宋" w:hAnsi="仿宋" w:eastAsia="仿宋"/>
                <w:szCs w:val="21"/>
                <w:highlight w:val="none"/>
              </w:rPr>
            </w:pPr>
            <w:r>
              <w:rPr>
                <w:rFonts w:hint="eastAsia" w:ascii="仿宋" w:hAnsi="仿宋" w:eastAsia="仿宋"/>
                <w:szCs w:val="21"/>
                <w:highlight w:val="none"/>
              </w:rPr>
              <w:t>身份验证应该在服务器端完成，而不应该在客户端完成。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0" w:type="pct"/>
            <w:gridSpan w:val="4"/>
            <w:vAlign w:val="center"/>
          </w:tcPr>
          <w:p>
            <w:pPr>
              <w:adjustRightInd w:val="0"/>
              <w:snapToGrid w:val="0"/>
              <w:rPr>
                <w:rFonts w:ascii="仿宋" w:hAnsi="仿宋" w:eastAsia="仿宋"/>
                <w:szCs w:val="21"/>
                <w:highlight w:val="none"/>
              </w:rPr>
            </w:pPr>
            <w:r>
              <w:rPr>
                <w:rFonts w:hint="eastAsia" w:ascii="仿宋" w:hAnsi="仿宋" w:eastAsia="仿宋"/>
                <w:szCs w:val="21"/>
                <w:highlight w:val="none"/>
              </w:rPr>
              <w:t>敏感信息泄露漏洞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31" w:type="pct"/>
            <w:gridSpan w:val="2"/>
            <w:vAlign w:val="center"/>
          </w:tcPr>
          <w:p>
            <w:pPr>
              <w:numPr>
                <w:ilvl w:val="0"/>
                <w:numId w:val="155"/>
              </w:numPr>
              <w:ind w:right="-61"/>
              <w:rPr>
                <w:rFonts w:ascii="仿宋" w:hAnsi="仿宋" w:eastAsia="仿宋"/>
                <w:highlight w:val="none"/>
              </w:rPr>
            </w:pPr>
            <w:r>
              <w:rPr>
                <w:rFonts w:hint="eastAsia" w:ascii="仿宋" w:hAnsi="仿宋" w:eastAsia="仿宋"/>
                <w:highlight w:val="none"/>
              </w:rPr>
              <w:t>明文密码传输</w:t>
            </w:r>
          </w:p>
        </w:tc>
        <w:tc>
          <w:tcPr>
            <w:tcW w:w="1197" w:type="pct"/>
            <w:vAlign w:val="center"/>
          </w:tcPr>
          <w:p>
            <w:pPr>
              <w:adjustRightInd w:val="0"/>
              <w:snapToGrid w:val="0"/>
              <w:rPr>
                <w:rFonts w:ascii="仿宋" w:hAnsi="仿宋" w:eastAsia="仿宋"/>
                <w:szCs w:val="21"/>
                <w:highlight w:val="none"/>
              </w:rPr>
            </w:pPr>
          </w:p>
        </w:tc>
        <w:tc>
          <w:tcPr>
            <w:tcW w:w="1771" w:type="pct"/>
            <w:vAlign w:val="center"/>
          </w:tcPr>
          <w:p>
            <w:pPr>
              <w:adjustRightInd w:val="0"/>
              <w:snapToGrid w:val="0"/>
              <w:rPr>
                <w:rFonts w:ascii="仿宋" w:hAnsi="仿宋" w:eastAsia="仿宋"/>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0" w:type="pct"/>
            <w:gridSpan w:val="4"/>
            <w:vAlign w:val="center"/>
          </w:tcPr>
          <w:p>
            <w:pPr>
              <w:adjustRightInd w:val="0"/>
              <w:snapToGrid w:val="0"/>
              <w:rPr>
                <w:rFonts w:ascii="仿宋" w:hAnsi="仿宋" w:eastAsia="仿宋"/>
                <w:szCs w:val="21"/>
                <w:highlight w:val="none"/>
              </w:rPr>
            </w:pPr>
            <w:r>
              <w:rPr>
                <w:rFonts w:hint="eastAsia" w:ascii="仿宋" w:hAnsi="仿宋" w:eastAsia="仿宋"/>
                <w:szCs w:val="21"/>
                <w:highlight w:val="none"/>
              </w:rPr>
              <w:t>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31" w:type="pct"/>
            <w:gridSpan w:val="2"/>
            <w:vAlign w:val="center"/>
          </w:tcPr>
          <w:p>
            <w:pPr>
              <w:numPr>
                <w:ilvl w:val="0"/>
                <w:numId w:val="155"/>
              </w:numPr>
              <w:rPr>
                <w:rFonts w:ascii="仿宋" w:hAnsi="仿宋" w:eastAsia="仿宋"/>
                <w:highlight w:val="none"/>
              </w:rPr>
            </w:pPr>
            <w:r>
              <w:rPr>
                <w:rFonts w:hint="eastAsia" w:ascii="仿宋" w:hAnsi="仿宋" w:eastAsia="仿宋"/>
                <w:highlight w:val="none"/>
              </w:rPr>
              <w:t>其他漏洞</w:t>
            </w:r>
          </w:p>
        </w:tc>
        <w:tc>
          <w:tcPr>
            <w:tcW w:w="1197" w:type="pct"/>
            <w:vAlign w:val="center"/>
          </w:tcPr>
          <w:p>
            <w:pPr>
              <w:adjustRightInd w:val="0"/>
              <w:snapToGrid w:val="0"/>
              <w:rPr>
                <w:rFonts w:ascii="仿宋" w:hAnsi="仿宋" w:eastAsia="仿宋"/>
                <w:szCs w:val="21"/>
                <w:highlight w:val="none"/>
              </w:rPr>
            </w:pPr>
          </w:p>
        </w:tc>
        <w:tc>
          <w:tcPr>
            <w:tcW w:w="1771" w:type="pct"/>
            <w:vAlign w:val="center"/>
          </w:tcPr>
          <w:p>
            <w:pPr>
              <w:adjustRightInd w:val="0"/>
              <w:snapToGrid w:val="0"/>
              <w:ind w:right="-165"/>
              <w:rPr>
                <w:rFonts w:ascii="仿宋" w:hAnsi="仿宋" w:eastAsia="仿宋"/>
                <w:szCs w:val="21"/>
                <w:highlight w:val="none"/>
              </w:rPr>
            </w:pPr>
            <w:r>
              <w:rPr>
                <w:rFonts w:hint="eastAsia" w:ascii="仿宋" w:hAnsi="仿宋" w:eastAsia="仿宋"/>
                <w:szCs w:val="21"/>
                <w:highlight w:val="none"/>
              </w:rPr>
              <w:t>按实际情况描述</w:t>
            </w:r>
          </w:p>
        </w:tc>
      </w:tr>
    </w:tbl>
    <w:p>
      <w:pPr>
        <w:pStyle w:val="46"/>
        <w:spacing w:after="156" w:afterLines="50"/>
        <w:ind w:firstLine="0" w:firstLineChars="0"/>
        <w:rPr>
          <w:rFonts w:ascii="仿宋" w:hAnsi="仿宋" w:eastAsia="仿宋"/>
          <w:highlight w:val="none"/>
        </w:rPr>
      </w:pPr>
    </w:p>
    <w:p>
      <w:pPr>
        <w:pStyle w:val="46"/>
        <w:numPr>
          <w:ilvl w:val="0"/>
          <w:numId w:val="154"/>
        </w:numPr>
        <w:spacing w:after="156" w:afterLines="50"/>
        <w:ind w:firstLineChars="0"/>
        <w:rPr>
          <w:rFonts w:ascii="仿宋" w:hAnsi="仿宋" w:eastAsia="仿宋"/>
          <w:highlight w:val="none"/>
        </w:rPr>
      </w:pPr>
      <w:r>
        <w:rPr>
          <w:rFonts w:hint="eastAsia" w:ascii="仿宋" w:hAnsi="仿宋" w:eastAsia="仿宋"/>
          <w:highlight w:val="none"/>
        </w:rPr>
        <w:t>安全评估环境信息收集表</w:t>
      </w:r>
    </w:p>
    <w:tbl>
      <w:tblPr>
        <w:tblStyle w:val="1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61"/>
        <w:gridCol w:w="64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93" w:type="dxa"/>
            <w:vAlign w:val="center"/>
          </w:tcPr>
          <w:p>
            <w:pPr>
              <w:pStyle w:val="47"/>
              <w:ind w:right="46"/>
              <w:rPr>
                <w:highlight w:val="none"/>
              </w:rPr>
            </w:pPr>
            <w:r>
              <w:rPr>
                <w:rFonts w:hint="eastAsia"/>
                <w:highlight w:val="none"/>
              </w:rPr>
              <w:t>系统名称</w:t>
            </w:r>
          </w:p>
        </w:tc>
        <w:tc>
          <w:tcPr>
            <w:tcW w:w="6627" w:type="dxa"/>
          </w:tcPr>
          <w:p>
            <w:pPr>
              <w:pStyle w:val="47"/>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93" w:type="dxa"/>
          </w:tcPr>
          <w:p>
            <w:pPr>
              <w:pStyle w:val="47"/>
              <w:ind w:right="46"/>
              <w:rPr>
                <w:highlight w:val="none"/>
              </w:rPr>
            </w:pPr>
            <w:r>
              <w:rPr>
                <w:rFonts w:hint="eastAsia"/>
                <w:highlight w:val="none"/>
              </w:rPr>
              <w:t>应用系统前端信息（ip、url）</w:t>
            </w:r>
          </w:p>
        </w:tc>
        <w:tc>
          <w:tcPr>
            <w:tcW w:w="6627" w:type="dxa"/>
          </w:tcPr>
          <w:p>
            <w:pPr>
              <w:pStyle w:val="47"/>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93" w:type="dxa"/>
          </w:tcPr>
          <w:p>
            <w:pPr>
              <w:pStyle w:val="47"/>
              <w:ind w:right="46"/>
              <w:rPr>
                <w:highlight w:val="none"/>
              </w:rPr>
            </w:pPr>
            <w:r>
              <w:rPr>
                <w:rFonts w:hint="eastAsia"/>
                <w:highlight w:val="none"/>
              </w:rPr>
              <w:t>应用框架组件信息（组件名称、版本）</w:t>
            </w:r>
          </w:p>
        </w:tc>
        <w:tc>
          <w:tcPr>
            <w:tcW w:w="6627" w:type="dxa"/>
          </w:tcPr>
          <w:p>
            <w:pPr>
              <w:pStyle w:val="47"/>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2093" w:type="dxa"/>
          </w:tcPr>
          <w:p>
            <w:pPr>
              <w:pStyle w:val="47"/>
              <w:ind w:right="46"/>
              <w:rPr>
                <w:highlight w:val="none"/>
              </w:rPr>
            </w:pPr>
            <w:r>
              <w:rPr>
                <w:rFonts w:hint="eastAsia"/>
                <w:highlight w:val="none"/>
              </w:rPr>
              <w:t>web中间件信息（ip、端口、版本）</w:t>
            </w:r>
          </w:p>
        </w:tc>
        <w:tc>
          <w:tcPr>
            <w:tcW w:w="6627" w:type="dxa"/>
          </w:tcPr>
          <w:p>
            <w:pPr>
              <w:pStyle w:val="47"/>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93" w:type="dxa"/>
          </w:tcPr>
          <w:p>
            <w:pPr>
              <w:pStyle w:val="47"/>
              <w:ind w:right="46"/>
              <w:rPr>
                <w:highlight w:val="none"/>
              </w:rPr>
            </w:pPr>
            <w:r>
              <w:rPr>
                <w:rFonts w:hint="eastAsia"/>
                <w:highlight w:val="none"/>
              </w:rPr>
              <w:t>消息中间件信息（ip、端口、版本）</w:t>
            </w:r>
          </w:p>
        </w:tc>
        <w:tc>
          <w:tcPr>
            <w:tcW w:w="6627" w:type="dxa"/>
          </w:tcPr>
          <w:p>
            <w:pPr>
              <w:pStyle w:val="47"/>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93" w:type="dxa"/>
          </w:tcPr>
          <w:p>
            <w:pPr>
              <w:pStyle w:val="47"/>
              <w:ind w:right="46"/>
              <w:rPr>
                <w:highlight w:val="none"/>
              </w:rPr>
            </w:pPr>
            <w:r>
              <w:rPr>
                <w:rFonts w:hint="eastAsia"/>
                <w:highlight w:val="none"/>
              </w:rPr>
              <w:t>数据库信息（ip、端口、版本）</w:t>
            </w:r>
          </w:p>
        </w:tc>
        <w:tc>
          <w:tcPr>
            <w:tcW w:w="6627" w:type="dxa"/>
          </w:tcPr>
          <w:p>
            <w:pPr>
              <w:pStyle w:val="47"/>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93" w:type="dxa"/>
          </w:tcPr>
          <w:p>
            <w:pPr>
              <w:pStyle w:val="47"/>
              <w:ind w:right="46"/>
              <w:rPr>
                <w:highlight w:val="none"/>
              </w:rPr>
            </w:pPr>
            <w:r>
              <w:rPr>
                <w:rFonts w:hint="eastAsia"/>
                <w:highlight w:val="none"/>
              </w:rPr>
              <w:t>测试账户信息（账户名、密码、权限）</w:t>
            </w:r>
          </w:p>
        </w:tc>
        <w:tc>
          <w:tcPr>
            <w:tcW w:w="6627" w:type="dxa"/>
          </w:tcPr>
          <w:p>
            <w:pPr>
              <w:pStyle w:val="47"/>
              <w:rPr>
                <w:highlight w:val="none"/>
              </w:rPr>
            </w:pPr>
          </w:p>
        </w:tc>
      </w:tr>
    </w:tbl>
    <w:p>
      <w:pPr>
        <w:pStyle w:val="47"/>
        <w:rPr>
          <w:highlight w:val="none"/>
        </w:rPr>
      </w:pPr>
    </w:p>
    <w:tbl>
      <w:tblPr>
        <w:tblStyle w:val="1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E7E6E6" w:themeFill="background2"/>
        <w:tblLayout w:type="autofit"/>
        <w:tblCellMar>
          <w:top w:w="0" w:type="dxa"/>
          <w:left w:w="108" w:type="dxa"/>
          <w:bottom w:w="0" w:type="dxa"/>
          <w:right w:w="108" w:type="dxa"/>
        </w:tblCellMar>
      </w:tblPr>
      <w:tblGrid>
        <w:gridCol w:w="85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E7E6E6" w:themeFill="background2"/>
        </w:tblPrEx>
        <w:tc>
          <w:tcPr>
            <w:tcW w:w="9327" w:type="dxa"/>
            <w:tcBorders>
              <w:top w:val="nil"/>
              <w:left w:val="nil"/>
              <w:bottom w:val="nil"/>
              <w:right w:val="nil"/>
            </w:tcBorders>
            <w:shd w:val="clear" w:color="auto" w:fill="E7E6E6" w:themeFill="background2"/>
          </w:tcPr>
          <w:p>
            <w:pPr>
              <w:widowControl w:val="0"/>
              <w:jc w:val="both"/>
              <w:rPr>
                <w:rFonts w:ascii="仿宋" w:hAnsi="仿宋" w:eastAsia="仿宋" w:cs="仿宋"/>
                <w:b/>
                <w:bCs/>
                <w:sz w:val="32"/>
                <w:szCs w:val="32"/>
                <w:highlight w:val="none"/>
              </w:rPr>
            </w:pPr>
            <w:bookmarkStart w:id="387" w:name="_Toc4564"/>
            <w:bookmarkStart w:id="388" w:name="_Toc15670"/>
            <w:r>
              <w:rPr>
                <w:rFonts w:hint="eastAsia" w:ascii="仿宋" w:hAnsi="仿宋" w:eastAsia="仿宋" w:cs="仿宋"/>
                <w:b/>
                <w:bCs/>
                <w:sz w:val="32"/>
                <w:szCs w:val="32"/>
                <w:highlight w:val="none"/>
              </w:rPr>
              <w:t>六、上线阶段须提交的文档</w:t>
            </w:r>
          </w:p>
        </w:tc>
      </w:tr>
    </w:tbl>
    <w:p>
      <w:pPr>
        <w:pStyle w:val="46"/>
        <w:spacing w:after="156" w:afterLines="50"/>
        <w:ind w:left="0" w:firstLine="0" w:firstLineChars="0"/>
        <w:rPr>
          <w:rFonts w:ascii="仿宋" w:hAnsi="仿宋" w:eastAsia="仿宋"/>
          <w:b/>
          <w:bCs/>
          <w:sz w:val="32"/>
          <w:szCs w:val="32"/>
          <w:highlight w:val="none"/>
        </w:rPr>
      </w:pPr>
    </w:p>
    <w:bookmarkEnd w:id="387"/>
    <w:bookmarkEnd w:id="388"/>
    <w:tbl>
      <w:tblPr>
        <w:tblStyle w:val="1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61"/>
        <w:gridCol w:w="4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720" w:type="dxa"/>
            <w:gridSpan w:val="2"/>
          </w:tcPr>
          <w:p>
            <w:pPr>
              <w:pStyle w:val="46"/>
              <w:spacing w:after="156" w:afterLines="50"/>
              <w:ind w:firstLine="0" w:firstLineChars="0"/>
              <w:jc w:val="center"/>
              <w:rPr>
                <w:rFonts w:ascii="仿宋" w:hAnsi="仿宋" w:eastAsia="仿宋"/>
                <w:highlight w:val="none"/>
              </w:rPr>
            </w:pPr>
            <w:r>
              <w:rPr>
                <w:rFonts w:hint="eastAsia" w:ascii="仿宋" w:hAnsi="仿宋" w:eastAsia="仿宋"/>
                <w:highlight w:val="none"/>
              </w:rPr>
              <w:t>上线阶段安全检查文件清单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60" w:type="dxa"/>
            <w:vAlign w:val="center"/>
          </w:tcPr>
          <w:p>
            <w:pPr>
              <w:pStyle w:val="46"/>
              <w:spacing w:after="156" w:afterLines="50"/>
              <w:ind w:firstLine="0" w:firstLineChars="0"/>
              <w:rPr>
                <w:rFonts w:ascii="仿宋" w:hAnsi="仿宋" w:eastAsia="仿宋"/>
                <w:highlight w:val="none"/>
              </w:rPr>
            </w:pPr>
            <w:r>
              <w:rPr>
                <w:rFonts w:hint="eastAsia" w:ascii="仿宋" w:hAnsi="仿宋" w:eastAsia="仿宋"/>
                <w:highlight w:val="none"/>
              </w:rPr>
              <w:t>源代码审计报告</w:t>
            </w:r>
          </w:p>
        </w:tc>
        <w:tc>
          <w:tcPr>
            <w:tcW w:w="4360" w:type="dxa"/>
            <w:vAlign w:val="center"/>
          </w:tcPr>
          <w:p>
            <w:pPr>
              <w:rPr>
                <w:rFonts w:ascii="仿宋" w:hAnsi="仿宋" w:eastAsia="仿宋"/>
                <w:szCs w:val="21"/>
                <w:highlight w:val="none"/>
              </w:rPr>
            </w:pPr>
            <w:r>
              <w:rPr>
                <w:rFonts w:hint="eastAsia" w:ascii="仿宋" w:hAnsi="仿宋" w:eastAsia="仿宋"/>
                <w:szCs w:val="21"/>
                <w:highlight w:val="none"/>
              </w:rPr>
              <w:t>是□        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60" w:type="dxa"/>
            <w:vAlign w:val="center"/>
          </w:tcPr>
          <w:p>
            <w:pPr>
              <w:pStyle w:val="47"/>
              <w:ind w:right="46"/>
              <w:rPr>
                <w:sz w:val="24"/>
                <w:highlight w:val="none"/>
              </w:rPr>
            </w:pPr>
            <w:r>
              <w:rPr>
                <w:rFonts w:hint="eastAsia"/>
                <w:sz w:val="24"/>
                <w:highlight w:val="none"/>
              </w:rPr>
              <w:t>配置基线核查报告；（应用系统基线&amp;</w:t>
            </w:r>
            <w:r>
              <w:rPr>
                <w:rFonts w:hint="eastAsia"/>
                <w:highlight w:val="none"/>
              </w:rPr>
              <w:t>服务器</w:t>
            </w:r>
            <w:r>
              <w:rPr>
                <w:rFonts w:hint="eastAsia"/>
                <w:sz w:val="24"/>
                <w:highlight w:val="none"/>
              </w:rPr>
              <w:t>基线）</w:t>
            </w:r>
          </w:p>
        </w:tc>
        <w:tc>
          <w:tcPr>
            <w:tcW w:w="4360" w:type="dxa"/>
            <w:vAlign w:val="center"/>
          </w:tcPr>
          <w:p>
            <w:pPr>
              <w:rPr>
                <w:rFonts w:ascii="仿宋" w:hAnsi="仿宋" w:eastAsia="仿宋"/>
                <w:szCs w:val="21"/>
                <w:highlight w:val="none"/>
              </w:rPr>
            </w:pPr>
            <w:r>
              <w:rPr>
                <w:rFonts w:hint="eastAsia" w:ascii="仿宋" w:hAnsi="仿宋" w:eastAsia="仿宋"/>
                <w:szCs w:val="21"/>
                <w:highlight w:val="none"/>
              </w:rPr>
              <w:t>是□        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60" w:type="dxa"/>
          </w:tcPr>
          <w:p>
            <w:pPr>
              <w:pStyle w:val="46"/>
              <w:spacing w:after="156" w:afterLines="50"/>
              <w:ind w:firstLine="0" w:firstLineChars="0"/>
              <w:rPr>
                <w:rFonts w:ascii="仿宋" w:hAnsi="仿宋" w:eastAsia="仿宋"/>
                <w:highlight w:val="none"/>
              </w:rPr>
            </w:pPr>
            <w:r>
              <w:rPr>
                <w:rFonts w:hint="eastAsia" w:ascii="仿宋" w:hAnsi="仿宋" w:eastAsia="仿宋"/>
                <w:highlight w:val="none"/>
              </w:rPr>
              <w:t>漏洞扫描报告；</w:t>
            </w:r>
          </w:p>
        </w:tc>
        <w:tc>
          <w:tcPr>
            <w:tcW w:w="4360" w:type="dxa"/>
          </w:tcPr>
          <w:p>
            <w:pPr>
              <w:pStyle w:val="46"/>
              <w:spacing w:after="156" w:afterLines="50"/>
              <w:ind w:firstLine="0" w:firstLineChars="0"/>
              <w:rPr>
                <w:rFonts w:ascii="仿宋" w:hAnsi="仿宋" w:eastAsia="仿宋"/>
                <w:highlight w:val="none"/>
              </w:rPr>
            </w:pPr>
            <w:r>
              <w:rPr>
                <w:rFonts w:hint="eastAsia" w:ascii="仿宋" w:hAnsi="仿宋" w:eastAsia="仿宋"/>
                <w:szCs w:val="21"/>
                <w:highlight w:val="none"/>
              </w:rPr>
              <w:t>是□        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60" w:type="dxa"/>
          </w:tcPr>
          <w:p>
            <w:pPr>
              <w:pStyle w:val="46"/>
              <w:spacing w:after="156" w:afterLines="50"/>
              <w:ind w:firstLine="0" w:firstLineChars="0"/>
              <w:rPr>
                <w:rFonts w:ascii="仿宋" w:hAnsi="仿宋" w:eastAsia="仿宋"/>
                <w:highlight w:val="none"/>
              </w:rPr>
            </w:pPr>
            <w:r>
              <w:rPr>
                <w:rFonts w:hint="eastAsia" w:ascii="仿宋" w:hAnsi="仿宋" w:eastAsia="仿宋"/>
                <w:highlight w:val="none"/>
              </w:rPr>
              <w:t>渗透测试报告；</w:t>
            </w:r>
          </w:p>
        </w:tc>
        <w:tc>
          <w:tcPr>
            <w:tcW w:w="4360" w:type="dxa"/>
            <w:vAlign w:val="center"/>
          </w:tcPr>
          <w:p>
            <w:pPr>
              <w:pStyle w:val="46"/>
              <w:spacing w:after="156" w:afterLines="50"/>
              <w:ind w:firstLine="0" w:firstLineChars="0"/>
              <w:rPr>
                <w:rFonts w:ascii="仿宋" w:hAnsi="仿宋" w:eastAsia="仿宋"/>
                <w:szCs w:val="21"/>
                <w:highlight w:val="none"/>
              </w:rPr>
            </w:pPr>
            <w:r>
              <w:rPr>
                <w:rFonts w:hint="eastAsia" w:ascii="仿宋" w:hAnsi="仿宋" w:eastAsia="仿宋"/>
                <w:szCs w:val="21"/>
                <w:highlight w:val="none"/>
              </w:rPr>
              <w:t>是□        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60" w:type="dxa"/>
          </w:tcPr>
          <w:p>
            <w:pPr>
              <w:pStyle w:val="47"/>
              <w:ind w:right="46"/>
              <w:rPr>
                <w:sz w:val="24"/>
                <w:highlight w:val="none"/>
              </w:rPr>
            </w:pPr>
            <w:r>
              <w:rPr>
                <w:rFonts w:hint="eastAsia"/>
                <w:sz w:val="24"/>
                <w:highlight w:val="none"/>
              </w:rPr>
              <w:t>安全复测报告（漏洞、配置基线、渗透等）；</w:t>
            </w:r>
          </w:p>
        </w:tc>
        <w:tc>
          <w:tcPr>
            <w:tcW w:w="4360" w:type="dxa"/>
            <w:vAlign w:val="center"/>
          </w:tcPr>
          <w:p>
            <w:pPr>
              <w:pStyle w:val="46"/>
              <w:spacing w:after="156" w:afterLines="50"/>
              <w:ind w:firstLine="0" w:firstLineChars="0"/>
              <w:rPr>
                <w:rFonts w:ascii="仿宋" w:hAnsi="仿宋" w:eastAsia="仿宋"/>
                <w:szCs w:val="21"/>
                <w:highlight w:val="none"/>
              </w:rPr>
            </w:pPr>
            <w:r>
              <w:rPr>
                <w:rFonts w:hint="eastAsia" w:ascii="仿宋" w:hAnsi="仿宋" w:eastAsia="仿宋"/>
                <w:szCs w:val="21"/>
                <w:highlight w:val="none"/>
              </w:rPr>
              <w:t>是□        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60" w:type="dxa"/>
          </w:tcPr>
          <w:p>
            <w:pPr>
              <w:pStyle w:val="46"/>
              <w:spacing w:after="156" w:afterLines="50"/>
              <w:ind w:firstLine="0" w:firstLineChars="0"/>
              <w:rPr>
                <w:rFonts w:ascii="仿宋" w:hAnsi="仿宋" w:eastAsia="仿宋"/>
                <w:highlight w:val="none"/>
              </w:rPr>
            </w:pPr>
            <w:r>
              <w:rPr>
                <w:rFonts w:hint="eastAsia" w:ascii="仿宋" w:hAnsi="仿宋" w:eastAsia="仿宋"/>
                <w:highlight w:val="none"/>
              </w:rPr>
              <w:t>应用系统架构表</w:t>
            </w:r>
          </w:p>
        </w:tc>
        <w:tc>
          <w:tcPr>
            <w:tcW w:w="4360" w:type="dxa"/>
            <w:vAlign w:val="center"/>
          </w:tcPr>
          <w:p>
            <w:pPr>
              <w:pStyle w:val="46"/>
              <w:spacing w:after="156" w:afterLines="50"/>
              <w:ind w:firstLine="0" w:firstLineChars="0"/>
              <w:rPr>
                <w:rFonts w:ascii="仿宋" w:hAnsi="仿宋" w:eastAsia="仿宋"/>
                <w:szCs w:val="21"/>
                <w:highlight w:val="none"/>
              </w:rPr>
            </w:pPr>
            <w:r>
              <w:rPr>
                <w:rFonts w:hint="eastAsia" w:ascii="仿宋" w:hAnsi="仿宋" w:eastAsia="仿宋"/>
                <w:szCs w:val="21"/>
                <w:highlight w:val="none"/>
              </w:rPr>
              <w:t xml:space="preserve">是□       </w:t>
            </w:r>
            <w:r>
              <w:rPr>
                <w:rFonts w:ascii="仿宋" w:hAnsi="仿宋" w:eastAsia="仿宋"/>
                <w:szCs w:val="21"/>
                <w:highlight w:val="none"/>
              </w:rPr>
              <w:t xml:space="preserve"> </w:t>
            </w:r>
            <w:r>
              <w:rPr>
                <w:rFonts w:hint="eastAsia" w:ascii="仿宋" w:hAnsi="仿宋" w:eastAsia="仿宋"/>
                <w:szCs w:val="21"/>
                <w:highlight w:val="none"/>
              </w:rPr>
              <w:t>否□</w:t>
            </w:r>
          </w:p>
        </w:tc>
      </w:tr>
    </w:tbl>
    <w:p>
      <w:pPr>
        <w:pStyle w:val="46"/>
        <w:spacing w:after="156" w:afterLines="50"/>
        <w:ind w:firstLine="0" w:firstLineChars="0"/>
        <w:rPr>
          <w:rFonts w:ascii="仿宋" w:hAnsi="仿宋" w:eastAsia="仿宋"/>
          <w:highlight w:val="none"/>
        </w:rPr>
      </w:pPr>
      <w:r>
        <w:rPr>
          <w:rFonts w:hint="eastAsia" w:ascii="仿宋" w:hAnsi="仿宋" w:eastAsia="仿宋"/>
          <w:highlight w:val="none"/>
        </w:rPr>
        <w:t>其中，配置基线核查报告、漏洞扫描报告、渗透测试报告、漏洞及配置基线复测报告由第三方安全服务公司提供，无固定格式要求。</w:t>
      </w:r>
    </w:p>
    <w:tbl>
      <w:tblPr>
        <w:tblStyle w:val="1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E7E6E6" w:themeFill="background2"/>
        <w:tblLayout w:type="autofit"/>
        <w:tblCellMar>
          <w:top w:w="0" w:type="dxa"/>
          <w:left w:w="108" w:type="dxa"/>
          <w:bottom w:w="0" w:type="dxa"/>
          <w:right w:w="108" w:type="dxa"/>
        </w:tblCellMar>
      </w:tblPr>
      <w:tblGrid>
        <w:gridCol w:w="85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E7E6E6" w:themeFill="background2"/>
          <w:tblCellMar>
            <w:top w:w="0" w:type="dxa"/>
            <w:left w:w="108" w:type="dxa"/>
            <w:bottom w:w="0" w:type="dxa"/>
            <w:right w:w="108" w:type="dxa"/>
          </w:tblCellMar>
        </w:tblPrEx>
        <w:tc>
          <w:tcPr>
            <w:tcW w:w="9327" w:type="dxa"/>
            <w:tcBorders>
              <w:top w:val="nil"/>
              <w:left w:val="nil"/>
              <w:bottom w:val="nil"/>
              <w:right w:val="nil"/>
            </w:tcBorders>
            <w:shd w:val="clear" w:color="auto" w:fill="E7E6E6" w:themeFill="background2"/>
          </w:tcPr>
          <w:p>
            <w:pPr>
              <w:widowControl w:val="0"/>
              <w:jc w:val="both"/>
              <w:rPr>
                <w:rFonts w:ascii="仿宋" w:hAnsi="仿宋" w:eastAsia="仿宋" w:cs="仿宋"/>
                <w:b/>
                <w:bCs/>
                <w:sz w:val="32"/>
                <w:szCs w:val="32"/>
                <w:highlight w:val="none"/>
              </w:rPr>
            </w:pPr>
            <w:bookmarkStart w:id="389" w:name="_Toc18655"/>
            <w:bookmarkStart w:id="390" w:name="_Toc4923"/>
            <w:r>
              <w:rPr>
                <w:rFonts w:hint="eastAsia" w:ascii="仿宋" w:hAnsi="仿宋" w:eastAsia="仿宋" w:cs="仿宋"/>
                <w:b/>
                <w:bCs/>
                <w:sz w:val="32"/>
                <w:szCs w:val="32"/>
                <w:highlight w:val="none"/>
              </w:rPr>
              <w:t>七、维护与解释</w:t>
            </w:r>
          </w:p>
        </w:tc>
      </w:tr>
      <w:bookmarkEnd w:id="389"/>
      <w:bookmarkEnd w:id="390"/>
    </w:tbl>
    <w:p>
      <w:pPr>
        <w:pStyle w:val="47"/>
        <w:rPr>
          <w:highlight w:val="none"/>
        </w:rPr>
      </w:pPr>
    </w:p>
    <w:p>
      <w:pPr>
        <w:pStyle w:val="47"/>
        <w:rPr>
          <w:highlight w:val="none"/>
        </w:rPr>
      </w:pPr>
      <w:r>
        <w:rPr>
          <w:rFonts w:hint="eastAsia"/>
          <w:highlight w:val="none"/>
        </w:rPr>
        <w:t>本文件由网络管理科</w:t>
      </w:r>
      <w:r>
        <w:rPr>
          <w:rFonts w:hint="eastAsia"/>
          <w:bCs/>
          <w:highlight w:val="none"/>
        </w:rPr>
        <w:t>起草并维护</w:t>
      </w:r>
      <w:r>
        <w:rPr>
          <w:rFonts w:hint="eastAsia"/>
          <w:highlight w:val="none"/>
        </w:rPr>
        <w:t>。</w:t>
      </w:r>
      <w:bookmarkEnd w:id="351"/>
      <w:bookmarkEnd w:id="352"/>
      <w:bookmarkEnd w:id="353"/>
      <w:bookmarkEnd w:id="354"/>
      <w:bookmarkEnd w:id="364"/>
      <w:bookmarkEnd w:id="365"/>
      <w:bookmarkEnd w:id="366"/>
      <w:bookmarkEnd w:id="367"/>
      <w:bookmarkEnd w:id="368"/>
      <w:bookmarkEnd w:id="369"/>
      <w:bookmarkEnd w:id="370"/>
      <w:bookmarkEnd w:id="371"/>
      <w:bookmarkEnd w:id="372"/>
      <w:bookmarkEnd w:id="373"/>
      <w:bookmarkEnd w:id="374"/>
    </w:p>
    <w:p>
      <w:pPr>
        <w:rPr>
          <w:highlight w:val="none"/>
        </w:rPr>
      </w:pPr>
    </w:p>
    <w:p>
      <w:pPr>
        <w:rPr>
          <w:highlight w:val="none"/>
        </w:rPr>
      </w:pPr>
      <w:r>
        <w:rPr>
          <w:rFonts w:hint="eastAsia"/>
          <w:highlight w:val="none"/>
        </w:rPr>
        <w:br w:type="page"/>
      </w:r>
    </w:p>
    <w:p>
      <w:pPr>
        <w:pStyle w:val="2"/>
        <w:tabs>
          <w:tab w:val="center" w:pos="2141"/>
        </w:tabs>
        <w:spacing w:after="0" w:line="360" w:lineRule="auto"/>
        <w:ind w:left="0" w:right="0" w:firstLine="0"/>
        <w:rPr>
          <w:b/>
          <w:color w:val="auto"/>
          <w:sz w:val="30"/>
          <w:szCs w:val="30"/>
          <w:highlight w:val="none"/>
        </w:rPr>
      </w:pPr>
      <w:bookmarkStart w:id="391" w:name="_Toc22474"/>
      <w:bookmarkStart w:id="392" w:name="_Toc8685"/>
      <w:bookmarkStart w:id="393" w:name="_Toc7348"/>
      <w:bookmarkStart w:id="394" w:name="_Toc15988"/>
      <w:bookmarkStart w:id="395" w:name="_Toc6245"/>
      <w:bookmarkStart w:id="396" w:name="_Toc7963"/>
      <w:bookmarkStart w:id="397" w:name="_Toc8680"/>
      <w:bookmarkStart w:id="398" w:name="_Toc19940"/>
      <w:bookmarkStart w:id="399" w:name="_Toc24390"/>
      <w:bookmarkStart w:id="400" w:name="_Toc27692"/>
      <w:bookmarkStart w:id="401" w:name="_Toc4254"/>
      <w:bookmarkStart w:id="402" w:name="_Toc20201"/>
      <w:bookmarkStart w:id="403" w:name="_Toc21828"/>
      <w:bookmarkStart w:id="404" w:name="_Toc14949"/>
      <w:r>
        <w:rPr>
          <w:rFonts w:hint="eastAsia"/>
          <w:b/>
          <w:color w:val="auto"/>
          <w:sz w:val="30"/>
          <w:szCs w:val="30"/>
          <w:highlight w:val="none"/>
        </w:rPr>
        <w:t>附件4：信息、智能化相关系统软件开发交付要求</w:t>
      </w:r>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p>
    <w:p>
      <w:pPr>
        <w:rPr>
          <w:b/>
          <w:color w:val="auto"/>
          <w:sz w:val="30"/>
          <w:szCs w:val="30"/>
          <w:highlight w:val="none"/>
        </w:rPr>
      </w:pPr>
    </w:p>
    <w:p>
      <w:pPr>
        <w:ind w:firstLine="560" w:firstLineChars="200"/>
        <w:rPr>
          <w:bCs/>
          <w:sz w:val="28"/>
          <w:szCs w:val="28"/>
          <w:highlight w:val="none"/>
        </w:rPr>
      </w:pPr>
    </w:p>
    <w:p>
      <w:pPr>
        <w:ind w:right="146" w:firstLine="560" w:firstLineChars="200"/>
        <w:rPr>
          <w:bCs/>
          <w:sz w:val="28"/>
          <w:szCs w:val="28"/>
          <w:highlight w:val="none"/>
        </w:rPr>
      </w:pPr>
      <w:r>
        <w:rPr>
          <w:rFonts w:hint="eastAsia"/>
          <w:bCs/>
          <w:sz w:val="28"/>
          <w:szCs w:val="28"/>
          <w:highlight w:val="none"/>
        </w:rPr>
        <w:t>根据《中华人民共和国合同法》有关规定及相</w:t>
      </w:r>
      <w:r>
        <w:rPr>
          <w:rFonts w:hint="eastAsia"/>
          <w:sz w:val="28"/>
          <w:szCs w:val="28"/>
          <w:highlight w:val="none"/>
        </w:rPr>
        <w:t>关法律法规</w:t>
      </w:r>
      <w:r>
        <w:rPr>
          <w:rFonts w:hint="eastAsia"/>
          <w:bCs/>
          <w:sz w:val="28"/>
          <w:szCs w:val="28"/>
          <w:highlight w:val="none"/>
        </w:rPr>
        <w:t>及</w:t>
      </w:r>
      <w:sdt>
        <w:sdtPr>
          <w:rPr>
            <w:rFonts w:hint="eastAsia"/>
            <w:highlight w:val="none"/>
          </w:rPr>
          <w:tag w:val="tag26"/>
          <w:id w:val="26"/>
          <w15:appearance w15:val="hidden"/>
        </w:sdtPr>
        <w:sdtEndPr>
          <w:rPr>
            <w:rFonts w:hint="eastAsia"/>
            <w:highlight w:val="none"/>
          </w:rPr>
        </w:sdtEndPr>
        <w:sdtContent>
          <w:r>
            <w:rPr>
              <w:rFonts w:hint="eastAsia"/>
              <w:bCs/>
              <w:sz w:val="28"/>
              <w:szCs w:val="28"/>
              <w:highlight w:val="none"/>
              <w:u w:val="single"/>
              <w:shd w:val="clear" w:color="auto" w:fill="FEF2CC" w:themeFill="accent4" w:themeFillTint="33"/>
            </w:rPr>
            <w:t>[                     （招标代号）]</w:t>
          </w:r>
        </w:sdtContent>
      </w:sdt>
      <w:r>
        <w:rPr>
          <w:rFonts w:hint="eastAsia"/>
          <w:bCs/>
          <w:sz w:val="28"/>
          <w:szCs w:val="28"/>
          <w:highlight w:val="none"/>
        </w:rPr>
        <w:t>项目招标结果，双方本着平等互利、长期合作、共同发展的原则，在真实、充分地表达各自意愿的基础上，达成如下协议，由双方共同恪守。</w:t>
      </w:r>
    </w:p>
    <w:p>
      <w:pPr>
        <w:ind w:right="144" w:rightChars="60" w:firstLine="560" w:firstLineChars="200"/>
        <w:rPr>
          <w:bCs/>
          <w:sz w:val="28"/>
          <w:szCs w:val="28"/>
          <w:highlight w:val="none"/>
        </w:rPr>
      </w:pPr>
      <w:r>
        <w:rPr>
          <w:rFonts w:hint="eastAsia"/>
          <w:bCs/>
          <w:sz w:val="28"/>
          <w:szCs w:val="28"/>
          <w:highlight w:val="none"/>
        </w:rPr>
        <w:t>甲方委托乙方开发</w:t>
      </w:r>
      <w:sdt>
        <w:sdtPr>
          <w:rPr>
            <w:rFonts w:hint="eastAsia"/>
            <w:highlight w:val="none"/>
          </w:rPr>
          <w:tag w:val="tag27"/>
          <w:id w:val="27"/>
          <w15:appearance w15:val="hidden"/>
        </w:sdtPr>
        <w:sdtEndPr>
          <w:rPr>
            <w:rFonts w:hint="eastAsia"/>
            <w:highlight w:val="none"/>
          </w:rPr>
        </w:sdtEndPr>
        <w:sdtContent>
          <w:r>
            <w:rPr>
              <w:rFonts w:hint="eastAsia"/>
              <w:bCs/>
              <w:sz w:val="28"/>
              <w:szCs w:val="28"/>
              <w:highlight w:val="none"/>
              <w:u w:val="single"/>
              <w:shd w:val="clear" w:color="auto" w:fill="FEF2CC" w:themeFill="accent4" w:themeFillTint="33"/>
            </w:rPr>
            <w:t>[                   （系统名称）]</w:t>
          </w:r>
          <w:r>
            <w:rPr>
              <w:rFonts w:hint="eastAsia"/>
              <w:highlight w:val="none"/>
            </w:rPr>
            <w:t xml:space="preserve"> </w:t>
          </w:r>
        </w:sdtContent>
      </w:sdt>
      <w:r>
        <w:rPr>
          <w:rFonts w:hint="eastAsia"/>
          <w:bCs/>
          <w:sz w:val="28"/>
          <w:szCs w:val="28"/>
          <w:highlight w:val="none"/>
        </w:rPr>
        <w:t>。经甲、乙双方协商一致，订立本协议。</w:t>
      </w:r>
    </w:p>
    <w:p>
      <w:pPr>
        <w:numPr>
          <w:ilvl w:val="0"/>
          <w:numId w:val="156"/>
        </w:numPr>
        <w:spacing w:after="0" w:line="240" w:lineRule="auto"/>
        <w:ind w:left="0" w:right="144" w:rightChars="60" w:firstLine="281" w:firstLineChars="100"/>
        <w:rPr>
          <w:b/>
          <w:sz w:val="28"/>
          <w:szCs w:val="28"/>
          <w:highlight w:val="none"/>
        </w:rPr>
      </w:pPr>
      <w:r>
        <w:rPr>
          <w:rFonts w:hint="eastAsia"/>
          <w:b/>
          <w:sz w:val="28"/>
          <w:szCs w:val="28"/>
          <w:highlight w:val="none"/>
        </w:rPr>
        <w:t>下列文件均为本协议不可分割部分</w:t>
      </w:r>
    </w:p>
    <w:p>
      <w:pPr>
        <w:ind w:right="144" w:rightChars="60" w:firstLine="480" w:firstLineChars="200"/>
        <w:rPr>
          <w:bCs/>
          <w:sz w:val="28"/>
          <w:szCs w:val="28"/>
          <w:highlight w:val="none"/>
        </w:rPr>
      </w:pPr>
      <w:sdt>
        <w:sdtPr>
          <w:rPr>
            <w:rFonts w:hint="eastAsia"/>
            <w:highlight w:val="none"/>
          </w:rPr>
          <w:tag w:val="tag28"/>
          <w:id w:val="28"/>
          <w15:appearance w15:val="hidden"/>
        </w:sdtPr>
        <w:sdtEndPr>
          <w:rPr>
            <w:rFonts w:hint="eastAsia"/>
            <w:highlight w:val="none"/>
          </w:rPr>
        </w:sdtEndPr>
        <w:sdtContent>
          <w:r>
            <w:rPr>
              <w:rFonts w:hint="eastAsia"/>
              <w:bCs/>
              <w:sz w:val="28"/>
              <w:szCs w:val="28"/>
              <w:highlight w:val="none"/>
            </w:rPr>
            <w:t>□</w:t>
          </w:r>
        </w:sdtContent>
      </w:sdt>
      <w:r>
        <w:rPr>
          <w:rFonts w:hint="eastAsia"/>
          <w:bCs/>
          <w:sz w:val="28"/>
          <w:szCs w:val="28"/>
          <w:highlight w:val="none"/>
        </w:rPr>
        <w:t>招标文件；</w:t>
      </w:r>
    </w:p>
    <w:p>
      <w:pPr>
        <w:ind w:right="144" w:rightChars="60" w:firstLine="480" w:firstLineChars="200"/>
        <w:rPr>
          <w:bCs/>
          <w:sz w:val="28"/>
          <w:szCs w:val="28"/>
          <w:highlight w:val="none"/>
        </w:rPr>
      </w:pPr>
      <w:sdt>
        <w:sdtPr>
          <w:rPr>
            <w:rFonts w:hint="eastAsia"/>
            <w:highlight w:val="none"/>
          </w:rPr>
          <w:tag w:val="tag29"/>
          <w:id w:val="29"/>
          <w15:appearance w15:val="hidden"/>
        </w:sdtPr>
        <w:sdtEndPr>
          <w:rPr>
            <w:rFonts w:hint="eastAsia"/>
            <w:highlight w:val="none"/>
          </w:rPr>
        </w:sdtEndPr>
        <w:sdtContent>
          <w:r>
            <w:rPr>
              <w:rFonts w:hint="eastAsia"/>
              <w:bCs/>
              <w:sz w:val="28"/>
              <w:szCs w:val="28"/>
              <w:highlight w:val="none"/>
            </w:rPr>
            <w:t>□</w:t>
          </w:r>
        </w:sdtContent>
      </w:sdt>
      <w:r>
        <w:rPr>
          <w:rFonts w:hint="eastAsia"/>
          <w:bCs/>
          <w:sz w:val="28"/>
          <w:szCs w:val="28"/>
          <w:highlight w:val="none"/>
        </w:rPr>
        <w:t>投标文件；</w:t>
      </w:r>
    </w:p>
    <w:p>
      <w:pPr>
        <w:ind w:right="144" w:rightChars="60" w:firstLine="480" w:firstLineChars="200"/>
        <w:rPr>
          <w:bCs/>
          <w:sz w:val="28"/>
          <w:szCs w:val="28"/>
          <w:highlight w:val="none"/>
        </w:rPr>
      </w:pPr>
      <w:sdt>
        <w:sdtPr>
          <w:rPr>
            <w:rFonts w:hint="eastAsia"/>
            <w:highlight w:val="none"/>
          </w:rPr>
          <w:tag w:val="tag30"/>
          <w:id w:val="30"/>
          <w15:appearance w15:val="hidden"/>
        </w:sdtPr>
        <w:sdtEndPr>
          <w:rPr>
            <w:rFonts w:hint="eastAsia"/>
            <w:highlight w:val="none"/>
          </w:rPr>
        </w:sdtEndPr>
        <w:sdtContent>
          <w:r>
            <w:rPr>
              <w:rFonts w:hint="eastAsia"/>
              <w:bCs/>
              <w:sz w:val="28"/>
              <w:szCs w:val="28"/>
              <w:highlight w:val="none"/>
            </w:rPr>
            <w:t>□</w:t>
          </w:r>
        </w:sdtContent>
      </w:sdt>
      <w:r>
        <w:rPr>
          <w:rFonts w:hint="eastAsia"/>
          <w:bCs/>
          <w:sz w:val="28"/>
          <w:szCs w:val="28"/>
          <w:highlight w:val="none"/>
        </w:rPr>
        <w:t>中标通知书；</w:t>
      </w:r>
    </w:p>
    <w:p>
      <w:pPr>
        <w:ind w:right="144" w:rightChars="60" w:firstLine="480" w:firstLineChars="200"/>
        <w:rPr>
          <w:bCs/>
          <w:sz w:val="28"/>
          <w:szCs w:val="28"/>
          <w:highlight w:val="none"/>
        </w:rPr>
      </w:pPr>
      <w:sdt>
        <w:sdtPr>
          <w:rPr>
            <w:rFonts w:hint="eastAsia"/>
            <w:highlight w:val="none"/>
          </w:rPr>
          <w:tag w:val="tag31"/>
          <w:id w:val="31"/>
          <w15:appearance w15:val="hidden"/>
        </w:sdtPr>
        <w:sdtEndPr>
          <w:rPr>
            <w:rFonts w:hint="eastAsia"/>
            <w:highlight w:val="none"/>
          </w:rPr>
        </w:sdtEndPr>
        <w:sdtContent>
          <w:r>
            <w:rPr>
              <w:rFonts w:hint="eastAsia"/>
              <w:bCs/>
              <w:sz w:val="28"/>
              <w:szCs w:val="28"/>
              <w:highlight w:val="none"/>
            </w:rPr>
            <w:t>□</w:t>
          </w:r>
        </w:sdtContent>
      </w:sdt>
      <w:r>
        <w:rPr>
          <w:rFonts w:hint="eastAsia"/>
          <w:bCs/>
          <w:sz w:val="28"/>
          <w:szCs w:val="28"/>
          <w:highlight w:val="none"/>
        </w:rPr>
        <w:t>补充协议；</w:t>
      </w:r>
    </w:p>
    <w:p>
      <w:pPr>
        <w:ind w:right="144" w:rightChars="60" w:firstLine="480" w:firstLineChars="200"/>
        <w:rPr>
          <w:bCs/>
          <w:sz w:val="28"/>
          <w:szCs w:val="28"/>
          <w:highlight w:val="none"/>
        </w:rPr>
      </w:pPr>
      <w:sdt>
        <w:sdtPr>
          <w:rPr>
            <w:rFonts w:hint="eastAsia"/>
            <w:highlight w:val="none"/>
          </w:rPr>
          <w:tag w:val="tag32"/>
          <w:id w:val="32"/>
          <w15:appearance w15:val="hidden"/>
        </w:sdtPr>
        <w:sdtEndPr>
          <w:rPr>
            <w:rFonts w:hint="eastAsia"/>
            <w:highlight w:val="none"/>
          </w:rPr>
        </w:sdtEndPr>
        <w:sdtContent>
          <w:r>
            <w:rPr>
              <w:rFonts w:hint="eastAsia"/>
              <w:bCs/>
              <w:sz w:val="28"/>
              <w:szCs w:val="28"/>
              <w:highlight w:val="none"/>
            </w:rPr>
            <w:t>□</w:t>
          </w:r>
        </w:sdtContent>
      </w:sdt>
      <w:r>
        <w:rPr>
          <w:rFonts w:hint="eastAsia"/>
          <w:bCs/>
          <w:sz w:val="28"/>
          <w:szCs w:val="28"/>
          <w:highlight w:val="none"/>
        </w:rPr>
        <w:t>合同履行过程中的往来函件、会议纪要；</w:t>
      </w:r>
    </w:p>
    <w:p>
      <w:pPr>
        <w:ind w:right="144" w:rightChars="60"/>
        <w:rPr>
          <w:bCs/>
          <w:sz w:val="28"/>
          <w:szCs w:val="28"/>
          <w:highlight w:val="none"/>
        </w:rPr>
      </w:pPr>
      <w:sdt>
        <w:sdtPr>
          <w:rPr>
            <w:rFonts w:hint="eastAsia"/>
            <w:highlight w:val="none"/>
          </w:rPr>
          <w:tag w:val="tag33"/>
          <w:id w:val="33"/>
          <w15:appearance w15:val="hidden"/>
        </w:sdtPr>
        <w:sdtEndPr>
          <w:rPr>
            <w:rFonts w:hint="eastAsia"/>
            <w:highlight w:val="none"/>
          </w:rPr>
        </w:sdtEndPr>
        <w:sdtContent>
          <w:r>
            <w:rPr>
              <w:rFonts w:hint="eastAsia"/>
              <w:highlight w:val="none"/>
            </w:rPr>
            <w:t xml:space="preserve">    </w:t>
          </w:r>
          <w:r>
            <w:rPr>
              <w:rFonts w:hint="eastAsia"/>
              <w:bCs/>
              <w:sz w:val="28"/>
              <w:szCs w:val="28"/>
              <w:highlight w:val="none"/>
            </w:rPr>
            <w:t>□</w:t>
          </w:r>
        </w:sdtContent>
      </w:sdt>
      <w:r>
        <w:rPr>
          <w:rFonts w:hint="eastAsia"/>
          <w:bCs/>
          <w:sz w:val="28"/>
          <w:szCs w:val="28"/>
          <w:highlight w:val="none"/>
        </w:rPr>
        <w:t>双方约定属于本合同的其他文件。</w:t>
      </w:r>
    </w:p>
    <w:p>
      <w:pPr>
        <w:numPr>
          <w:ilvl w:val="0"/>
          <w:numId w:val="156"/>
        </w:numPr>
        <w:spacing w:after="0" w:line="240" w:lineRule="auto"/>
        <w:ind w:left="0" w:right="144" w:rightChars="60" w:firstLine="281" w:firstLineChars="100"/>
        <w:rPr>
          <w:b/>
          <w:sz w:val="28"/>
          <w:szCs w:val="28"/>
          <w:highlight w:val="none"/>
        </w:rPr>
      </w:pPr>
      <w:r>
        <w:rPr>
          <w:rFonts w:hint="eastAsia"/>
          <w:b/>
          <w:sz w:val="28"/>
          <w:szCs w:val="28"/>
          <w:highlight w:val="none"/>
        </w:rPr>
        <w:t>开发软件描述</w:t>
      </w:r>
    </w:p>
    <w:p>
      <w:pPr>
        <w:ind w:right="144" w:rightChars="60" w:firstLine="560" w:firstLineChars="200"/>
        <w:rPr>
          <w:bCs/>
          <w:sz w:val="28"/>
          <w:szCs w:val="28"/>
          <w:highlight w:val="none"/>
        </w:rPr>
      </w:pPr>
      <w:r>
        <w:rPr>
          <w:rFonts w:hint="eastAsia"/>
          <w:bCs/>
          <w:sz w:val="28"/>
          <w:szCs w:val="28"/>
          <w:highlight w:val="none"/>
        </w:rPr>
        <w:t>2.1本软件是甲方为</w:t>
      </w:r>
      <w:bookmarkStart w:id="405" w:name="_Hlk45612582"/>
      <w:sdt>
        <w:sdtPr>
          <w:rPr>
            <w:rFonts w:hint="eastAsia"/>
            <w:highlight w:val="none"/>
          </w:rPr>
          <w:tag w:val="tag34"/>
          <w:id w:val="34"/>
          <w15:appearance w15:val="hidden"/>
        </w:sdtPr>
        <w:sdtEndPr>
          <w:rPr>
            <w:rFonts w:hint="eastAsia"/>
            <w:highlight w:val="none"/>
          </w:rPr>
        </w:sdtEndPr>
        <w:sdtContent>
          <w:r>
            <w:rPr>
              <w:rFonts w:hint="eastAsia"/>
              <w:bCs/>
              <w:sz w:val="28"/>
              <w:szCs w:val="28"/>
              <w:highlight w:val="none"/>
              <w:u w:val="single"/>
              <w:shd w:val="clear" w:color="auto" w:fill="FEF2CC" w:themeFill="accent4" w:themeFillTint="33"/>
            </w:rPr>
            <w:t>[</w:t>
          </w:r>
          <w:sdt>
            <w:sdtPr>
              <w:rPr>
                <w:rFonts w:hint="eastAsia"/>
                <w:bCs/>
                <w:sz w:val="28"/>
                <w:szCs w:val="28"/>
                <w:highlight w:val="none"/>
                <w:u w:val="single"/>
                <w:shd w:val="clear" w:color="auto" w:fill="FEF2CC" w:themeFill="accent4" w:themeFillTint="33"/>
              </w:rPr>
              <w:tag w:val="tag34"/>
              <w:id w:val="-823198935"/>
              <w15:appearance w15:val="hidden"/>
            </w:sdtPr>
            <w:sdtEndPr>
              <w:rPr>
                <w:rFonts w:hint="eastAsia"/>
                <w:bCs/>
                <w:sz w:val="28"/>
                <w:szCs w:val="28"/>
                <w:highlight w:val="none"/>
                <w:u w:val="none"/>
                <w:shd w:val="clear" w:color="auto" w:fill="auto"/>
              </w:rPr>
            </w:sdtEndPr>
            <w:sdtContent>
              <w:r>
                <w:rPr>
                  <w:rFonts w:hint="eastAsia"/>
                  <w:bCs/>
                  <w:sz w:val="28"/>
                  <w:szCs w:val="28"/>
                  <w:highlight w:val="none"/>
                  <w:u w:val="single"/>
                  <w:shd w:val="clear" w:color="auto" w:fill="FEF2CC" w:themeFill="accent4" w:themeFillTint="33"/>
                </w:rPr>
                <w:t xml:space="preserve">                  （业务）]</w:t>
              </w:r>
            </w:sdtContent>
          </w:sdt>
        </w:sdtContent>
      </w:sdt>
      <w:bookmarkEnd w:id="405"/>
      <w:r>
        <w:rPr>
          <w:rFonts w:hint="eastAsia"/>
          <w:bCs/>
          <w:sz w:val="28"/>
          <w:szCs w:val="28"/>
          <w:highlight w:val="none"/>
        </w:rPr>
        <w:t>而委托乙方开发。该软件的主要功能和目的是</w:t>
      </w:r>
      <w:r>
        <w:rPr>
          <w:rFonts w:hint="eastAsia"/>
          <w:bCs/>
          <w:sz w:val="28"/>
          <w:szCs w:val="28"/>
          <w:highlight w:val="none"/>
          <w:u w:val="single"/>
          <w:shd w:val="clear" w:color="auto" w:fill="FEF2CC" w:themeFill="accent4" w:themeFillTint="33"/>
        </w:rPr>
        <w:t>[                       ]</w:t>
      </w:r>
      <w:r>
        <w:rPr>
          <w:rFonts w:hint="eastAsia"/>
          <w:bCs/>
          <w:sz w:val="28"/>
          <w:szCs w:val="28"/>
          <w:highlight w:val="none"/>
        </w:rPr>
        <w:t>。</w:t>
      </w:r>
    </w:p>
    <w:p>
      <w:pPr>
        <w:ind w:right="144" w:rightChars="60" w:firstLine="565" w:firstLineChars="202"/>
        <w:rPr>
          <w:bCs/>
          <w:sz w:val="28"/>
          <w:szCs w:val="28"/>
          <w:highlight w:val="none"/>
        </w:rPr>
      </w:pPr>
      <w:r>
        <w:rPr>
          <w:rFonts w:hint="eastAsia"/>
          <w:bCs/>
          <w:sz w:val="28"/>
          <w:szCs w:val="28"/>
          <w:highlight w:val="none"/>
        </w:rPr>
        <w:t>2.2乙方将结合甲方现有医疗信息系统进行软件开发，使开发软件能同现有信息系统实现互联互通，同时与已有的设备、操作系统相匹配。已有系统的设备和软件见附件</w:t>
      </w:r>
      <w:sdt>
        <w:sdtPr>
          <w:rPr>
            <w:rFonts w:hint="eastAsia"/>
            <w:highlight w:val="none"/>
          </w:rPr>
          <w:tag w:val="tag39"/>
          <w:id w:val="39"/>
          <w15:appearance w15:val="hidden"/>
        </w:sdtPr>
        <w:sdtEndPr>
          <w:rPr>
            <w:rFonts w:hint="eastAsia"/>
            <w:highlight w:val="none"/>
          </w:rPr>
        </w:sdtEndPr>
        <w:sdtContent>
          <w:r>
            <w:rPr>
              <w:rFonts w:hint="eastAsia"/>
              <w:bCs/>
              <w:sz w:val="28"/>
              <w:szCs w:val="28"/>
              <w:highlight w:val="none"/>
              <w:u w:val="single"/>
              <w:shd w:val="clear" w:color="auto" w:fill="FEF2CC" w:themeFill="accent4" w:themeFillTint="33"/>
            </w:rPr>
            <w:t>[                   ]</w:t>
          </w:r>
        </w:sdtContent>
      </w:sdt>
      <w:r>
        <w:rPr>
          <w:rFonts w:hint="eastAsia"/>
          <w:bCs/>
          <w:sz w:val="28"/>
          <w:szCs w:val="28"/>
          <w:highlight w:val="none"/>
        </w:rPr>
        <w:t>。</w:t>
      </w:r>
    </w:p>
    <w:p>
      <w:pPr>
        <w:ind w:right="144" w:rightChars="60" w:firstLine="565" w:firstLineChars="202"/>
        <w:rPr>
          <w:bCs/>
          <w:sz w:val="28"/>
          <w:szCs w:val="28"/>
          <w:highlight w:val="none"/>
        </w:rPr>
      </w:pPr>
      <w:r>
        <w:rPr>
          <w:rFonts w:hint="eastAsia"/>
          <w:bCs/>
          <w:sz w:val="28"/>
          <w:szCs w:val="28"/>
          <w:highlight w:val="none"/>
        </w:rPr>
        <w:t>2.3软件开发的目标</w:t>
      </w:r>
    </w:p>
    <w:p>
      <w:pPr>
        <w:ind w:right="144" w:rightChars="60" w:firstLine="560" w:firstLineChars="200"/>
        <w:rPr>
          <w:bCs/>
          <w:sz w:val="28"/>
          <w:szCs w:val="28"/>
          <w:highlight w:val="none"/>
        </w:rPr>
      </w:pPr>
      <w:r>
        <w:rPr>
          <w:rFonts w:hint="eastAsia"/>
          <w:bCs/>
          <w:sz w:val="28"/>
          <w:szCs w:val="28"/>
          <w:highlight w:val="none"/>
        </w:rPr>
        <w:t>软件整体功能符合甲方所描述的</w:t>
      </w:r>
      <w:sdt>
        <w:sdtPr>
          <w:rPr>
            <w:rFonts w:hint="eastAsia"/>
            <w:highlight w:val="none"/>
          </w:rPr>
          <w:tag w:val="tag40"/>
          <w:id w:val="40"/>
          <w15:appearance w15:val="hidden"/>
        </w:sdtPr>
        <w:sdtEndPr>
          <w:rPr>
            <w:rFonts w:hint="eastAsia"/>
            <w:highlight w:val="none"/>
          </w:rPr>
        </w:sdtEndPr>
        <w:sdtContent>
          <w:bookmarkStart w:id="406" w:name="_Hlk45612960"/>
          <w:sdt>
            <w:sdtPr>
              <w:rPr>
                <w:rFonts w:hint="eastAsia"/>
                <w:highlight w:val="none"/>
              </w:rPr>
              <w:tag w:val="tag39"/>
              <w:id w:val="1783603301"/>
              <w15:appearance w15:val="hidden"/>
            </w:sdtPr>
            <w:sdtEndPr>
              <w:rPr>
                <w:rFonts w:hint="eastAsia"/>
                <w:highlight w:val="none"/>
              </w:rPr>
            </w:sdtEndPr>
            <w:sdtContent>
              <w:r>
                <w:rPr>
                  <w:rFonts w:hint="eastAsia"/>
                  <w:bCs/>
                  <w:sz w:val="28"/>
                  <w:szCs w:val="28"/>
                  <w:highlight w:val="none"/>
                  <w:u w:val="single"/>
                  <w:shd w:val="clear" w:color="auto" w:fill="FEF2CC" w:themeFill="accent4" w:themeFillTint="33"/>
                </w:rPr>
                <w:t>[                   ]</w:t>
              </w:r>
            </w:sdtContent>
          </w:sdt>
        </w:sdtContent>
      </w:sdt>
      <w:bookmarkEnd w:id="406"/>
      <w:r>
        <w:rPr>
          <w:rFonts w:hint="eastAsia"/>
          <w:bCs/>
          <w:sz w:val="28"/>
          <w:szCs w:val="28"/>
          <w:highlight w:val="none"/>
        </w:rPr>
        <w:t>系统的要求，软件应符合[中山大学附属第一医院]信息系统技术标准，应满足可归档性、可审计性和安全性要求。</w:t>
      </w:r>
    </w:p>
    <w:p>
      <w:pPr>
        <w:numPr>
          <w:ilvl w:val="0"/>
          <w:numId w:val="156"/>
        </w:numPr>
        <w:spacing w:after="0" w:line="240" w:lineRule="auto"/>
        <w:ind w:left="0" w:right="144" w:rightChars="60" w:firstLine="281" w:firstLineChars="100"/>
        <w:rPr>
          <w:b/>
          <w:bCs/>
          <w:sz w:val="28"/>
          <w:szCs w:val="28"/>
          <w:highlight w:val="none"/>
        </w:rPr>
      </w:pPr>
      <w:r>
        <w:rPr>
          <w:rFonts w:hint="eastAsia"/>
          <w:b/>
          <w:bCs/>
          <w:sz w:val="28"/>
          <w:szCs w:val="28"/>
          <w:highlight w:val="none"/>
        </w:rPr>
        <w:t>开发地点、里程碑和实施计划</w:t>
      </w:r>
    </w:p>
    <w:p>
      <w:pPr>
        <w:ind w:right="144" w:rightChars="60" w:firstLine="560" w:firstLineChars="200"/>
        <w:rPr>
          <w:bCs/>
          <w:sz w:val="28"/>
          <w:szCs w:val="28"/>
          <w:highlight w:val="none"/>
        </w:rPr>
      </w:pPr>
      <w:r>
        <w:rPr>
          <w:rFonts w:hint="eastAsia"/>
          <w:bCs/>
          <w:sz w:val="28"/>
          <w:szCs w:val="28"/>
          <w:highlight w:val="none"/>
        </w:rPr>
        <w:t>3.1软件开发地点：</w:t>
      </w:r>
      <w:r>
        <w:rPr>
          <w:rFonts w:hint="eastAsia"/>
          <w:bCs/>
          <w:sz w:val="28"/>
          <w:szCs w:val="28"/>
          <w:highlight w:val="none"/>
          <w:u w:val="single"/>
        </w:rPr>
        <w:t>[中山大学附属第一医院]</w:t>
      </w:r>
    </w:p>
    <w:p>
      <w:pPr>
        <w:ind w:right="144" w:rightChars="60" w:firstLine="560" w:firstLineChars="200"/>
        <w:rPr>
          <w:bCs/>
          <w:sz w:val="28"/>
          <w:szCs w:val="28"/>
          <w:highlight w:val="none"/>
        </w:rPr>
      </w:pPr>
      <w:r>
        <w:rPr>
          <w:rFonts w:hint="eastAsia"/>
          <w:bCs/>
          <w:sz w:val="28"/>
          <w:szCs w:val="28"/>
          <w:highlight w:val="none"/>
        </w:rPr>
        <w:t>3.2软件开发里程碑</w:t>
      </w:r>
    </w:p>
    <w:p>
      <w:pPr>
        <w:ind w:right="144" w:rightChars="60" w:firstLine="565" w:firstLineChars="202"/>
        <w:rPr>
          <w:bCs/>
          <w:sz w:val="28"/>
          <w:szCs w:val="28"/>
          <w:highlight w:val="none"/>
        </w:rPr>
      </w:pPr>
      <w:r>
        <w:rPr>
          <w:rFonts w:hint="eastAsia"/>
          <w:bCs/>
          <w:sz w:val="28"/>
          <w:szCs w:val="28"/>
          <w:highlight w:val="none"/>
        </w:rPr>
        <w:t>软件开发项目分为需求分析、系统设计、编码实现、软件测试、系统试运行、项目验收、运行维护等阶段，乙方在每一阶段的里程碑向甲方提供的交付物均应经过甲方组织的评审，只有通过评审认可后才能进入下一阶段。</w:t>
      </w:r>
    </w:p>
    <w:p>
      <w:pPr>
        <w:ind w:left="487" w:leftChars="203" w:right="144" w:rightChars="60" w:firstLine="140" w:firstLineChars="50"/>
        <w:rPr>
          <w:bCs/>
          <w:sz w:val="28"/>
          <w:szCs w:val="28"/>
          <w:highlight w:val="none"/>
        </w:rPr>
      </w:pPr>
      <w:r>
        <w:rPr>
          <w:rFonts w:hint="eastAsia"/>
          <w:bCs/>
          <w:sz w:val="28"/>
          <w:szCs w:val="28"/>
          <w:highlight w:val="none"/>
        </w:rPr>
        <w:t>3.3实施计划</w:t>
      </w:r>
    </w:p>
    <w:p>
      <w:pPr>
        <w:ind w:right="144" w:rightChars="60" w:firstLine="484" w:firstLineChars="202"/>
        <w:rPr>
          <w:bCs/>
          <w:sz w:val="28"/>
          <w:szCs w:val="28"/>
          <w:highlight w:val="none"/>
        </w:rPr>
      </w:pPr>
      <w:sdt>
        <w:sdtPr>
          <w:rPr>
            <w:rFonts w:hint="eastAsia"/>
            <w:highlight w:val="none"/>
          </w:rPr>
          <w:tag w:val="tag42"/>
          <w:id w:val="42"/>
          <w15:appearance w15:val="hidden"/>
        </w:sdtPr>
        <w:sdtEndPr>
          <w:rPr>
            <w:rFonts w:hint="eastAsia"/>
            <w:highlight w:val="none"/>
          </w:rPr>
        </w:sdtEndPr>
        <w:sdtContent>
          <w:r>
            <w:rPr>
              <w:rFonts w:hint="eastAsia"/>
              <w:bCs/>
              <w:sz w:val="28"/>
              <w:szCs w:val="28"/>
              <w:highlight w:val="none"/>
            </w:rPr>
            <w:t>□</w:t>
          </w:r>
        </w:sdtContent>
      </w:sdt>
      <w:r>
        <w:rPr>
          <w:rFonts w:hint="eastAsia"/>
          <w:bCs/>
          <w:sz w:val="28"/>
          <w:szCs w:val="28"/>
          <w:highlight w:val="none"/>
        </w:rPr>
        <w:t xml:space="preserve"> 需求分析不晚于</w:t>
      </w:r>
      <w:bookmarkStart w:id="407" w:name="_Hlk45613472"/>
      <w:sdt>
        <w:sdtPr>
          <w:rPr>
            <w:rFonts w:hint="eastAsia"/>
            <w:highlight w:val="none"/>
          </w:rPr>
          <w:tag w:val="tag43"/>
          <w:id w:val="43"/>
          <w15:appearance w15:val="hidden"/>
        </w:sdtPr>
        <w:sdtEndPr>
          <w:rPr>
            <w:rFonts w:hint="eastAsia"/>
            <w:highlight w:val="none"/>
            <w:u w:val="single"/>
            <w:shd w:val="clear" w:color="auto" w:fill="FEF2CC" w:themeFill="accent4" w:themeFillTint="33"/>
          </w:rPr>
        </w:sdtEndPr>
        <w:sdtContent>
          <w:r>
            <w:rPr>
              <w:rFonts w:hint="eastAsia"/>
              <w:sz w:val="28"/>
              <w:szCs w:val="28"/>
              <w:highlight w:val="none"/>
              <w:u w:val="single"/>
              <w:shd w:val="clear" w:color="auto" w:fill="FEF2CC" w:themeFill="accent4" w:themeFillTint="33"/>
            </w:rPr>
            <w:t>[</w:t>
          </w:r>
          <w:r>
            <w:rPr>
              <w:rFonts w:hint="eastAsia"/>
              <w:bCs/>
              <w:sz w:val="28"/>
              <w:szCs w:val="28"/>
              <w:highlight w:val="none"/>
              <w:u w:val="single"/>
              <w:shd w:val="clear" w:color="auto" w:fill="FEF2CC" w:themeFill="accent4" w:themeFillTint="33"/>
            </w:rPr>
            <w:t>____</w:t>
          </w:r>
        </w:sdtContent>
      </w:sdt>
      <w:r>
        <w:rPr>
          <w:rFonts w:hint="eastAsia"/>
          <w:sz w:val="28"/>
          <w:szCs w:val="28"/>
          <w:highlight w:val="none"/>
          <w:u w:val="single"/>
          <w:shd w:val="clear" w:color="auto" w:fill="FEF2CC" w:themeFill="accent4" w:themeFillTint="33"/>
        </w:rPr>
        <w:t>]</w:t>
      </w:r>
      <w:bookmarkEnd w:id="407"/>
      <w:r>
        <w:rPr>
          <w:rFonts w:hint="eastAsia"/>
          <w:bCs/>
          <w:sz w:val="28"/>
          <w:szCs w:val="28"/>
          <w:highlight w:val="none"/>
        </w:rPr>
        <w:t>年</w:t>
      </w:r>
      <w:sdt>
        <w:sdtPr>
          <w:rPr>
            <w:rFonts w:hint="eastAsia"/>
            <w:highlight w:val="none"/>
          </w:rPr>
          <w:tag w:val="tag44"/>
          <w:id w:val="44"/>
          <w15:appearance w15:val="hidden"/>
        </w:sdtPr>
        <w:sdtEndPr>
          <w:rPr>
            <w:rFonts w:hint="eastAsia"/>
            <w:highlight w:val="none"/>
          </w:rPr>
        </w:sdtEndPr>
        <w:sdtContent>
          <w:sdt>
            <w:sdtPr>
              <w:rPr>
                <w:rFonts w:hint="eastAsia"/>
                <w:highlight w:val="none"/>
              </w:rPr>
              <w:tag w:val="tag43"/>
              <w:id w:val="95227513"/>
              <w15:appearance w15:val="hidden"/>
            </w:sdtPr>
            <w:sdtEndPr>
              <w:rPr>
                <w:rFonts w:hint="eastAsia"/>
                <w:highlight w:val="none"/>
                <w:u w:val="single"/>
                <w:shd w:val="clear" w:color="auto" w:fill="FEF2CC" w:themeFill="accent4" w:themeFillTint="33"/>
              </w:rPr>
            </w:sdtEndPr>
            <w:sdtContent>
              <w:r>
                <w:rPr>
                  <w:rFonts w:hint="eastAsia"/>
                  <w:sz w:val="28"/>
                  <w:szCs w:val="28"/>
                  <w:highlight w:val="none"/>
                  <w:u w:val="single"/>
                  <w:shd w:val="clear" w:color="auto" w:fill="FEF2CC" w:themeFill="accent4" w:themeFillTint="33"/>
                </w:rPr>
                <w:t>[</w:t>
              </w:r>
              <w:r>
                <w:rPr>
                  <w:rFonts w:hint="eastAsia"/>
                  <w:bCs/>
                  <w:sz w:val="28"/>
                  <w:szCs w:val="28"/>
                  <w:highlight w:val="none"/>
                  <w:u w:val="single"/>
                  <w:shd w:val="clear" w:color="auto" w:fill="FEF2CC" w:themeFill="accent4" w:themeFillTint="33"/>
                </w:rPr>
                <w:t>____</w:t>
              </w:r>
            </w:sdtContent>
          </w:sdt>
          <w:r>
            <w:rPr>
              <w:rFonts w:hint="eastAsia"/>
              <w:sz w:val="28"/>
              <w:szCs w:val="28"/>
              <w:highlight w:val="none"/>
              <w:u w:val="single"/>
              <w:shd w:val="clear" w:color="auto" w:fill="FEF2CC" w:themeFill="accent4" w:themeFillTint="33"/>
            </w:rPr>
            <w:t>]</w:t>
          </w:r>
        </w:sdtContent>
      </w:sdt>
      <w:r>
        <w:rPr>
          <w:rFonts w:hint="eastAsia"/>
          <w:bCs/>
          <w:sz w:val="28"/>
          <w:szCs w:val="28"/>
          <w:highlight w:val="none"/>
        </w:rPr>
        <w:t>月</w:t>
      </w:r>
      <w:sdt>
        <w:sdtPr>
          <w:rPr>
            <w:rFonts w:hint="eastAsia"/>
            <w:highlight w:val="none"/>
          </w:rPr>
          <w:tag w:val="tag45"/>
          <w:id w:val="45"/>
          <w15:appearance w15:val="hidden"/>
        </w:sdtPr>
        <w:sdtEndPr>
          <w:rPr>
            <w:rFonts w:hint="eastAsia"/>
            <w:highlight w:val="none"/>
          </w:rPr>
        </w:sdtEndPr>
        <w:sdtContent>
          <w:sdt>
            <w:sdtPr>
              <w:rPr>
                <w:rFonts w:hint="eastAsia"/>
                <w:highlight w:val="none"/>
              </w:rPr>
              <w:tag w:val="tag43"/>
              <w:id w:val="684794937"/>
              <w15:appearance w15:val="hidden"/>
            </w:sdtPr>
            <w:sdtEndPr>
              <w:rPr>
                <w:rFonts w:hint="eastAsia"/>
                <w:highlight w:val="none"/>
                <w:u w:val="single"/>
                <w:shd w:val="clear" w:color="auto" w:fill="FEF2CC" w:themeFill="accent4" w:themeFillTint="33"/>
              </w:rPr>
            </w:sdtEndPr>
            <w:sdtContent>
              <w:r>
                <w:rPr>
                  <w:rFonts w:hint="eastAsia"/>
                  <w:sz w:val="28"/>
                  <w:szCs w:val="28"/>
                  <w:highlight w:val="none"/>
                  <w:u w:val="single"/>
                  <w:shd w:val="clear" w:color="auto" w:fill="FEF2CC" w:themeFill="accent4" w:themeFillTint="33"/>
                </w:rPr>
                <w:t>[</w:t>
              </w:r>
              <w:r>
                <w:rPr>
                  <w:rFonts w:hint="eastAsia"/>
                  <w:bCs/>
                  <w:sz w:val="28"/>
                  <w:szCs w:val="28"/>
                  <w:highlight w:val="none"/>
                  <w:u w:val="single"/>
                  <w:shd w:val="clear" w:color="auto" w:fill="FEF2CC" w:themeFill="accent4" w:themeFillTint="33"/>
                </w:rPr>
                <w:t>____</w:t>
              </w:r>
            </w:sdtContent>
          </w:sdt>
          <w:r>
            <w:rPr>
              <w:rFonts w:hint="eastAsia"/>
              <w:sz w:val="28"/>
              <w:szCs w:val="28"/>
              <w:highlight w:val="none"/>
              <w:u w:val="single"/>
              <w:shd w:val="clear" w:color="auto" w:fill="FEF2CC" w:themeFill="accent4" w:themeFillTint="33"/>
            </w:rPr>
            <w:t>]</w:t>
          </w:r>
        </w:sdtContent>
      </w:sdt>
      <w:r>
        <w:rPr>
          <w:rFonts w:hint="eastAsia"/>
          <w:bCs/>
          <w:sz w:val="28"/>
          <w:szCs w:val="28"/>
          <w:highlight w:val="none"/>
        </w:rPr>
        <w:t>日完成</w:t>
      </w:r>
    </w:p>
    <w:p>
      <w:pPr>
        <w:ind w:right="-94" w:firstLine="484" w:firstLineChars="202"/>
        <w:rPr>
          <w:bCs/>
          <w:sz w:val="28"/>
          <w:szCs w:val="28"/>
          <w:highlight w:val="none"/>
        </w:rPr>
      </w:pPr>
      <w:sdt>
        <w:sdtPr>
          <w:rPr>
            <w:rFonts w:hint="eastAsia"/>
            <w:highlight w:val="none"/>
          </w:rPr>
          <w:tag w:val="tag46"/>
          <w:id w:val="46"/>
          <w15:appearance w15:val="hidden"/>
        </w:sdtPr>
        <w:sdtEndPr>
          <w:rPr>
            <w:rFonts w:hint="eastAsia"/>
            <w:highlight w:val="none"/>
          </w:rPr>
        </w:sdtEndPr>
        <w:sdtContent>
          <w:r>
            <w:rPr>
              <w:rFonts w:hint="eastAsia"/>
              <w:bCs/>
              <w:sz w:val="28"/>
              <w:szCs w:val="28"/>
              <w:highlight w:val="none"/>
            </w:rPr>
            <w:t>□</w:t>
          </w:r>
        </w:sdtContent>
      </w:sdt>
      <w:r>
        <w:rPr>
          <w:rFonts w:hint="eastAsia"/>
          <w:bCs/>
          <w:sz w:val="28"/>
          <w:szCs w:val="28"/>
          <w:highlight w:val="none"/>
        </w:rPr>
        <w:t xml:space="preserve"> 系统设计不晚于</w:t>
      </w:r>
      <w:sdt>
        <w:sdtPr>
          <w:rPr>
            <w:rFonts w:hint="eastAsia"/>
            <w:highlight w:val="none"/>
          </w:rPr>
          <w:tag w:val="tag47"/>
          <w:id w:val="47"/>
          <w15:appearance w15:val="hidden"/>
        </w:sdtPr>
        <w:sdtEndPr>
          <w:rPr>
            <w:rFonts w:hint="eastAsia"/>
            <w:highlight w:val="none"/>
          </w:rPr>
        </w:sdtEndPr>
        <w:sdtContent>
          <w:sdt>
            <w:sdtPr>
              <w:rPr>
                <w:rFonts w:hint="eastAsia"/>
                <w:highlight w:val="none"/>
              </w:rPr>
              <w:tag w:val="tag43"/>
              <w:id w:val="1464616441"/>
              <w15:appearance w15:val="hidden"/>
            </w:sdtPr>
            <w:sdtEndPr>
              <w:rPr>
                <w:rFonts w:hint="eastAsia"/>
                <w:highlight w:val="none"/>
                <w:u w:val="single"/>
                <w:shd w:val="clear" w:color="auto" w:fill="FEF2CC" w:themeFill="accent4" w:themeFillTint="33"/>
              </w:rPr>
            </w:sdtEndPr>
            <w:sdtContent>
              <w:r>
                <w:rPr>
                  <w:rFonts w:hint="eastAsia"/>
                  <w:sz w:val="28"/>
                  <w:szCs w:val="28"/>
                  <w:highlight w:val="none"/>
                  <w:u w:val="single"/>
                  <w:shd w:val="clear" w:color="auto" w:fill="FEF2CC" w:themeFill="accent4" w:themeFillTint="33"/>
                </w:rPr>
                <w:t>[</w:t>
              </w:r>
              <w:r>
                <w:rPr>
                  <w:rFonts w:hint="eastAsia"/>
                  <w:bCs/>
                  <w:sz w:val="28"/>
                  <w:szCs w:val="28"/>
                  <w:highlight w:val="none"/>
                  <w:u w:val="single"/>
                  <w:shd w:val="clear" w:color="auto" w:fill="FEF2CC" w:themeFill="accent4" w:themeFillTint="33"/>
                </w:rPr>
                <w:t>____</w:t>
              </w:r>
            </w:sdtContent>
          </w:sdt>
          <w:r>
            <w:rPr>
              <w:rFonts w:hint="eastAsia"/>
              <w:sz w:val="28"/>
              <w:szCs w:val="28"/>
              <w:highlight w:val="none"/>
              <w:u w:val="single"/>
              <w:shd w:val="clear" w:color="auto" w:fill="FEF2CC" w:themeFill="accent4" w:themeFillTint="33"/>
            </w:rPr>
            <w:t>]</w:t>
          </w:r>
        </w:sdtContent>
      </w:sdt>
      <w:r>
        <w:rPr>
          <w:rFonts w:hint="eastAsia"/>
          <w:bCs/>
          <w:sz w:val="28"/>
          <w:szCs w:val="28"/>
          <w:highlight w:val="none"/>
        </w:rPr>
        <w:t>年</w:t>
      </w:r>
      <w:sdt>
        <w:sdtPr>
          <w:rPr>
            <w:rFonts w:hint="eastAsia"/>
            <w:highlight w:val="none"/>
          </w:rPr>
          <w:tag w:val="tag48"/>
          <w:id w:val="48"/>
          <w15:appearance w15:val="hidden"/>
        </w:sdtPr>
        <w:sdtEndPr>
          <w:rPr>
            <w:rFonts w:hint="eastAsia"/>
            <w:highlight w:val="none"/>
          </w:rPr>
        </w:sdtEndPr>
        <w:sdtContent>
          <w:sdt>
            <w:sdtPr>
              <w:rPr>
                <w:rFonts w:hint="eastAsia"/>
                <w:highlight w:val="none"/>
              </w:rPr>
              <w:tag w:val="tag43"/>
              <w:id w:val="1656415066"/>
              <w15:appearance w15:val="hidden"/>
            </w:sdtPr>
            <w:sdtEndPr>
              <w:rPr>
                <w:rFonts w:hint="eastAsia"/>
                <w:highlight w:val="none"/>
                <w:u w:val="single"/>
                <w:shd w:val="clear" w:color="auto" w:fill="FEF2CC" w:themeFill="accent4" w:themeFillTint="33"/>
              </w:rPr>
            </w:sdtEndPr>
            <w:sdtContent>
              <w:r>
                <w:rPr>
                  <w:rFonts w:hint="eastAsia"/>
                  <w:sz w:val="28"/>
                  <w:szCs w:val="28"/>
                  <w:highlight w:val="none"/>
                  <w:u w:val="single"/>
                  <w:shd w:val="clear" w:color="auto" w:fill="FEF2CC" w:themeFill="accent4" w:themeFillTint="33"/>
                </w:rPr>
                <w:t>[</w:t>
              </w:r>
              <w:r>
                <w:rPr>
                  <w:rFonts w:hint="eastAsia"/>
                  <w:bCs/>
                  <w:sz w:val="28"/>
                  <w:szCs w:val="28"/>
                  <w:highlight w:val="none"/>
                  <w:u w:val="single"/>
                  <w:shd w:val="clear" w:color="auto" w:fill="FEF2CC" w:themeFill="accent4" w:themeFillTint="33"/>
                </w:rPr>
                <w:t>____</w:t>
              </w:r>
            </w:sdtContent>
          </w:sdt>
          <w:r>
            <w:rPr>
              <w:rFonts w:hint="eastAsia"/>
              <w:sz w:val="28"/>
              <w:szCs w:val="28"/>
              <w:highlight w:val="none"/>
              <w:u w:val="single"/>
              <w:shd w:val="clear" w:color="auto" w:fill="FEF2CC" w:themeFill="accent4" w:themeFillTint="33"/>
            </w:rPr>
            <w:t>]</w:t>
          </w:r>
        </w:sdtContent>
      </w:sdt>
      <w:r>
        <w:rPr>
          <w:rFonts w:hint="eastAsia"/>
          <w:bCs/>
          <w:sz w:val="28"/>
          <w:szCs w:val="28"/>
          <w:highlight w:val="none"/>
        </w:rPr>
        <w:t>月</w:t>
      </w:r>
      <w:sdt>
        <w:sdtPr>
          <w:rPr>
            <w:rFonts w:hint="eastAsia"/>
            <w:highlight w:val="none"/>
          </w:rPr>
          <w:tag w:val="tag49"/>
          <w:id w:val="49"/>
          <w15:appearance w15:val="hidden"/>
        </w:sdtPr>
        <w:sdtEndPr>
          <w:rPr>
            <w:rFonts w:hint="eastAsia"/>
            <w:highlight w:val="none"/>
          </w:rPr>
        </w:sdtEndPr>
        <w:sdtContent>
          <w:sdt>
            <w:sdtPr>
              <w:rPr>
                <w:rFonts w:hint="eastAsia"/>
                <w:highlight w:val="none"/>
              </w:rPr>
              <w:tag w:val="tag43"/>
              <w:id w:val="1983583517"/>
              <w15:appearance w15:val="hidden"/>
            </w:sdtPr>
            <w:sdtEndPr>
              <w:rPr>
                <w:rFonts w:hint="eastAsia"/>
                <w:highlight w:val="none"/>
                <w:u w:val="single"/>
                <w:shd w:val="clear" w:color="auto" w:fill="FEF2CC" w:themeFill="accent4" w:themeFillTint="33"/>
              </w:rPr>
            </w:sdtEndPr>
            <w:sdtContent>
              <w:r>
                <w:rPr>
                  <w:rFonts w:hint="eastAsia"/>
                  <w:sz w:val="28"/>
                  <w:szCs w:val="28"/>
                  <w:highlight w:val="none"/>
                  <w:u w:val="single"/>
                  <w:shd w:val="clear" w:color="auto" w:fill="FEF2CC" w:themeFill="accent4" w:themeFillTint="33"/>
                </w:rPr>
                <w:t>[</w:t>
              </w:r>
              <w:r>
                <w:rPr>
                  <w:rFonts w:hint="eastAsia"/>
                  <w:bCs/>
                  <w:sz w:val="28"/>
                  <w:szCs w:val="28"/>
                  <w:highlight w:val="none"/>
                  <w:u w:val="single"/>
                  <w:shd w:val="clear" w:color="auto" w:fill="FEF2CC" w:themeFill="accent4" w:themeFillTint="33"/>
                </w:rPr>
                <w:t>____</w:t>
              </w:r>
            </w:sdtContent>
          </w:sdt>
          <w:r>
            <w:rPr>
              <w:rFonts w:hint="eastAsia"/>
              <w:sz w:val="28"/>
              <w:szCs w:val="28"/>
              <w:highlight w:val="none"/>
              <w:u w:val="single"/>
              <w:shd w:val="clear" w:color="auto" w:fill="FEF2CC" w:themeFill="accent4" w:themeFillTint="33"/>
            </w:rPr>
            <w:t>]</w:t>
          </w:r>
        </w:sdtContent>
      </w:sdt>
      <w:r>
        <w:rPr>
          <w:rFonts w:hint="eastAsia"/>
          <w:bCs/>
          <w:sz w:val="28"/>
          <w:szCs w:val="28"/>
          <w:highlight w:val="none"/>
        </w:rPr>
        <w:t>日完成</w:t>
      </w:r>
    </w:p>
    <w:p>
      <w:pPr>
        <w:ind w:right="146" w:firstLine="484" w:firstLineChars="202"/>
        <w:rPr>
          <w:bCs/>
          <w:sz w:val="28"/>
          <w:szCs w:val="28"/>
          <w:highlight w:val="none"/>
        </w:rPr>
      </w:pPr>
      <w:sdt>
        <w:sdtPr>
          <w:rPr>
            <w:rFonts w:hint="eastAsia"/>
            <w:highlight w:val="none"/>
          </w:rPr>
          <w:tag w:val="tag50"/>
          <w:id w:val="50"/>
          <w15:appearance w15:val="hidden"/>
        </w:sdtPr>
        <w:sdtEndPr>
          <w:rPr>
            <w:rFonts w:hint="eastAsia"/>
            <w:highlight w:val="none"/>
          </w:rPr>
        </w:sdtEndPr>
        <w:sdtContent>
          <w:r>
            <w:rPr>
              <w:rFonts w:hint="eastAsia"/>
              <w:bCs/>
              <w:sz w:val="28"/>
              <w:szCs w:val="28"/>
              <w:highlight w:val="none"/>
            </w:rPr>
            <w:t>□</w:t>
          </w:r>
        </w:sdtContent>
      </w:sdt>
      <w:r>
        <w:rPr>
          <w:rFonts w:hint="eastAsia"/>
          <w:bCs/>
          <w:sz w:val="28"/>
          <w:szCs w:val="28"/>
          <w:highlight w:val="none"/>
        </w:rPr>
        <w:t xml:space="preserve"> 编码实现不晚于</w:t>
      </w:r>
      <w:sdt>
        <w:sdtPr>
          <w:rPr>
            <w:rFonts w:hint="eastAsia"/>
            <w:highlight w:val="none"/>
          </w:rPr>
          <w:tag w:val="tag51"/>
          <w:id w:val="51"/>
          <w15:appearance w15:val="hidden"/>
        </w:sdtPr>
        <w:sdtEndPr>
          <w:rPr>
            <w:rFonts w:hint="eastAsia"/>
            <w:highlight w:val="none"/>
          </w:rPr>
        </w:sdtEndPr>
        <w:sdtContent>
          <w:sdt>
            <w:sdtPr>
              <w:rPr>
                <w:rFonts w:hint="eastAsia"/>
                <w:highlight w:val="none"/>
              </w:rPr>
              <w:tag w:val="tag43"/>
              <w:id w:val="-915003905"/>
              <w15:appearance w15:val="hidden"/>
            </w:sdtPr>
            <w:sdtEndPr>
              <w:rPr>
                <w:rFonts w:hint="eastAsia"/>
                <w:highlight w:val="none"/>
                <w:u w:val="single"/>
                <w:shd w:val="clear" w:color="auto" w:fill="FEF2CC" w:themeFill="accent4" w:themeFillTint="33"/>
              </w:rPr>
            </w:sdtEndPr>
            <w:sdtContent>
              <w:r>
                <w:rPr>
                  <w:rFonts w:hint="eastAsia"/>
                  <w:sz w:val="28"/>
                  <w:szCs w:val="28"/>
                  <w:highlight w:val="none"/>
                  <w:u w:val="single"/>
                  <w:shd w:val="clear" w:color="auto" w:fill="FEF2CC" w:themeFill="accent4" w:themeFillTint="33"/>
                </w:rPr>
                <w:t>[</w:t>
              </w:r>
              <w:r>
                <w:rPr>
                  <w:rFonts w:hint="eastAsia"/>
                  <w:bCs/>
                  <w:sz w:val="28"/>
                  <w:szCs w:val="28"/>
                  <w:highlight w:val="none"/>
                  <w:u w:val="single"/>
                  <w:shd w:val="clear" w:color="auto" w:fill="FEF2CC" w:themeFill="accent4" w:themeFillTint="33"/>
                </w:rPr>
                <w:t>____</w:t>
              </w:r>
            </w:sdtContent>
          </w:sdt>
          <w:r>
            <w:rPr>
              <w:rFonts w:hint="eastAsia"/>
              <w:sz w:val="28"/>
              <w:szCs w:val="28"/>
              <w:highlight w:val="none"/>
              <w:u w:val="single"/>
              <w:shd w:val="clear" w:color="auto" w:fill="FEF2CC" w:themeFill="accent4" w:themeFillTint="33"/>
            </w:rPr>
            <w:t>]</w:t>
          </w:r>
        </w:sdtContent>
      </w:sdt>
      <w:r>
        <w:rPr>
          <w:rFonts w:hint="eastAsia"/>
          <w:bCs/>
          <w:sz w:val="28"/>
          <w:szCs w:val="28"/>
          <w:highlight w:val="none"/>
        </w:rPr>
        <w:t>年</w:t>
      </w:r>
      <w:sdt>
        <w:sdtPr>
          <w:rPr>
            <w:rFonts w:hint="eastAsia"/>
            <w:highlight w:val="none"/>
          </w:rPr>
          <w:tag w:val="tag52"/>
          <w:id w:val="52"/>
          <w15:appearance w15:val="hidden"/>
        </w:sdtPr>
        <w:sdtEndPr>
          <w:rPr>
            <w:rFonts w:hint="eastAsia"/>
            <w:highlight w:val="none"/>
          </w:rPr>
        </w:sdtEndPr>
        <w:sdtContent>
          <w:sdt>
            <w:sdtPr>
              <w:rPr>
                <w:rFonts w:hint="eastAsia"/>
                <w:highlight w:val="none"/>
              </w:rPr>
              <w:tag w:val="tag43"/>
              <w:id w:val="-389890112"/>
              <w15:appearance w15:val="hidden"/>
            </w:sdtPr>
            <w:sdtEndPr>
              <w:rPr>
                <w:rFonts w:hint="eastAsia"/>
                <w:highlight w:val="none"/>
                <w:u w:val="single"/>
                <w:shd w:val="clear" w:color="auto" w:fill="FEF2CC" w:themeFill="accent4" w:themeFillTint="33"/>
              </w:rPr>
            </w:sdtEndPr>
            <w:sdtContent>
              <w:r>
                <w:rPr>
                  <w:rFonts w:hint="eastAsia"/>
                  <w:sz w:val="28"/>
                  <w:szCs w:val="28"/>
                  <w:highlight w:val="none"/>
                  <w:u w:val="single"/>
                  <w:shd w:val="clear" w:color="auto" w:fill="FEF2CC" w:themeFill="accent4" w:themeFillTint="33"/>
                </w:rPr>
                <w:t>[</w:t>
              </w:r>
              <w:r>
                <w:rPr>
                  <w:rFonts w:hint="eastAsia"/>
                  <w:bCs/>
                  <w:sz w:val="28"/>
                  <w:szCs w:val="28"/>
                  <w:highlight w:val="none"/>
                  <w:u w:val="single"/>
                  <w:shd w:val="clear" w:color="auto" w:fill="FEF2CC" w:themeFill="accent4" w:themeFillTint="33"/>
                </w:rPr>
                <w:t>____</w:t>
              </w:r>
            </w:sdtContent>
          </w:sdt>
          <w:r>
            <w:rPr>
              <w:rFonts w:hint="eastAsia"/>
              <w:sz w:val="28"/>
              <w:szCs w:val="28"/>
              <w:highlight w:val="none"/>
              <w:u w:val="single"/>
              <w:shd w:val="clear" w:color="auto" w:fill="FEF2CC" w:themeFill="accent4" w:themeFillTint="33"/>
            </w:rPr>
            <w:t>]</w:t>
          </w:r>
        </w:sdtContent>
      </w:sdt>
      <w:r>
        <w:rPr>
          <w:rFonts w:hint="eastAsia"/>
          <w:bCs/>
          <w:sz w:val="28"/>
          <w:szCs w:val="28"/>
          <w:highlight w:val="none"/>
        </w:rPr>
        <w:t>月</w:t>
      </w:r>
      <w:sdt>
        <w:sdtPr>
          <w:rPr>
            <w:rFonts w:hint="eastAsia"/>
            <w:highlight w:val="none"/>
          </w:rPr>
          <w:tag w:val="tag53"/>
          <w:id w:val="53"/>
          <w15:appearance w15:val="hidden"/>
        </w:sdtPr>
        <w:sdtEndPr>
          <w:rPr>
            <w:rFonts w:hint="eastAsia"/>
            <w:highlight w:val="none"/>
          </w:rPr>
        </w:sdtEndPr>
        <w:sdtContent>
          <w:sdt>
            <w:sdtPr>
              <w:rPr>
                <w:rFonts w:hint="eastAsia"/>
                <w:highlight w:val="none"/>
              </w:rPr>
              <w:tag w:val="tag43"/>
              <w:id w:val="1034164737"/>
              <w15:appearance w15:val="hidden"/>
            </w:sdtPr>
            <w:sdtEndPr>
              <w:rPr>
                <w:rFonts w:hint="eastAsia"/>
                <w:highlight w:val="none"/>
                <w:u w:val="single"/>
                <w:shd w:val="clear" w:color="auto" w:fill="FEF2CC" w:themeFill="accent4" w:themeFillTint="33"/>
              </w:rPr>
            </w:sdtEndPr>
            <w:sdtContent>
              <w:r>
                <w:rPr>
                  <w:rFonts w:hint="eastAsia"/>
                  <w:sz w:val="28"/>
                  <w:szCs w:val="28"/>
                  <w:highlight w:val="none"/>
                  <w:u w:val="single"/>
                  <w:shd w:val="clear" w:color="auto" w:fill="FEF2CC" w:themeFill="accent4" w:themeFillTint="33"/>
                </w:rPr>
                <w:t>[</w:t>
              </w:r>
              <w:r>
                <w:rPr>
                  <w:rFonts w:hint="eastAsia"/>
                  <w:bCs/>
                  <w:sz w:val="28"/>
                  <w:szCs w:val="28"/>
                  <w:highlight w:val="none"/>
                  <w:u w:val="single"/>
                  <w:shd w:val="clear" w:color="auto" w:fill="FEF2CC" w:themeFill="accent4" w:themeFillTint="33"/>
                </w:rPr>
                <w:t>____</w:t>
              </w:r>
            </w:sdtContent>
          </w:sdt>
          <w:r>
            <w:rPr>
              <w:rFonts w:hint="eastAsia"/>
              <w:sz w:val="28"/>
              <w:szCs w:val="28"/>
              <w:highlight w:val="none"/>
              <w:u w:val="single"/>
              <w:shd w:val="clear" w:color="auto" w:fill="FEF2CC" w:themeFill="accent4" w:themeFillTint="33"/>
            </w:rPr>
            <w:t>]</w:t>
          </w:r>
        </w:sdtContent>
      </w:sdt>
      <w:r>
        <w:rPr>
          <w:rFonts w:hint="eastAsia"/>
          <w:bCs/>
          <w:sz w:val="28"/>
          <w:szCs w:val="28"/>
          <w:highlight w:val="none"/>
        </w:rPr>
        <w:t>日完成</w:t>
      </w:r>
    </w:p>
    <w:p>
      <w:pPr>
        <w:ind w:right="146" w:firstLine="484" w:firstLineChars="202"/>
        <w:rPr>
          <w:bCs/>
          <w:sz w:val="28"/>
          <w:szCs w:val="28"/>
          <w:highlight w:val="none"/>
        </w:rPr>
      </w:pPr>
      <w:sdt>
        <w:sdtPr>
          <w:rPr>
            <w:rFonts w:hint="eastAsia"/>
            <w:highlight w:val="none"/>
          </w:rPr>
          <w:tag w:val="tag54"/>
          <w:id w:val="54"/>
          <w15:appearance w15:val="hidden"/>
        </w:sdtPr>
        <w:sdtEndPr>
          <w:rPr>
            <w:rFonts w:hint="eastAsia"/>
            <w:highlight w:val="none"/>
          </w:rPr>
        </w:sdtEndPr>
        <w:sdtContent>
          <w:r>
            <w:rPr>
              <w:rFonts w:hint="eastAsia"/>
              <w:bCs/>
              <w:sz w:val="28"/>
              <w:szCs w:val="28"/>
              <w:highlight w:val="none"/>
            </w:rPr>
            <w:t>□</w:t>
          </w:r>
        </w:sdtContent>
      </w:sdt>
      <w:r>
        <w:rPr>
          <w:rFonts w:hint="eastAsia"/>
          <w:bCs/>
          <w:sz w:val="28"/>
          <w:szCs w:val="28"/>
          <w:highlight w:val="none"/>
        </w:rPr>
        <w:t xml:space="preserve"> 软件测试不晚于</w:t>
      </w:r>
      <w:bookmarkStart w:id="408" w:name="_Hlk480986110"/>
      <w:sdt>
        <w:sdtPr>
          <w:rPr>
            <w:rFonts w:hint="eastAsia"/>
            <w:highlight w:val="none"/>
          </w:rPr>
          <w:tag w:val="tag55"/>
          <w:id w:val="55"/>
          <w15:appearance w15:val="hidden"/>
        </w:sdtPr>
        <w:sdtEndPr>
          <w:rPr>
            <w:rFonts w:hint="eastAsia"/>
            <w:highlight w:val="none"/>
          </w:rPr>
        </w:sdtEndPr>
        <w:sdtContent>
          <w:sdt>
            <w:sdtPr>
              <w:rPr>
                <w:rFonts w:hint="eastAsia"/>
                <w:highlight w:val="none"/>
              </w:rPr>
              <w:tag w:val="tag43"/>
              <w:id w:val="1341738754"/>
              <w15:appearance w15:val="hidden"/>
            </w:sdtPr>
            <w:sdtEndPr>
              <w:rPr>
                <w:rFonts w:hint="eastAsia"/>
                <w:highlight w:val="none"/>
                <w:u w:val="single"/>
                <w:shd w:val="clear" w:color="auto" w:fill="FEF2CC" w:themeFill="accent4" w:themeFillTint="33"/>
              </w:rPr>
            </w:sdtEndPr>
            <w:sdtContent>
              <w:r>
                <w:rPr>
                  <w:rFonts w:hint="eastAsia"/>
                  <w:sz w:val="28"/>
                  <w:szCs w:val="28"/>
                  <w:highlight w:val="none"/>
                  <w:u w:val="single"/>
                  <w:shd w:val="clear" w:color="auto" w:fill="FEF2CC" w:themeFill="accent4" w:themeFillTint="33"/>
                </w:rPr>
                <w:t>[</w:t>
              </w:r>
              <w:r>
                <w:rPr>
                  <w:rFonts w:hint="eastAsia"/>
                  <w:bCs/>
                  <w:sz w:val="28"/>
                  <w:szCs w:val="28"/>
                  <w:highlight w:val="none"/>
                  <w:u w:val="single"/>
                  <w:shd w:val="clear" w:color="auto" w:fill="FEF2CC" w:themeFill="accent4" w:themeFillTint="33"/>
                </w:rPr>
                <w:t>____</w:t>
              </w:r>
            </w:sdtContent>
          </w:sdt>
          <w:r>
            <w:rPr>
              <w:rFonts w:hint="eastAsia"/>
              <w:sz w:val="28"/>
              <w:szCs w:val="28"/>
              <w:highlight w:val="none"/>
              <w:u w:val="single"/>
              <w:shd w:val="clear" w:color="auto" w:fill="FEF2CC" w:themeFill="accent4" w:themeFillTint="33"/>
            </w:rPr>
            <w:t>]</w:t>
          </w:r>
        </w:sdtContent>
      </w:sdt>
      <w:r>
        <w:rPr>
          <w:rFonts w:hint="eastAsia"/>
          <w:bCs/>
          <w:sz w:val="28"/>
          <w:szCs w:val="28"/>
          <w:highlight w:val="none"/>
        </w:rPr>
        <w:t>年</w:t>
      </w:r>
      <w:sdt>
        <w:sdtPr>
          <w:rPr>
            <w:rFonts w:hint="eastAsia"/>
            <w:highlight w:val="none"/>
          </w:rPr>
          <w:tag w:val="tag56"/>
          <w:id w:val="56"/>
          <w15:appearance w15:val="hidden"/>
        </w:sdtPr>
        <w:sdtEndPr>
          <w:rPr>
            <w:rFonts w:hint="eastAsia"/>
            <w:highlight w:val="none"/>
          </w:rPr>
        </w:sdtEndPr>
        <w:sdtContent>
          <w:sdt>
            <w:sdtPr>
              <w:rPr>
                <w:rFonts w:hint="eastAsia"/>
                <w:highlight w:val="none"/>
              </w:rPr>
              <w:tag w:val="tag43"/>
              <w:id w:val="1596592952"/>
              <w15:appearance w15:val="hidden"/>
            </w:sdtPr>
            <w:sdtEndPr>
              <w:rPr>
                <w:rFonts w:hint="eastAsia"/>
                <w:highlight w:val="none"/>
                <w:u w:val="single"/>
                <w:shd w:val="clear" w:color="auto" w:fill="FEF2CC" w:themeFill="accent4" w:themeFillTint="33"/>
              </w:rPr>
            </w:sdtEndPr>
            <w:sdtContent>
              <w:r>
                <w:rPr>
                  <w:rFonts w:hint="eastAsia"/>
                  <w:sz w:val="28"/>
                  <w:szCs w:val="28"/>
                  <w:highlight w:val="none"/>
                  <w:u w:val="single"/>
                  <w:shd w:val="clear" w:color="auto" w:fill="FEF2CC" w:themeFill="accent4" w:themeFillTint="33"/>
                </w:rPr>
                <w:t>[</w:t>
              </w:r>
              <w:r>
                <w:rPr>
                  <w:rFonts w:hint="eastAsia"/>
                  <w:bCs/>
                  <w:sz w:val="28"/>
                  <w:szCs w:val="28"/>
                  <w:highlight w:val="none"/>
                  <w:u w:val="single"/>
                  <w:shd w:val="clear" w:color="auto" w:fill="FEF2CC" w:themeFill="accent4" w:themeFillTint="33"/>
                </w:rPr>
                <w:t>____</w:t>
              </w:r>
            </w:sdtContent>
          </w:sdt>
          <w:r>
            <w:rPr>
              <w:rFonts w:hint="eastAsia"/>
              <w:sz w:val="28"/>
              <w:szCs w:val="28"/>
              <w:highlight w:val="none"/>
              <w:u w:val="single"/>
              <w:shd w:val="clear" w:color="auto" w:fill="FEF2CC" w:themeFill="accent4" w:themeFillTint="33"/>
            </w:rPr>
            <w:t>]</w:t>
          </w:r>
        </w:sdtContent>
      </w:sdt>
      <w:r>
        <w:rPr>
          <w:rFonts w:hint="eastAsia"/>
          <w:bCs/>
          <w:sz w:val="28"/>
          <w:szCs w:val="28"/>
          <w:highlight w:val="none"/>
        </w:rPr>
        <w:t>月</w:t>
      </w:r>
      <w:sdt>
        <w:sdtPr>
          <w:rPr>
            <w:rFonts w:hint="eastAsia"/>
            <w:highlight w:val="none"/>
          </w:rPr>
          <w:tag w:val="tag57"/>
          <w:id w:val="57"/>
          <w15:appearance w15:val="hidden"/>
        </w:sdtPr>
        <w:sdtEndPr>
          <w:rPr>
            <w:rFonts w:hint="eastAsia"/>
            <w:highlight w:val="none"/>
          </w:rPr>
        </w:sdtEndPr>
        <w:sdtContent>
          <w:sdt>
            <w:sdtPr>
              <w:rPr>
                <w:rFonts w:hint="eastAsia"/>
                <w:highlight w:val="none"/>
              </w:rPr>
              <w:tag w:val="tag43"/>
              <w:id w:val="922144639"/>
              <w15:appearance w15:val="hidden"/>
            </w:sdtPr>
            <w:sdtEndPr>
              <w:rPr>
                <w:rFonts w:hint="eastAsia"/>
                <w:highlight w:val="none"/>
                <w:u w:val="single"/>
                <w:shd w:val="clear" w:color="auto" w:fill="FEF2CC" w:themeFill="accent4" w:themeFillTint="33"/>
              </w:rPr>
            </w:sdtEndPr>
            <w:sdtContent>
              <w:r>
                <w:rPr>
                  <w:rFonts w:hint="eastAsia"/>
                  <w:sz w:val="28"/>
                  <w:szCs w:val="28"/>
                  <w:highlight w:val="none"/>
                  <w:u w:val="single"/>
                  <w:shd w:val="clear" w:color="auto" w:fill="FEF2CC" w:themeFill="accent4" w:themeFillTint="33"/>
                </w:rPr>
                <w:t>[</w:t>
              </w:r>
              <w:r>
                <w:rPr>
                  <w:rFonts w:hint="eastAsia"/>
                  <w:bCs/>
                  <w:sz w:val="28"/>
                  <w:szCs w:val="28"/>
                  <w:highlight w:val="none"/>
                  <w:u w:val="single"/>
                  <w:shd w:val="clear" w:color="auto" w:fill="FEF2CC" w:themeFill="accent4" w:themeFillTint="33"/>
                </w:rPr>
                <w:t>____</w:t>
              </w:r>
            </w:sdtContent>
          </w:sdt>
          <w:r>
            <w:rPr>
              <w:rFonts w:hint="eastAsia"/>
              <w:sz w:val="28"/>
              <w:szCs w:val="28"/>
              <w:highlight w:val="none"/>
              <w:u w:val="single"/>
              <w:shd w:val="clear" w:color="auto" w:fill="FEF2CC" w:themeFill="accent4" w:themeFillTint="33"/>
            </w:rPr>
            <w:t>]</w:t>
          </w:r>
        </w:sdtContent>
      </w:sdt>
      <w:r>
        <w:rPr>
          <w:rFonts w:hint="eastAsia"/>
          <w:bCs/>
          <w:sz w:val="28"/>
          <w:szCs w:val="28"/>
          <w:highlight w:val="none"/>
        </w:rPr>
        <w:t>日</w:t>
      </w:r>
      <w:bookmarkEnd w:id="408"/>
      <w:r>
        <w:rPr>
          <w:rFonts w:hint="eastAsia"/>
          <w:bCs/>
          <w:sz w:val="28"/>
          <w:szCs w:val="28"/>
          <w:highlight w:val="none"/>
        </w:rPr>
        <w:t>完成</w:t>
      </w:r>
    </w:p>
    <w:p>
      <w:pPr>
        <w:ind w:right="144" w:rightChars="60" w:firstLine="565" w:firstLineChars="202"/>
        <w:rPr>
          <w:bCs/>
          <w:sz w:val="28"/>
          <w:szCs w:val="28"/>
          <w:highlight w:val="none"/>
        </w:rPr>
      </w:pPr>
      <w:r>
        <w:rPr>
          <w:rFonts w:hint="eastAsia"/>
          <w:bCs/>
          <w:sz w:val="28"/>
          <w:szCs w:val="28"/>
          <w:highlight w:val="none"/>
        </w:rPr>
        <w:t>软件交付（系统试运行）不晚于</w:t>
      </w:r>
      <w:sdt>
        <w:sdtPr>
          <w:rPr>
            <w:rFonts w:hint="eastAsia"/>
            <w:highlight w:val="none"/>
          </w:rPr>
          <w:tag w:val="tag58"/>
          <w:id w:val="58"/>
          <w15:appearance w15:val="hidden"/>
        </w:sdtPr>
        <w:sdtEndPr>
          <w:rPr>
            <w:rFonts w:hint="eastAsia"/>
            <w:highlight w:val="none"/>
          </w:rPr>
        </w:sdtEndPr>
        <w:sdtContent>
          <w:sdt>
            <w:sdtPr>
              <w:rPr>
                <w:rFonts w:hint="eastAsia"/>
                <w:highlight w:val="none"/>
              </w:rPr>
              <w:tag w:val="tag43"/>
              <w:id w:val="1119652534"/>
              <w15:appearance w15:val="hidden"/>
            </w:sdtPr>
            <w:sdtEndPr>
              <w:rPr>
                <w:rFonts w:hint="eastAsia"/>
                <w:highlight w:val="none"/>
                <w:u w:val="single"/>
                <w:shd w:val="clear" w:color="auto" w:fill="FEF2CC" w:themeFill="accent4" w:themeFillTint="33"/>
              </w:rPr>
            </w:sdtEndPr>
            <w:sdtContent>
              <w:r>
                <w:rPr>
                  <w:rFonts w:hint="eastAsia"/>
                  <w:sz w:val="28"/>
                  <w:szCs w:val="28"/>
                  <w:highlight w:val="none"/>
                  <w:u w:val="single"/>
                  <w:shd w:val="clear" w:color="auto" w:fill="FEF2CC" w:themeFill="accent4" w:themeFillTint="33"/>
                </w:rPr>
                <w:t>[</w:t>
              </w:r>
              <w:r>
                <w:rPr>
                  <w:rFonts w:hint="eastAsia"/>
                  <w:bCs/>
                  <w:sz w:val="28"/>
                  <w:szCs w:val="28"/>
                  <w:highlight w:val="none"/>
                  <w:u w:val="single"/>
                  <w:shd w:val="clear" w:color="auto" w:fill="FEF2CC" w:themeFill="accent4" w:themeFillTint="33"/>
                </w:rPr>
                <w:t>____</w:t>
              </w:r>
            </w:sdtContent>
          </w:sdt>
          <w:r>
            <w:rPr>
              <w:rFonts w:hint="eastAsia"/>
              <w:sz w:val="28"/>
              <w:szCs w:val="28"/>
              <w:highlight w:val="none"/>
              <w:u w:val="single"/>
              <w:shd w:val="clear" w:color="auto" w:fill="FEF2CC" w:themeFill="accent4" w:themeFillTint="33"/>
            </w:rPr>
            <w:t>]</w:t>
          </w:r>
        </w:sdtContent>
      </w:sdt>
      <w:r>
        <w:rPr>
          <w:rFonts w:hint="eastAsia"/>
          <w:bCs/>
          <w:sz w:val="28"/>
          <w:szCs w:val="28"/>
          <w:highlight w:val="none"/>
        </w:rPr>
        <w:t>年</w:t>
      </w:r>
      <w:sdt>
        <w:sdtPr>
          <w:rPr>
            <w:rFonts w:hint="eastAsia"/>
            <w:highlight w:val="none"/>
          </w:rPr>
          <w:tag w:val="tag59"/>
          <w:id w:val="59"/>
          <w15:appearance w15:val="hidden"/>
        </w:sdtPr>
        <w:sdtEndPr>
          <w:rPr>
            <w:rFonts w:hint="eastAsia"/>
            <w:highlight w:val="none"/>
          </w:rPr>
        </w:sdtEndPr>
        <w:sdtContent>
          <w:sdt>
            <w:sdtPr>
              <w:rPr>
                <w:rFonts w:hint="eastAsia"/>
                <w:highlight w:val="none"/>
              </w:rPr>
              <w:tag w:val="tag43"/>
              <w:id w:val="1654946439"/>
              <w15:appearance w15:val="hidden"/>
            </w:sdtPr>
            <w:sdtEndPr>
              <w:rPr>
                <w:rFonts w:hint="eastAsia"/>
                <w:highlight w:val="none"/>
                <w:u w:val="single"/>
                <w:shd w:val="clear" w:color="auto" w:fill="FEF2CC" w:themeFill="accent4" w:themeFillTint="33"/>
              </w:rPr>
            </w:sdtEndPr>
            <w:sdtContent>
              <w:r>
                <w:rPr>
                  <w:rFonts w:hint="eastAsia"/>
                  <w:sz w:val="28"/>
                  <w:szCs w:val="28"/>
                  <w:highlight w:val="none"/>
                  <w:u w:val="single"/>
                  <w:shd w:val="clear" w:color="auto" w:fill="FEF2CC" w:themeFill="accent4" w:themeFillTint="33"/>
                </w:rPr>
                <w:t>[</w:t>
              </w:r>
              <w:r>
                <w:rPr>
                  <w:rFonts w:hint="eastAsia"/>
                  <w:bCs/>
                  <w:sz w:val="28"/>
                  <w:szCs w:val="28"/>
                  <w:highlight w:val="none"/>
                  <w:u w:val="single"/>
                  <w:shd w:val="clear" w:color="auto" w:fill="FEF2CC" w:themeFill="accent4" w:themeFillTint="33"/>
                </w:rPr>
                <w:t>____</w:t>
              </w:r>
            </w:sdtContent>
          </w:sdt>
          <w:r>
            <w:rPr>
              <w:rFonts w:hint="eastAsia"/>
              <w:sz w:val="28"/>
              <w:szCs w:val="28"/>
              <w:highlight w:val="none"/>
              <w:u w:val="single"/>
              <w:shd w:val="clear" w:color="auto" w:fill="FEF2CC" w:themeFill="accent4" w:themeFillTint="33"/>
            </w:rPr>
            <w:t>]</w:t>
          </w:r>
        </w:sdtContent>
      </w:sdt>
      <w:r>
        <w:rPr>
          <w:rFonts w:hint="eastAsia"/>
          <w:bCs/>
          <w:sz w:val="28"/>
          <w:szCs w:val="28"/>
          <w:highlight w:val="none"/>
        </w:rPr>
        <w:t>月</w:t>
      </w:r>
      <w:sdt>
        <w:sdtPr>
          <w:rPr>
            <w:rFonts w:hint="eastAsia"/>
            <w:highlight w:val="none"/>
          </w:rPr>
          <w:tag w:val="tag60"/>
          <w:id w:val="60"/>
          <w15:appearance w15:val="hidden"/>
        </w:sdtPr>
        <w:sdtEndPr>
          <w:rPr>
            <w:rFonts w:hint="eastAsia"/>
            <w:highlight w:val="none"/>
          </w:rPr>
        </w:sdtEndPr>
        <w:sdtContent>
          <w:sdt>
            <w:sdtPr>
              <w:rPr>
                <w:rFonts w:hint="eastAsia"/>
                <w:highlight w:val="none"/>
              </w:rPr>
              <w:tag w:val="tag43"/>
              <w:id w:val="1061672138"/>
              <w15:appearance w15:val="hidden"/>
            </w:sdtPr>
            <w:sdtEndPr>
              <w:rPr>
                <w:rFonts w:hint="eastAsia"/>
                <w:highlight w:val="none"/>
                <w:u w:val="single"/>
                <w:shd w:val="clear" w:color="auto" w:fill="FEF2CC" w:themeFill="accent4" w:themeFillTint="33"/>
              </w:rPr>
            </w:sdtEndPr>
            <w:sdtContent>
              <w:r>
                <w:rPr>
                  <w:rFonts w:hint="eastAsia"/>
                  <w:sz w:val="28"/>
                  <w:szCs w:val="28"/>
                  <w:highlight w:val="none"/>
                  <w:u w:val="single"/>
                  <w:shd w:val="clear" w:color="auto" w:fill="FEF2CC" w:themeFill="accent4" w:themeFillTint="33"/>
                </w:rPr>
                <w:t>[</w:t>
              </w:r>
              <w:r>
                <w:rPr>
                  <w:rFonts w:hint="eastAsia"/>
                  <w:bCs/>
                  <w:sz w:val="28"/>
                  <w:szCs w:val="28"/>
                  <w:highlight w:val="none"/>
                  <w:u w:val="single"/>
                  <w:shd w:val="clear" w:color="auto" w:fill="FEF2CC" w:themeFill="accent4" w:themeFillTint="33"/>
                </w:rPr>
                <w:t>____</w:t>
              </w:r>
            </w:sdtContent>
          </w:sdt>
          <w:r>
            <w:rPr>
              <w:rFonts w:hint="eastAsia"/>
              <w:sz w:val="28"/>
              <w:szCs w:val="28"/>
              <w:highlight w:val="none"/>
              <w:u w:val="single"/>
              <w:shd w:val="clear" w:color="auto" w:fill="FEF2CC" w:themeFill="accent4" w:themeFillTint="33"/>
            </w:rPr>
            <w:t>]</w:t>
          </w:r>
        </w:sdtContent>
      </w:sdt>
      <w:r>
        <w:rPr>
          <w:rFonts w:hint="eastAsia"/>
          <w:bCs/>
          <w:sz w:val="28"/>
          <w:szCs w:val="28"/>
          <w:highlight w:val="none"/>
        </w:rPr>
        <w:t>日完成。</w:t>
      </w:r>
    </w:p>
    <w:p>
      <w:pPr>
        <w:ind w:left="487" w:leftChars="203" w:right="144" w:rightChars="60" w:firstLine="140" w:firstLineChars="50"/>
        <w:rPr>
          <w:bCs/>
          <w:sz w:val="28"/>
          <w:szCs w:val="28"/>
          <w:highlight w:val="none"/>
        </w:rPr>
      </w:pPr>
      <w:r>
        <w:rPr>
          <w:rFonts w:hint="eastAsia"/>
          <w:bCs/>
          <w:sz w:val="28"/>
          <w:szCs w:val="28"/>
          <w:highlight w:val="none"/>
        </w:rPr>
        <w:t>3.4软件免费维护期</w:t>
      </w:r>
    </w:p>
    <w:p>
      <w:pPr>
        <w:ind w:right="144" w:rightChars="60" w:firstLine="560" w:firstLineChars="200"/>
        <w:rPr>
          <w:bCs/>
          <w:sz w:val="28"/>
          <w:szCs w:val="28"/>
          <w:highlight w:val="none"/>
        </w:rPr>
      </w:pPr>
      <w:r>
        <w:rPr>
          <w:rFonts w:hint="eastAsia"/>
          <w:bCs/>
          <w:sz w:val="28"/>
          <w:szCs w:val="28"/>
          <w:highlight w:val="none"/>
        </w:rPr>
        <w:t>本项目软件免费维护期从项目初步验收合格之日起计算，为期</w:t>
      </w:r>
      <w:sdt>
        <w:sdtPr>
          <w:rPr>
            <w:rFonts w:hint="eastAsia"/>
            <w:highlight w:val="none"/>
          </w:rPr>
          <w:tag w:val="tag61"/>
          <w:id w:val="61"/>
          <w15:appearance w15:val="hidden"/>
        </w:sdtPr>
        <w:sdtEndPr>
          <w:rPr>
            <w:rFonts w:hint="eastAsia"/>
            <w:highlight w:val="none"/>
          </w:rPr>
        </w:sdtEndPr>
        <w:sdtContent>
          <w:sdt>
            <w:sdtPr>
              <w:rPr>
                <w:rFonts w:hint="eastAsia"/>
                <w:highlight w:val="none"/>
              </w:rPr>
              <w:tag w:val="tag43"/>
              <w:id w:val="237294508"/>
              <w15:appearance w15:val="hidden"/>
            </w:sdtPr>
            <w:sdtEndPr>
              <w:rPr>
                <w:rFonts w:hint="eastAsia"/>
                <w:highlight w:val="none"/>
                <w:u w:val="single"/>
                <w:shd w:val="clear" w:color="auto" w:fill="FEF2CC" w:themeFill="accent4" w:themeFillTint="33"/>
              </w:rPr>
            </w:sdtEndPr>
            <w:sdtContent>
              <w:r>
                <w:rPr>
                  <w:rFonts w:hint="eastAsia"/>
                  <w:sz w:val="28"/>
                  <w:szCs w:val="28"/>
                  <w:highlight w:val="none"/>
                  <w:u w:val="single"/>
                  <w:shd w:val="clear" w:color="auto" w:fill="FEF2CC" w:themeFill="accent4" w:themeFillTint="33"/>
                </w:rPr>
                <w:t>[</w:t>
              </w:r>
              <w:r>
                <w:rPr>
                  <w:rFonts w:hint="eastAsia"/>
                  <w:bCs/>
                  <w:sz w:val="28"/>
                  <w:szCs w:val="28"/>
                  <w:highlight w:val="none"/>
                  <w:u w:val="single"/>
                  <w:shd w:val="clear" w:color="auto" w:fill="FEF2CC" w:themeFill="accent4" w:themeFillTint="33"/>
                </w:rPr>
                <w:t>____</w:t>
              </w:r>
            </w:sdtContent>
          </w:sdt>
          <w:r>
            <w:rPr>
              <w:rFonts w:hint="eastAsia"/>
              <w:sz w:val="28"/>
              <w:szCs w:val="28"/>
              <w:highlight w:val="none"/>
              <w:u w:val="single"/>
              <w:shd w:val="clear" w:color="auto" w:fill="FEF2CC" w:themeFill="accent4" w:themeFillTint="33"/>
            </w:rPr>
            <w:t>]</w:t>
          </w:r>
        </w:sdtContent>
      </w:sdt>
      <w:r>
        <w:rPr>
          <w:rFonts w:hint="eastAsia"/>
          <w:bCs/>
          <w:sz w:val="28"/>
          <w:szCs w:val="28"/>
          <w:highlight w:val="none"/>
        </w:rPr>
        <w:t>年。在软件免费维护期内，乙方应免费向甲方提供软件系统的改正性维护、适应性维护、完善性维护等服务。</w:t>
      </w:r>
    </w:p>
    <w:p>
      <w:pPr>
        <w:numPr>
          <w:ilvl w:val="0"/>
          <w:numId w:val="156"/>
        </w:numPr>
        <w:spacing w:after="0" w:line="240" w:lineRule="auto"/>
        <w:ind w:left="0" w:right="144" w:rightChars="60" w:firstLine="281" w:firstLineChars="100"/>
        <w:rPr>
          <w:b/>
          <w:sz w:val="28"/>
          <w:szCs w:val="28"/>
          <w:highlight w:val="none"/>
        </w:rPr>
      </w:pPr>
      <w:r>
        <w:rPr>
          <w:rFonts w:hint="eastAsia"/>
          <w:b/>
          <w:sz w:val="28"/>
          <w:szCs w:val="28"/>
          <w:highlight w:val="none"/>
        </w:rPr>
        <w:t>技术文件</w:t>
      </w:r>
    </w:p>
    <w:p>
      <w:pPr>
        <w:ind w:right="144" w:rightChars="60" w:firstLine="560" w:firstLineChars="200"/>
        <w:rPr>
          <w:bCs/>
          <w:sz w:val="28"/>
          <w:szCs w:val="28"/>
          <w:highlight w:val="none"/>
        </w:rPr>
      </w:pPr>
      <w:r>
        <w:rPr>
          <w:rFonts w:hint="eastAsia"/>
          <w:bCs/>
          <w:sz w:val="28"/>
          <w:szCs w:val="28"/>
          <w:highlight w:val="none"/>
        </w:rPr>
        <w:t>4.1乙方应在供货同时向甲方提供所有有关本合同执行的技术文件。如果项目必需但合同未作规定的要乙方才能提供的技术文件，乙方也应及时向甲方提供。</w:t>
      </w:r>
    </w:p>
    <w:p>
      <w:pPr>
        <w:ind w:right="144" w:rightChars="60" w:firstLine="560" w:firstLineChars="200"/>
        <w:rPr>
          <w:bCs/>
          <w:sz w:val="28"/>
          <w:szCs w:val="28"/>
          <w:highlight w:val="none"/>
        </w:rPr>
      </w:pPr>
      <w:r>
        <w:rPr>
          <w:rFonts w:hint="eastAsia"/>
          <w:bCs/>
          <w:sz w:val="28"/>
          <w:szCs w:val="28"/>
          <w:highlight w:val="none"/>
        </w:rPr>
        <w:t>4.2上述技术文件应包含保证甲方能够正确进行安装、操作、检查、维修、维护、测试、调试、验收和运作的需要的所有内容。</w:t>
      </w:r>
    </w:p>
    <w:p>
      <w:pPr>
        <w:ind w:right="144" w:rightChars="60" w:firstLine="560" w:firstLineChars="200"/>
        <w:rPr>
          <w:bCs/>
          <w:sz w:val="28"/>
          <w:szCs w:val="28"/>
          <w:highlight w:val="none"/>
        </w:rPr>
      </w:pPr>
      <w:r>
        <w:rPr>
          <w:rFonts w:hint="eastAsia"/>
          <w:bCs/>
          <w:sz w:val="28"/>
          <w:szCs w:val="28"/>
          <w:highlight w:val="none"/>
        </w:rPr>
        <w:t>4.3甲方按照技术文件的指导进行的任何安装、操作、检查维修、维护、测试、调试、验收所引起的系统和/或货物或其部件的损坏，由乙方在接到甲方通知之日起1日内承担更换或维修责任。</w:t>
      </w:r>
    </w:p>
    <w:p>
      <w:pPr>
        <w:ind w:right="144" w:rightChars="60" w:firstLine="560" w:firstLineChars="200"/>
        <w:rPr>
          <w:bCs/>
          <w:sz w:val="28"/>
          <w:szCs w:val="28"/>
          <w:highlight w:val="none"/>
        </w:rPr>
      </w:pPr>
      <w:r>
        <w:rPr>
          <w:rFonts w:hint="eastAsia"/>
          <w:bCs/>
          <w:sz w:val="28"/>
          <w:szCs w:val="28"/>
          <w:highlight w:val="none"/>
        </w:rPr>
        <w:t>4.4乙方应按照甲方的要求提供上述技术文件一式两套给甲方。</w:t>
      </w:r>
    </w:p>
    <w:p>
      <w:pPr>
        <w:ind w:right="144" w:rightChars="60" w:firstLine="560" w:firstLineChars="200"/>
        <w:rPr>
          <w:bCs/>
          <w:sz w:val="28"/>
          <w:szCs w:val="28"/>
          <w:highlight w:val="none"/>
        </w:rPr>
      </w:pPr>
      <w:r>
        <w:rPr>
          <w:rFonts w:hint="eastAsia"/>
          <w:bCs/>
          <w:sz w:val="28"/>
          <w:szCs w:val="28"/>
          <w:highlight w:val="none"/>
        </w:rPr>
        <w:t>4.5所有乙方提供的技术文件的全部费用已包含在合同总价中。</w:t>
      </w:r>
    </w:p>
    <w:p>
      <w:pPr>
        <w:ind w:right="144" w:rightChars="60" w:firstLine="560" w:firstLineChars="200"/>
        <w:rPr>
          <w:bCs/>
          <w:sz w:val="28"/>
          <w:szCs w:val="28"/>
          <w:highlight w:val="none"/>
        </w:rPr>
      </w:pPr>
      <w:r>
        <w:rPr>
          <w:rFonts w:hint="eastAsia"/>
          <w:bCs/>
          <w:sz w:val="28"/>
          <w:szCs w:val="28"/>
          <w:highlight w:val="none"/>
        </w:rPr>
        <w:t>4.6乙方在交货时未同时向甲方提供上述技术文件的，甲方有权终止付款，直至乙方补齐有关文件为止。由此造成项目安装调试、试运行、验收时间延误的，乙方应承担违约责任。</w:t>
      </w:r>
    </w:p>
    <w:p>
      <w:pPr>
        <w:ind w:right="144" w:rightChars="60" w:firstLine="560" w:firstLineChars="200"/>
        <w:rPr>
          <w:bCs/>
          <w:sz w:val="28"/>
          <w:szCs w:val="28"/>
          <w:highlight w:val="none"/>
        </w:rPr>
      </w:pPr>
      <w:r>
        <w:rPr>
          <w:rFonts w:hint="eastAsia"/>
          <w:bCs/>
          <w:sz w:val="28"/>
          <w:szCs w:val="28"/>
          <w:highlight w:val="none"/>
        </w:rPr>
        <w:t>4.7提交软件相关的技术文档（包括但不限于）：</w:t>
      </w:r>
    </w:p>
    <w:p>
      <w:pPr>
        <w:ind w:left="487" w:leftChars="203" w:right="144" w:rightChars="60" w:firstLine="140" w:firstLineChars="50"/>
        <w:rPr>
          <w:bCs/>
          <w:sz w:val="28"/>
          <w:szCs w:val="28"/>
          <w:highlight w:val="none"/>
        </w:rPr>
      </w:pPr>
      <w:r>
        <w:rPr>
          <w:rFonts w:hint="eastAsia"/>
          <w:bCs/>
          <w:sz w:val="28"/>
          <w:szCs w:val="28"/>
          <w:highlight w:val="none"/>
        </w:rPr>
        <w:t>□封存后的软件源代码</w:t>
      </w:r>
    </w:p>
    <w:p>
      <w:pPr>
        <w:ind w:left="487" w:leftChars="203" w:right="144" w:rightChars="60" w:firstLine="140" w:firstLineChars="50"/>
        <w:rPr>
          <w:bCs/>
          <w:sz w:val="28"/>
          <w:szCs w:val="28"/>
          <w:highlight w:val="none"/>
        </w:rPr>
      </w:pPr>
      <w:r>
        <w:rPr>
          <w:rFonts w:hint="eastAsia"/>
          <w:bCs/>
          <w:sz w:val="28"/>
          <w:szCs w:val="28"/>
          <w:highlight w:val="none"/>
        </w:rPr>
        <w:t>□需求规格说明书</w:t>
      </w:r>
    </w:p>
    <w:p>
      <w:pPr>
        <w:ind w:left="487" w:leftChars="203" w:right="144" w:rightChars="60" w:firstLine="140" w:firstLineChars="50"/>
        <w:rPr>
          <w:bCs/>
          <w:sz w:val="28"/>
          <w:szCs w:val="28"/>
          <w:highlight w:val="none"/>
        </w:rPr>
      </w:pPr>
      <w:r>
        <w:rPr>
          <w:rFonts w:hint="eastAsia"/>
          <w:bCs/>
          <w:sz w:val="28"/>
          <w:szCs w:val="28"/>
          <w:highlight w:val="none"/>
        </w:rPr>
        <w:t>□系统概要设计方案</w:t>
      </w:r>
    </w:p>
    <w:p>
      <w:pPr>
        <w:ind w:left="487" w:leftChars="203" w:right="144" w:rightChars="60" w:firstLine="140" w:firstLineChars="50"/>
        <w:rPr>
          <w:bCs/>
          <w:sz w:val="28"/>
          <w:szCs w:val="28"/>
          <w:highlight w:val="none"/>
        </w:rPr>
      </w:pPr>
      <w:r>
        <w:rPr>
          <w:rFonts w:hint="eastAsia"/>
          <w:bCs/>
          <w:sz w:val="28"/>
          <w:szCs w:val="28"/>
          <w:highlight w:val="none"/>
        </w:rPr>
        <w:t>□功能规格说明书</w:t>
      </w:r>
    </w:p>
    <w:p>
      <w:pPr>
        <w:ind w:left="487" w:leftChars="203" w:right="144" w:rightChars="60" w:firstLine="140" w:firstLineChars="50"/>
        <w:rPr>
          <w:bCs/>
          <w:sz w:val="28"/>
          <w:szCs w:val="28"/>
          <w:highlight w:val="none"/>
        </w:rPr>
      </w:pPr>
      <w:r>
        <w:rPr>
          <w:rFonts w:hint="eastAsia"/>
          <w:bCs/>
          <w:sz w:val="28"/>
          <w:szCs w:val="28"/>
          <w:highlight w:val="none"/>
        </w:rPr>
        <w:t>□系统详细设计说明书数据库设计说明（包含编码方案）</w:t>
      </w:r>
    </w:p>
    <w:p>
      <w:pPr>
        <w:ind w:left="487" w:leftChars="203" w:right="144" w:rightChars="60" w:firstLine="140" w:firstLineChars="50"/>
        <w:rPr>
          <w:bCs/>
          <w:sz w:val="28"/>
          <w:szCs w:val="28"/>
          <w:highlight w:val="none"/>
        </w:rPr>
      </w:pPr>
      <w:r>
        <w:rPr>
          <w:rFonts w:hint="eastAsia"/>
          <w:bCs/>
          <w:sz w:val="28"/>
          <w:szCs w:val="28"/>
          <w:highlight w:val="none"/>
        </w:rPr>
        <w:t>□用户操作手册</w:t>
      </w:r>
    </w:p>
    <w:p>
      <w:pPr>
        <w:ind w:left="487" w:leftChars="203" w:right="144" w:rightChars="60" w:firstLine="140" w:firstLineChars="50"/>
        <w:rPr>
          <w:bCs/>
          <w:sz w:val="28"/>
          <w:szCs w:val="28"/>
          <w:highlight w:val="none"/>
        </w:rPr>
      </w:pPr>
      <w:r>
        <w:rPr>
          <w:rFonts w:hint="eastAsia"/>
          <w:bCs/>
          <w:sz w:val="28"/>
          <w:szCs w:val="28"/>
          <w:highlight w:val="none"/>
        </w:rPr>
        <w:t>□系统维护手册</w:t>
      </w:r>
    </w:p>
    <w:p>
      <w:pPr>
        <w:ind w:left="487" w:leftChars="203" w:right="144" w:rightChars="60" w:firstLine="140" w:firstLineChars="50"/>
        <w:rPr>
          <w:bCs/>
          <w:sz w:val="28"/>
          <w:szCs w:val="28"/>
          <w:highlight w:val="none"/>
        </w:rPr>
      </w:pPr>
      <w:r>
        <w:rPr>
          <w:rFonts w:hint="eastAsia"/>
          <w:bCs/>
          <w:sz w:val="28"/>
          <w:szCs w:val="28"/>
          <w:highlight w:val="none"/>
        </w:rPr>
        <w:t>□测试报告</w:t>
      </w:r>
    </w:p>
    <w:p>
      <w:pPr>
        <w:ind w:left="487" w:leftChars="203" w:right="144" w:rightChars="60" w:firstLine="140" w:firstLineChars="50"/>
        <w:rPr>
          <w:bCs/>
          <w:sz w:val="28"/>
          <w:szCs w:val="28"/>
          <w:highlight w:val="none"/>
        </w:rPr>
      </w:pPr>
      <w:r>
        <w:rPr>
          <w:rFonts w:hint="eastAsia"/>
          <w:bCs/>
          <w:sz w:val="28"/>
          <w:szCs w:val="28"/>
          <w:highlight w:val="none"/>
        </w:rPr>
        <w:t>□软件配置计划</w:t>
      </w:r>
    </w:p>
    <w:p>
      <w:pPr>
        <w:ind w:right="144" w:rightChars="60" w:firstLine="560" w:firstLineChars="200"/>
        <w:rPr>
          <w:b/>
          <w:sz w:val="28"/>
          <w:szCs w:val="28"/>
          <w:highlight w:val="none"/>
        </w:rPr>
      </w:pPr>
      <w:r>
        <w:rPr>
          <w:rFonts w:hint="eastAsia"/>
          <w:bCs/>
          <w:sz w:val="28"/>
          <w:szCs w:val="28"/>
          <w:highlight w:val="none"/>
        </w:rPr>
        <w:t>□质量保证计划</w:t>
      </w:r>
    </w:p>
    <w:p>
      <w:pPr>
        <w:numPr>
          <w:ilvl w:val="0"/>
          <w:numId w:val="156"/>
        </w:numPr>
        <w:spacing w:after="0" w:line="240" w:lineRule="auto"/>
        <w:ind w:left="0" w:right="144" w:rightChars="60" w:firstLine="281" w:firstLineChars="100"/>
        <w:rPr>
          <w:b/>
          <w:sz w:val="28"/>
          <w:szCs w:val="28"/>
          <w:highlight w:val="none"/>
        </w:rPr>
      </w:pPr>
      <w:r>
        <w:rPr>
          <w:rFonts w:hint="eastAsia"/>
          <w:b/>
          <w:sz w:val="28"/>
          <w:szCs w:val="28"/>
          <w:highlight w:val="none"/>
        </w:rPr>
        <w:t>软件开发管理</w:t>
      </w:r>
    </w:p>
    <w:p>
      <w:pPr>
        <w:ind w:right="144" w:rightChars="60" w:firstLine="565" w:firstLineChars="202"/>
        <w:rPr>
          <w:bCs/>
          <w:sz w:val="28"/>
          <w:szCs w:val="28"/>
          <w:highlight w:val="none"/>
        </w:rPr>
      </w:pPr>
      <w:r>
        <w:rPr>
          <w:rFonts w:hint="eastAsia"/>
          <w:bCs/>
          <w:sz w:val="28"/>
          <w:szCs w:val="28"/>
          <w:highlight w:val="none"/>
        </w:rPr>
        <w:t>5.1自本合同签订之日起，乙方应履行其在实施计划和合同中所规定的义务，按时、保质完成每一阶段开发任务并提供交付物。</w:t>
      </w:r>
    </w:p>
    <w:p>
      <w:pPr>
        <w:ind w:right="144" w:rightChars="60" w:firstLine="565" w:firstLineChars="202"/>
        <w:rPr>
          <w:bCs/>
          <w:sz w:val="28"/>
          <w:szCs w:val="28"/>
          <w:highlight w:val="none"/>
        </w:rPr>
      </w:pPr>
      <w:r>
        <w:rPr>
          <w:rFonts w:hint="eastAsia"/>
          <w:bCs/>
          <w:sz w:val="28"/>
          <w:szCs w:val="28"/>
          <w:highlight w:val="none"/>
        </w:rPr>
        <w:t>5.2转包及分包</w:t>
      </w:r>
    </w:p>
    <w:p>
      <w:pPr>
        <w:ind w:right="144" w:rightChars="60" w:firstLine="484" w:firstLineChars="202"/>
        <w:rPr>
          <w:bCs/>
          <w:sz w:val="28"/>
          <w:szCs w:val="28"/>
          <w:highlight w:val="none"/>
        </w:rPr>
      </w:pPr>
      <w:sdt>
        <w:sdtPr>
          <w:rPr>
            <w:rFonts w:hint="eastAsia"/>
            <w:highlight w:val="none"/>
          </w:rPr>
          <w:tag w:val="tag89"/>
          <w:id w:val="89"/>
          <w15:appearance w15:val="hidden"/>
        </w:sdtPr>
        <w:sdtEndPr>
          <w:rPr>
            <w:rFonts w:hint="eastAsia"/>
            <w:highlight w:val="none"/>
          </w:rPr>
        </w:sdtEndPr>
        <w:sdtContent>
          <w:r>
            <w:rPr>
              <w:rFonts w:hint="eastAsia"/>
              <w:bCs/>
              <w:sz w:val="28"/>
              <w:szCs w:val="28"/>
              <w:highlight w:val="none"/>
            </w:rPr>
            <w:t>□</w:t>
          </w:r>
        </w:sdtContent>
      </w:sdt>
      <w:r>
        <w:rPr>
          <w:rFonts w:hint="eastAsia"/>
          <w:bCs/>
          <w:sz w:val="28"/>
          <w:szCs w:val="28"/>
          <w:highlight w:val="none"/>
        </w:rPr>
        <w:t>本合同项下的项目禁止全部或拆分后转包、分包。</w:t>
      </w:r>
    </w:p>
    <w:p>
      <w:pPr>
        <w:ind w:right="144" w:rightChars="60" w:firstLine="484" w:firstLineChars="202"/>
        <w:rPr>
          <w:bCs/>
          <w:sz w:val="28"/>
          <w:szCs w:val="28"/>
          <w:highlight w:val="none"/>
        </w:rPr>
      </w:pPr>
      <w:sdt>
        <w:sdtPr>
          <w:rPr>
            <w:rFonts w:hint="eastAsia"/>
            <w:highlight w:val="none"/>
          </w:rPr>
          <w:tag w:val="tag90"/>
          <w:id w:val="90"/>
          <w15:appearance w15:val="hidden"/>
        </w:sdtPr>
        <w:sdtEndPr>
          <w:rPr>
            <w:rFonts w:hint="eastAsia"/>
            <w:highlight w:val="none"/>
          </w:rPr>
        </w:sdtEndPr>
        <w:sdtContent>
          <w:r>
            <w:rPr>
              <w:rFonts w:hint="eastAsia"/>
              <w:bCs/>
              <w:sz w:val="28"/>
              <w:szCs w:val="28"/>
              <w:highlight w:val="none"/>
            </w:rPr>
            <w:t>□</w:t>
          </w:r>
        </w:sdtContent>
      </w:sdt>
      <w:r>
        <w:rPr>
          <w:rFonts w:hint="eastAsia"/>
          <w:bCs/>
          <w:sz w:val="28"/>
          <w:szCs w:val="28"/>
          <w:highlight w:val="none"/>
        </w:rPr>
        <w:t>经甲方书面同意，乙方可以将本合同项下的</w:t>
      </w:r>
      <w:sdt>
        <w:sdtPr>
          <w:rPr>
            <w:rFonts w:hint="eastAsia"/>
            <w:highlight w:val="none"/>
          </w:rPr>
          <w:tag w:val="tag91"/>
          <w:id w:val="91"/>
          <w15:appearance w15:val="hidden"/>
        </w:sdtPr>
        <w:sdtEndPr>
          <w:rPr>
            <w:rFonts w:hint="eastAsia"/>
            <w:highlight w:val="none"/>
          </w:rPr>
        </w:sdtEndPr>
        <w:sdtContent>
          <w:r>
            <w:rPr>
              <w:rFonts w:hint="eastAsia"/>
              <w:sz w:val="28"/>
              <w:szCs w:val="28"/>
              <w:highlight w:val="none"/>
              <w:u w:val="single"/>
              <w:shd w:val="clear" w:color="auto" w:fill="FEF2CC" w:themeFill="accent4" w:themeFillTint="33"/>
            </w:rPr>
            <w:t>[</w:t>
          </w:r>
          <w:r>
            <w:rPr>
              <w:rFonts w:hint="eastAsia"/>
              <w:bCs/>
              <w:sz w:val="28"/>
              <w:szCs w:val="28"/>
              <w:highlight w:val="none"/>
              <w:u w:val="single"/>
              <w:shd w:val="clear" w:color="auto" w:fill="FEF2CC" w:themeFill="accent4" w:themeFillTint="33"/>
            </w:rPr>
            <w:t xml:space="preserve">           （内容名称）]</w:t>
          </w:r>
        </w:sdtContent>
      </w:sdt>
      <w:r>
        <w:rPr>
          <w:rFonts w:hint="eastAsia"/>
          <w:bCs/>
          <w:sz w:val="28"/>
          <w:szCs w:val="28"/>
          <w:highlight w:val="none"/>
        </w:rPr>
        <w:t>等非主体内容分包给具有相应资质的第三方实施。违反本条规定的，乙方应承担违约责任。</w:t>
      </w:r>
    </w:p>
    <w:p>
      <w:pPr>
        <w:ind w:right="144" w:rightChars="60" w:firstLine="560" w:firstLineChars="200"/>
        <w:rPr>
          <w:bCs/>
          <w:sz w:val="28"/>
          <w:szCs w:val="28"/>
          <w:highlight w:val="none"/>
        </w:rPr>
      </w:pPr>
      <w:r>
        <w:rPr>
          <w:rFonts w:hint="eastAsia"/>
          <w:bCs/>
          <w:sz w:val="28"/>
          <w:szCs w:val="28"/>
          <w:highlight w:val="none"/>
        </w:rPr>
        <w:t>5.3甲、乙双方应指派人员组成软件开发项目团队，甲方人员包括但不限于项目管理人员、业务人员、系统管理人员、系统操作人员、文档管理员等，乙方人员包括但不限于项目经理、业务分析人员、系统分析和设计人员、编码和测试人员、质量和风险评估人员、文档管理人员、系统实施人员、系统管理人员等。团队组建完成后，甲、乙双方应以书面形式确认团队成员及其工作职责。</w:t>
      </w:r>
    </w:p>
    <w:p>
      <w:pPr>
        <w:ind w:right="144" w:rightChars="60" w:firstLine="560" w:firstLineChars="200"/>
        <w:rPr>
          <w:bCs/>
          <w:sz w:val="28"/>
          <w:szCs w:val="28"/>
          <w:highlight w:val="none"/>
        </w:rPr>
      </w:pPr>
      <w:r>
        <w:rPr>
          <w:rFonts w:hint="eastAsia"/>
          <w:bCs/>
          <w:sz w:val="28"/>
          <w:szCs w:val="28"/>
          <w:highlight w:val="none"/>
        </w:rPr>
        <w:t>5.4乙方人员工作能力、经验经历等应符合投标文件要求，并能胜任其工作职责。甲方可以根据具体情况重新指定本方的小组成员或要求乙方更换人员，但应当以书面方式通知另一方；乙方可根据具体情况重新指定本方的小组成员，但更换应事先征得甲方的书面同意，甲方应及时审查更换方提出的书面建议，双方在合理、善意、维护双方利益的基础上讨论更换事宜。</w:t>
      </w:r>
    </w:p>
    <w:p>
      <w:pPr>
        <w:ind w:right="144" w:rightChars="60" w:firstLine="565" w:firstLineChars="202"/>
        <w:rPr>
          <w:bCs/>
          <w:sz w:val="28"/>
          <w:szCs w:val="28"/>
          <w:highlight w:val="none"/>
        </w:rPr>
      </w:pPr>
      <w:r>
        <w:rPr>
          <w:rFonts w:hint="eastAsia"/>
          <w:bCs/>
          <w:sz w:val="28"/>
          <w:szCs w:val="28"/>
          <w:highlight w:val="none"/>
        </w:rPr>
        <w:t>5.5乙方应于每</w:t>
      </w:r>
      <w:sdt>
        <w:sdtPr>
          <w:rPr>
            <w:rFonts w:hint="eastAsia"/>
            <w:highlight w:val="none"/>
          </w:rPr>
          <w:tag w:val="tag92"/>
          <w:id w:val="92"/>
          <w15:appearance w15:val="hidden"/>
        </w:sdtPr>
        <w:sdtEndPr>
          <w:rPr>
            <w:rFonts w:hint="eastAsia"/>
            <w:highlight w:val="none"/>
          </w:rPr>
        </w:sdtEndPr>
        <w:sdtContent>
          <w:sdt>
            <w:sdtPr>
              <w:rPr>
                <w:rFonts w:hint="eastAsia"/>
                <w:highlight w:val="none"/>
              </w:rPr>
              <w:tag w:val="tag43"/>
              <w:id w:val="1944651230"/>
              <w15:appearance w15:val="hidden"/>
            </w:sdtPr>
            <w:sdtEndPr>
              <w:rPr>
                <w:rFonts w:hint="eastAsia"/>
                <w:highlight w:val="none"/>
                <w:u w:val="single"/>
                <w:shd w:val="clear" w:color="auto" w:fill="FEF2CC" w:themeFill="accent4" w:themeFillTint="33"/>
              </w:rPr>
            </w:sdtEndPr>
            <w:sdtContent>
              <w:r>
                <w:rPr>
                  <w:rFonts w:hint="eastAsia"/>
                  <w:sz w:val="28"/>
                  <w:szCs w:val="28"/>
                  <w:highlight w:val="none"/>
                  <w:u w:val="single"/>
                  <w:shd w:val="clear" w:color="auto" w:fill="FEF2CC" w:themeFill="accent4" w:themeFillTint="33"/>
                </w:rPr>
                <w:t>[</w:t>
              </w:r>
              <w:r>
                <w:rPr>
                  <w:rFonts w:hint="eastAsia"/>
                  <w:bCs/>
                  <w:sz w:val="28"/>
                  <w:szCs w:val="28"/>
                  <w:highlight w:val="none"/>
                  <w:u w:val="single"/>
                  <w:shd w:val="clear" w:color="auto" w:fill="FEF2CC" w:themeFill="accent4" w:themeFillTint="33"/>
                </w:rPr>
                <w:t xml:space="preserve">__ </w:t>
              </w:r>
            </w:sdtContent>
          </w:sdt>
          <w:r>
            <w:rPr>
              <w:rFonts w:hint="eastAsia"/>
              <w:sz w:val="28"/>
              <w:szCs w:val="28"/>
              <w:highlight w:val="none"/>
              <w:u w:val="single"/>
              <w:shd w:val="clear" w:color="auto" w:fill="FEF2CC" w:themeFill="accent4" w:themeFillTint="33"/>
            </w:rPr>
            <w:t>]</w:t>
          </w:r>
        </w:sdtContent>
      </w:sdt>
      <w:r>
        <w:rPr>
          <w:rFonts w:hint="eastAsia"/>
          <w:bCs/>
          <w:sz w:val="28"/>
          <w:szCs w:val="28"/>
          <w:highlight w:val="none"/>
        </w:rPr>
        <w:t>日，以书面形式向甲方提供项目阶段进度报告，内容包括但不限于：项目进度或里程碑计划执行情况、已完成的软件开发项目、有无遇到的困难和障碍、本项目的预期效果、人员配置情况、有无项目变更及变更情况或其它与本项目有关的甲方应当知道或甲方要求知道的情况。如有重大的问题或重要的变更发生，乙方应当在变更发生之日起</w:t>
      </w:r>
      <w:sdt>
        <w:sdtPr>
          <w:rPr>
            <w:rFonts w:hint="eastAsia"/>
            <w:highlight w:val="none"/>
          </w:rPr>
          <w:tag w:val="tag93"/>
          <w:id w:val="93"/>
          <w15:appearance w15:val="hidden"/>
        </w:sdtPr>
        <w:sdtEndPr>
          <w:rPr>
            <w:rFonts w:hint="eastAsia"/>
            <w:highlight w:val="none"/>
            <w:shd w:val="clear" w:color="auto" w:fill="FEF2CC" w:themeFill="accent4" w:themeFillTint="33"/>
          </w:rPr>
        </w:sdtEndPr>
        <w:sdtContent>
          <w:r>
            <w:rPr>
              <w:rFonts w:hint="eastAsia"/>
              <w:sz w:val="28"/>
              <w:szCs w:val="28"/>
              <w:highlight w:val="none"/>
              <w:u w:val="single"/>
              <w:shd w:val="clear" w:color="auto" w:fill="FEF2CC" w:themeFill="accent4" w:themeFillTint="33"/>
            </w:rPr>
            <w:t>[</w:t>
          </w:r>
          <w:r>
            <w:rPr>
              <w:rFonts w:hint="eastAsia"/>
              <w:highlight w:val="none"/>
              <w:u w:val="single"/>
              <w:shd w:val="clear" w:color="auto" w:fill="FEF2CC" w:themeFill="accent4" w:themeFillTint="33"/>
            </w:rPr>
            <w:t xml:space="preserve"> </w:t>
          </w:r>
          <w:r>
            <w:rPr>
              <w:rFonts w:hint="eastAsia"/>
              <w:bCs/>
              <w:sz w:val="28"/>
              <w:szCs w:val="28"/>
              <w:highlight w:val="none"/>
              <w:u w:val="single"/>
              <w:shd w:val="clear" w:color="auto" w:fill="FEF2CC" w:themeFill="accent4" w:themeFillTint="33"/>
            </w:rPr>
            <w:t>3</w:t>
          </w:r>
        </w:sdtContent>
      </w:sdt>
      <w:r>
        <w:rPr>
          <w:rFonts w:hint="eastAsia"/>
          <w:bCs/>
          <w:sz w:val="28"/>
          <w:szCs w:val="28"/>
          <w:highlight w:val="none"/>
          <w:u w:val="single"/>
          <w:shd w:val="clear" w:color="auto" w:fill="FEF2CC" w:themeFill="accent4" w:themeFillTint="33"/>
        </w:rPr>
        <w:t>]</w:t>
      </w:r>
      <w:r>
        <w:rPr>
          <w:rFonts w:hint="eastAsia"/>
          <w:bCs/>
          <w:sz w:val="28"/>
          <w:szCs w:val="28"/>
          <w:highlight w:val="none"/>
        </w:rPr>
        <w:t>个工作日内向甲方做出书面报告。乙方也应当在</w:t>
      </w:r>
      <w:sdt>
        <w:sdtPr>
          <w:rPr>
            <w:rFonts w:hint="eastAsia"/>
            <w:highlight w:val="none"/>
          </w:rPr>
          <w:tag w:val="tag94"/>
          <w:id w:val="94"/>
          <w15:appearance w15:val="hidden"/>
        </w:sdtPr>
        <w:sdtEndPr>
          <w:rPr>
            <w:rFonts w:hint="eastAsia"/>
            <w:highlight w:val="none"/>
          </w:rPr>
        </w:sdtEndPr>
        <w:sdtContent>
          <w:sdt>
            <w:sdtPr>
              <w:rPr>
                <w:rFonts w:hint="eastAsia"/>
                <w:highlight w:val="none"/>
              </w:rPr>
              <w:tag w:val="tag93"/>
              <w:id w:val="142477712"/>
              <w15:appearance w15:val="hidden"/>
            </w:sdtPr>
            <w:sdtEndPr>
              <w:rPr>
                <w:rFonts w:hint="eastAsia"/>
                <w:highlight w:val="none"/>
                <w:shd w:val="clear" w:color="auto" w:fill="FEF2CC" w:themeFill="accent4" w:themeFillTint="33"/>
              </w:rPr>
            </w:sdtEndPr>
            <w:sdtContent>
              <w:r>
                <w:rPr>
                  <w:rFonts w:hint="eastAsia"/>
                  <w:sz w:val="28"/>
                  <w:szCs w:val="28"/>
                  <w:highlight w:val="none"/>
                  <w:u w:val="single"/>
                  <w:shd w:val="clear" w:color="auto" w:fill="FEF2CC" w:themeFill="accent4" w:themeFillTint="33"/>
                </w:rPr>
                <w:t>[</w:t>
              </w:r>
              <w:r>
                <w:rPr>
                  <w:rFonts w:hint="eastAsia"/>
                  <w:highlight w:val="none"/>
                  <w:u w:val="single"/>
                  <w:shd w:val="clear" w:color="auto" w:fill="FEF2CC" w:themeFill="accent4" w:themeFillTint="33"/>
                </w:rPr>
                <w:t>3</w:t>
              </w:r>
            </w:sdtContent>
          </w:sdt>
          <w:r>
            <w:rPr>
              <w:rFonts w:hint="eastAsia"/>
              <w:bCs/>
              <w:sz w:val="28"/>
              <w:szCs w:val="28"/>
              <w:highlight w:val="none"/>
              <w:u w:val="single"/>
              <w:shd w:val="clear" w:color="auto" w:fill="FEF2CC" w:themeFill="accent4" w:themeFillTint="33"/>
            </w:rPr>
            <w:t>]</w:t>
          </w:r>
        </w:sdtContent>
      </w:sdt>
      <w:r>
        <w:rPr>
          <w:rFonts w:hint="eastAsia"/>
          <w:bCs/>
          <w:sz w:val="28"/>
          <w:szCs w:val="28"/>
          <w:highlight w:val="none"/>
        </w:rPr>
        <w:t>个工作日内回复甲方在其它时间内提出的与本项目相关的询问。如乙方违反本条的规定，应该承担由此而引起的项目迟延和甲方不能及时付款或配合项目进行的后果。甲方在收到乙方的书面报告后，应当在</w:t>
      </w:r>
      <w:sdt>
        <w:sdtPr>
          <w:rPr>
            <w:rFonts w:hint="eastAsia"/>
            <w:highlight w:val="none"/>
          </w:rPr>
          <w:tag w:val="tag95"/>
          <w:id w:val="95"/>
          <w15:appearance w15:val="hidden"/>
        </w:sdtPr>
        <w:sdtEndPr>
          <w:rPr>
            <w:rFonts w:hint="eastAsia"/>
            <w:highlight w:val="none"/>
          </w:rPr>
        </w:sdtEndPr>
        <w:sdtContent>
          <w:sdt>
            <w:sdtPr>
              <w:rPr>
                <w:rFonts w:hint="eastAsia"/>
                <w:highlight w:val="none"/>
              </w:rPr>
              <w:tag w:val="tag93"/>
              <w:id w:val="1899161227"/>
              <w15:appearance w15:val="hidden"/>
            </w:sdtPr>
            <w:sdtEndPr>
              <w:rPr>
                <w:rFonts w:hint="eastAsia"/>
                <w:highlight w:val="none"/>
                <w:shd w:val="clear" w:color="auto" w:fill="FEF2CC" w:themeFill="accent4" w:themeFillTint="33"/>
              </w:rPr>
            </w:sdtEndPr>
            <w:sdtContent>
              <w:r>
                <w:rPr>
                  <w:rFonts w:hint="eastAsia"/>
                  <w:sz w:val="28"/>
                  <w:szCs w:val="28"/>
                  <w:highlight w:val="none"/>
                  <w:u w:val="single"/>
                  <w:shd w:val="clear" w:color="auto" w:fill="FEF2CC" w:themeFill="accent4" w:themeFillTint="33"/>
                </w:rPr>
                <w:t>[</w:t>
              </w:r>
              <w:r>
                <w:rPr>
                  <w:rFonts w:hint="eastAsia"/>
                  <w:highlight w:val="none"/>
                  <w:u w:val="single"/>
                  <w:shd w:val="clear" w:color="auto" w:fill="FEF2CC" w:themeFill="accent4" w:themeFillTint="33"/>
                </w:rPr>
                <w:t xml:space="preserve"> </w:t>
              </w:r>
              <w:r>
                <w:rPr>
                  <w:rFonts w:hint="eastAsia"/>
                  <w:bCs/>
                  <w:sz w:val="28"/>
                  <w:szCs w:val="28"/>
                  <w:highlight w:val="none"/>
                  <w:u w:val="single"/>
                  <w:shd w:val="clear" w:color="auto" w:fill="FEF2CC" w:themeFill="accent4" w:themeFillTint="33"/>
                </w:rPr>
                <w:t>3</w:t>
              </w:r>
            </w:sdtContent>
          </w:sdt>
          <w:r>
            <w:rPr>
              <w:rFonts w:hint="eastAsia"/>
              <w:bCs/>
              <w:sz w:val="28"/>
              <w:szCs w:val="28"/>
              <w:highlight w:val="none"/>
              <w:u w:val="single"/>
              <w:shd w:val="clear" w:color="auto" w:fill="FEF2CC" w:themeFill="accent4" w:themeFillTint="33"/>
            </w:rPr>
            <w:t>]</w:t>
          </w:r>
        </w:sdtContent>
      </w:sdt>
      <w:r>
        <w:rPr>
          <w:rFonts w:hint="eastAsia"/>
          <w:bCs/>
          <w:sz w:val="28"/>
          <w:szCs w:val="28"/>
          <w:highlight w:val="none"/>
        </w:rPr>
        <w:t>个工作日内回复乙方。</w:t>
      </w:r>
    </w:p>
    <w:p>
      <w:pPr>
        <w:ind w:right="144" w:rightChars="60" w:firstLine="565" w:firstLineChars="202"/>
        <w:rPr>
          <w:b/>
          <w:sz w:val="28"/>
          <w:szCs w:val="28"/>
          <w:highlight w:val="none"/>
        </w:rPr>
      </w:pPr>
      <w:r>
        <w:rPr>
          <w:rFonts w:hint="eastAsia"/>
          <w:bCs/>
          <w:sz w:val="28"/>
          <w:szCs w:val="28"/>
          <w:highlight w:val="none"/>
        </w:rPr>
        <w:t>5.6甲、乙双方应互相配合，充分沟通。乙方有权根据本合同的规定和项目需要，向甲方了解有关情况，调阅有关资料，向有关职能人员调查、了解甲方现有的相关数据和资料，以对该软件进行全面的研究和设计。甲方应予以积极配合，向乙方提供有关信息与资料，特别是有关甲方对开发软件的功能和目标需求方面的信息和资料。如甲方对乙方完成本合同所需的甲方所有的信息和资料不予提供，则由甲方承担不予提供的损害后果。</w:t>
      </w:r>
    </w:p>
    <w:p>
      <w:pPr>
        <w:numPr>
          <w:ilvl w:val="0"/>
          <w:numId w:val="156"/>
        </w:numPr>
        <w:spacing w:after="0" w:line="240" w:lineRule="auto"/>
        <w:ind w:left="0" w:right="144" w:rightChars="60" w:firstLine="281" w:firstLineChars="100"/>
        <w:rPr>
          <w:bCs/>
          <w:sz w:val="28"/>
          <w:szCs w:val="28"/>
          <w:highlight w:val="none"/>
        </w:rPr>
      </w:pPr>
      <w:r>
        <w:rPr>
          <w:rFonts w:hint="eastAsia"/>
          <w:b/>
          <w:sz w:val="28"/>
          <w:szCs w:val="28"/>
          <w:highlight w:val="none"/>
        </w:rPr>
        <w:t>需求分析</w:t>
      </w:r>
    </w:p>
    <w:p>
      <w:pPr>
        <w:ind w:left="487" w:leftChars="203" w:right="144" w:rightChars="60" w:firstLine="140" w:firstLineChars="50"/>
        <w:rPr>
          <w:bCs/>
          <w:sz w:val="28"/>
          <w:szCs w:val="28"/>
          <w:highlight w:val="none"/>
        </w:rPr>
      </w:pPr>
      <w:r>
        <w:rPr>
          <w:rFonts w:hint="eastAsia"/>
          <w:bCs/>
          <w:sz w:val="28"/>
          <w:szCs w:val="28"/>
          <w:highlight w:val="none"/>
        </w:rPr>
        <w:t>6.1乙方协助甲方完善需求，产生《用户需求说明书》。</w:t>
      </w:r>
    </w:p>
    <w:p>
      <w:pPr>
        <w:ind w:right="144" w:rightChars="60" w:firstLine="560" w:firstLineChars="200"/>
        <w:rPr>
          <w:bCs/>
          <w:sz w:val="28"/>
          <w:szCs w:val="28"/>
          <w:highlight w:val="none"/>
        </w:rPr>
      </w:pPr>
      <w:r>
        <w:rPr>
          <w:rFonts w:hint="eastAsia"/>
          <w:bCs/>
          <w:sz w:val="28"/>
          <w:szCs w:val="28"/>
          <w:highlight w:val="none"/>
        </w:rPr>
        <w:t>6.2乙方根据《用户需求说明书》产生</w:t>
      </w:r>
      <w:bookmarkStart w:id="409" w:name="_Hlk480988519"/>
      <w:r>
        <w:rPr>
          <w:rFonts w:hint="eastAsia"/>
          <w:bCs/>
          <w:sz w:val="28"/>
          <w:szCs w:val="28"/>
          <w:highlight w:val="none"/>
        </w:rPr>
        <w:t>《需求规格说明书》</w:t>
      </w:r>
      <w:bookmarkEnd w:id="409"/>
      <w:r>
        <w:rPr>
          <w:rFonts w:hint="eastAsia"/>
          <w:bCs/>
          <w:sz w:val="28"/>
          <w:szCs w:val="28"/>
          <w:highlight w:val="none"/>
        </w:rPr>
        <w:t>，作为系统设计的直接依据。</w:t>
      </w:r>
    </w:p>
    <w:p>
      <w:pPr>
        <w:ind w:right="144" w:rightChars="60" w:firstLine="560" w:firstLineChars="200"/>
        <w:rPr>
          <w:bCs/>
          <w:sz w:val="28"/>
          <w:szCs w:val="28"/>
          <w:highlight w:val="none"/>
        </w:rPr>
      </w:pPr>
      <w:r>
        <w:rPr>
          <w:rFonts w:hint="eastAsia"/>
          <w:bCs/>
          <w:sz w:val="28"/>
          <w:szCs w:val="28"/>
          <w:highlight w:val="none"/>
        </w:rPr>
        <w:t>6.3本阶段的交付物为《用户需求说明书》和《需求规格说明书》。《用户需求说明书》和《需求规格说明书》得到甲、乙双方签字确认后，作为本合同附件。</w:t>
      </w:r>
    </w:p>
    <w:p>
      <w:pPr>
        <w:numPr>
          <w:ilvl w:val="0"/>
          <w:numId w:val="156"/>
        </w:numPr>
        <w:spacing w:after="0" w:line="240" w:lineRule="auto"/>
        <w:ind w:left="0" w:right="144" w:rightChars="60" w:firstLine="281" w:firstLineChars="100"/>
        <w:rPr>
          <w:bCs/>
          <w:sz w:val="28"/>
          <w:szCs w:val="28"/>
          <w:highlight w:val="none"/>
        </w:rPr>
      </w:pPr>
      <w:r>
        <w:rPr>
          <w:rFonts w:hint="eastAsia"/>
          <w:b/>
          <w:sz w:val="28"/>
          <w:szCs w:val="28"/>
          <w:highlight w:val="none"/>
        </w:rPr>
        <w:t>系统设计</w:t>
      </w:r>
    </w:p>
    <w:p>
      <w:pPr>
        <w:ind w:right="144" w:rightChars="60" w:firstLine="560" w:firstLineChars="200"/>
        <w:rPr>
          <w:bCs/>
          <w:sz w:val="28"/>
          <w:szCs w:val="28"/>
          <w:highlight w:val="none"/>
        </w:rPr>
      </w:pPr>
      <w:r>
        <w:rPr>
          <w:rFonts w:hint="eastAsia"/>
          <w:bCs/>
          <w:sz w:val="28"/>
          <w:szCs w:val="28"/>
          <w:highlight w:val="none"/>
        </w:rPr>
        <w:t>7.1乙方根据《需求规格说明书》组织完成系统设计，本阶段交付物为系统设计文档，包括但不限于《概要设计说明书》、《数据库设计说明书》、《详细设计说明书》等文件。</w:t>
      </w:r>
    </w:p>
    <w:p>
      <w:pPr>
        <w:ind w:right="144" w:rightChars="60" w:firstLine="560" w:firstLineChars="200"/>
        <w:rPr>
          <w:bCs/>
          <w:sz w:val="28"/>
          <w:szCs w:val="28"/>
          <w:highlight w:val="none"/>
        </w:rPr>
      </w:pPr>
      <w:r>
        <w:rPr>
          <w:rFonts w:hint="eastAsia"/>
          <w:bCs/>
          <w:sz w:val="28"/>
          <w:szCs w:val="28"/>
          <w:highlight w:val="none"/>
        </w:rPr>
        <w:t>7.2上述文件签字应经过双方签字确认并作为本合同附件。甲方对上述说明书的签字认可，仅代表对上述文件中软件的适用性、需求性和可用性进行审核，不对说明书中技术问题进行审核。如说明书</w:t>
      </w:r>
      <w:r>
        <w:rPr>
          <w:rFonts w:hint="eastAsia"/>
          <w:sz w:val="28"/>
          <w:highlight w:val="none"/>
        </w:rPr>
        <w:t>出现任何与乙方设计相关的技术问题或技术调整，</w:t>
      </w:r>
      <w:r>
        <w:rPr>
          <w:rFonts w:hint="eastAsia"/>
          <w:bCs/>
          <w:sz w:val="28"/>
          <w:szCs w:val="28"/>
          <w:highlight w:val="none"/>
        </w:rPr>
        <w:t>仍由乙方承担责任。</w:t>
      </w:r>
    </w:p>
    <w:p>
      <w:pPr>
        <w:numPr>
          <w:ilvl w:val="0"/>
          <w:numId w:val="156"/>
        </w:numPr>
        <w:spacing w:after="0" w:line="240" w:lineRule="auto"/>
        <w:ind w:left="0" w:right="144" w:rightChars="60" w:firstLine="281" w:firstLineChars="100"/>
        <w:rPr>
          <w:b/>
          <w:sz w:val="28"/>
          <w:szCs w:val="28"/>
          <w:highlight w:val="none"/>
        </w:rPr>
      </w:pPr>
      <w:r>
        <w:rPr>
          <w:rFonts w:hint="eastAsia"/>
          <w:b/>
          <w:sz w:val="28"/>
          <w:szCs w:val="28"/>
          <w:highlight w:val="none"/>
        </w:rPr>
        <w:t>编码实现与软件测试</w:t>
      </w:r>
    </w:p>
    <w:p>
      <w:pPr>
        <w:ind w:right="144" w:rightChars="60" w:firstLine="560" w:firstLineChars="200"/>
        <w:rPr>
          <w:bCs/>
          <w:sz w:val="28"/>
          <w:szCs w:val="28"/>
          <w:highlight w:val="none"/>
        </w:rPr>
      </w:pPr>
      <w:r>
        <w:rPr>
          <w:rFonts w:hint="eastAsia"/>
          <w:bCs/>
          <w:sz w:val="28"/>
          <w:szCs w:val="28"/>
          <w:highlight w:val="none"/>
        </w:rPr>
        <w:t>8.1乙方根据系统设计文档组织完成编码实现，并对软件的正确性、科学性和达到目标系统的逼近程度进行测试。本阶段交付物为程序源代码及开发测试文档，包括但不限于《测试计划》、《测试报告》、《用户手册》、《系统管理及维护手册》等。</w:t>
      </w:r>
    </w:p>
    <w:p>
      <w:pPr>
        <w:ind w:right="144" w:rightChars="60" w:firstLine="560" w:firstLineChars="200"/>
        <w:rPr>
          <w:b/>
          <w:sz w:val="28"/>
          <w:szCs w:val="28"/>
          <w:highlight w:val="none"/>
        </w:rPr>
      </w:pPr>
      <w:r>
        <w:rPr>
          <w:rFonts w:hint="eastAsia"/>
          <w:bCs/>
          <w:sz w:val="28"/>
          <w:szCs w:val="28"/>
          <w:highlight w:val="none"/>
        </w:rPr>
        <w:t>8.2编码实现和软件测试环境由</w:t>
      </w:r>
      <w:sdt>
        <w:sdtPr>
          <w:rPr>
            <w:rFonts w:hint="eastAsia"/>
            <w:highlight w:val="none"/>
          </w:rPr>
          <w:tag w:val="tag96"/>
          <w:id w:val="96"/>
          <w15:appearance w15:val="hidden"/>
        </w:sdtPr>
        <w:sdtEndPr>
          <w:rPr>
            <w:rFonts w:hint="eastAsia"/>
            <w:highlight w:val="none"/>
          </w:rPr>
        </w:sdtEndPr>
        <w:sdtContent>
          <w:r>
            <w:rPr>
              <w:rFonts w:hint="eastAsia"/>
              <w:bCs/>
              <w:sz w:val="28"/>
              <w:szCs w:val="28"/>
              <w:highlight w:val="none"/>
            </w:rPr>
            <w:t>□甲方提供，并与真实使用环境隔离□乙方自行准备</w:t>
          </w:r>
        </w:sdtContent>
      </w:sdt>
      <w:r>
        <w:rPr>
          <w:rFonts w:hint="eastAsia"/>
          <w:bCs/>
          <w:sz w:val="28"/>
          <w:szCs w:val="28"/>
          <w:highlight w:val="none"/>
        </w:rPr>
        <w:t>。测试数据应使用甲方提供的脱敏数据或乙方生成的模拟数据。</w:t>
      </w:r>
    </w:p>
    <w:p>
      <w:pPr>
        <w:numPr>
          <w:ilvl w:val="0"/>
          <w:numId w:val="156"/>
        </w:numPr>
        <w:spacing w:after="0" w:line="240" w:lineRule="auto"/>
        <w:ind w:left="0" w:right="144" w:rightChars="60" w:firstLine="281" w:firstLineChars="100"/>
        <w:rPr>
          <w:b/>
          <w:sz w:val="28"/>
          <w:szCs w:val="28"/>
          <w:highlight w:val="none"/>
        </w:rPr>
      </w:pPr>
      <w:r>
        <w:rPr>
          <w:rFonts w:hint="eastAsia"/>
          <w:b/>
          <w:sz w:val="28"/>
          <w:szCs w:val="28"/>
          <w:highlight w:val="none"/>
        </w:rPr>
        <w:t>试运行</w:t>
      </w:r>
    </w:p>
    <w:p>
      <w:pPr>
        <w:ind w:right="144" w:rightChars="60" w:firstLine="560" w:firstLineChars="200"/>
        <w:rPr>
          <w:bCs/>
          <w:sz w:val="28"/>
          <w:szCs w:val="28"/>
          <w:highlight w:val="none"/>
        </w:rPr>
      </w:pPr>
      <w:r>
        <w:rPr>
          <w:rFonts w:hint="eastAsia"/>
          <w:bCs/>
          <w:sz w:val="28"/>
          <w:szCs w:val="28"/>
          <w:highlight w:val="none"/>
        </w:rPr>
        <w:t>9.1软件经过正确性和完整性测试后，由乙方交付甲方。在乙方协助下，甲方以《需求规格说明书》内容为基准，对软件系统进行主观或客观评价，形成《试运行报告》。</w:t>
      </w:r>
    </w:p>
    <w:p>
      <w:pPr>
        <w:ind w:right="144" w:rightChars="60" w:firstLine="560" w:firstLineChars="200"/>
        <w:rPr>
          <w:bCs/>
          <w:sz w:val="28"/>
          <w:szCs w:val="28"/>
          <w:highlight w:val="none"/>
        </w:rPr>
      </w:pPr>
      <w:r>
        <w:rPr>
          <w:rFonts w:hint="eastAsia"/>
          <w:bCs/>
          <w:sz w:val="28"/>
          <w:szCs w:val="28"/>
          <w:highlight w:val="none"/>
        </w:rPr>
        <w:t>9.2试运行从软件交付之日起计算，为期</w:t>
      </w:r>
      <w:sdt>
        <w:sdtPr>
          <w:rPr>
            <w:rFonts w:hint="eastAsia"/>
            <w:highlight w:val="none"/>
          </w:rPr>
          <w:tag w:val="tag97"/>
          <w:id w:val="97"/>
          <w15:appearance w15:val="hidden"/>
        </w:sdtPr>
        <w:sdtEndPr>
          <w:rPr>
            <w:rFonts w:hint="eastAsia"/>
            <w:highlight w:val="none"/>
            <w:shd w:val="clear" w:color="auto" w:fill="FEF2CC" w:themeFill="accent4" w:themeFillTint="33"/>
          </w:rPr>
        </w:sdtEndPr>
        <w:sdtContent>
          <w:r>
            <w:rPr>
              <w:rFonts w:hint="eastAsia"/>
              <w:sz w:val="28"/>
              <w:szCs w:val="28"/>
              <w:highlight w:val="none"/>
              <w:u w:val="single"/>
              <w:shd w:val="clear" w:color="auto" w:fill="FEF2CC" w:themeFill="accent4" w:themeFillTint="33"/>
            </w:rPr>
            <w:t>[</w:t>
          </w:r>
          <w:r>
            <w:rPr>
              <w:rFonts w:hint="eastAsia"/>
              <w:bCs/>
              <w:sz w:val="28"/>
              <w:szCs w:val="28"/>
              <w:highlight w:val="none"/>
              <w:u w:val="single"/>
              <w:shd w:val="clear" w:color="auto" w:fill="FEF2CC" w:themeFill="accent4" w:themeFillTint="33"/>
            </w:rPr>
            <w:t xml:space="preserve">   ]</w:t>
          </w:r>
        </w:sdtContent>
      </w:sdt>
      <w:r>
        <w:rPr>
          <w:rFonts w:hint="eastAsia"/>
          <w:bCs/>
          <w:sz w:val="28"/>
          <w:szCs w:val="28"/>
          <w:highlight w:val="none"/>
        </w:rPr>
        <w:t>个工作日。</w:t>
      </w:r>
    </w:p>
    <w:p>
      <w:pPr>
        <w:ind w:right="144" w:rightChars="60" w:firstLine="560" w:firstLineChars="200"/>
        <w:rPr>
          <w:bCs/>
          <w:sz w:val="28"/>
          <w:szCs w:val="28"/>
          <w:highlight w:val="none"/>
        </w:rPr>
      </w:pPr>
      <w:r>
        <w:rPr>
          <w:rFonts w:hint="eastAsia"/>
          <w:bCs/>
          <w:sz w:val="28"/>
          <w:szCs w:val="28"/>
          <w:highlight w:val="none"/>
        </w:rPr>
        <w:t>9.3如由于乙方原因，软件在试运行期间出现故障或问题，乙方应及时排除该方面的故障或问题，所引起的相关费用由乙方承担。乙方应在合理的期限内排除故障或处理问题。如以上故障或问题影响软件基本功能和目标的实现，且排除故障或处理问题的时间超过[5]个工作日，则视为乙方交付违约，除非上述故障和问题是由甲方引起的。</w:t>
      </w:r>
    </w:p>
    <w:p>
      <w:pPr>
        <w:numPr>
          <w:ilvl w:val="0"/>
          <w:numId w:val="156"/>
        </w:numPr>
        <w:spacing w:after="0" w:line="240" w:lineRule="auto"/>
        <w:ind w:left="0" w:right="144" w:rightChars="60" w:firstLine="281" w:firstLineChars="100"/>
        <w:rPr>
          <w:b/>
          <w:sz w:val="28"/>
          <w:szCs w:val="28"/>
          <w:highlight w:val="none"/>
        </w:rPr>
      </w:pPr>
      <w:r>
        <w:rPr>
          <w:rFonts w:hint="eastAsia"/>
          <w:b/>
          <w:sz w:val="28"/>
          <w:szCs w:val="28"/>
          <w:highlight w:val="none"/>
        </w:rPr>
        <w:t>项目验收</w:t>
      </w:r>
    </w:p>
    <w:p>
      <w:pPr>
        <w:ind w:right="144" w:rightChars="60" w:firstLine="560" w:firstLineChars="200"/>
        <w:rPr>
          <w:bCs/>
          <w:sz w:val="28"/>
          <w:szCs w:val="28"/>
          <w:highlight w:val="none"/>
        </w:rPr>
      </w:pPr>
      <w:r>
        <w:rPr>
          <w:rFonts w:hint="eastAsia"/>
          <w:bCs/>
          <w:sz w:val="28"/>
          <w:szCs w:val="28"/>
          <w:highlight w:val="none"/>
        </w:rPr>
        <w:t>10.1试运行期满且设备系统运行正常后，乙方按合同第三条及用户需求书要求所列货物标准，向甲方提供完成验收报告及相关资料，包括但不限于本合同涉及的全部有关产品说明书、原厂家安装手册、技术文件、资料及安装、测试、试运行合格报告等文档，汇集成册一式二套交予甲方（包括纸质版和电子版）。</w:t>
      </w:r>
    </w:p>
    <w:p>
      <w:pPr>
        <w:ind w:right="144" w:rightChars="60" w:firstLine="560" w:firstLineChars="200"/>
        <w:rPr>
          <w:bCs/>
          <w:sz w:val="28"/>
          <w:szCs w:val="28"/>
          <w:highlight w:val="none"/>
        </w:rPr>
      </w:pPr>
      <w:r>
        <w:rPr>
          <w:rFonts w:hint="eastAsia"/>
          <w:bCs/>
          <w:sz w:val="28"/>
          <w:szCs w:val="28"/>
          <w:highlight w:val="none"/>
        </w:rPr>
        <w:t>10.2甲方收到乙方提交的验收报告及相关资料后20个工作日内组织有关单位验收，并在验收后5个工作日给予认可或提出修改意见。乙方应当按修改意见进行修改，并承担由自身原因在成修改的费用。乙方保证自提交验收报告之日起25个工作日内通过验收，否则乙方应按本合同规定承担违约责任。</w:t>
      </w:r>
    </w:p>
    <w:p>
      <w:pPr>
        <w:ind w:right="144" w:rightChars="60" w:firstLine="560" w:firstLineChars="200"/>
        <w:rPr>
          <w:bCs/>
          <w:sz w:val="28"/>
          <w:szCs w:val="28"/>
          <w:highlight w:val="none"/>
        </w:rPr>
      </w:pPr>
      <w:r>
        <w:rPr>
          <w:rFonts w:hint="eastAsia"/>
          <w:bCs/>
          <w:sz w:val="28"/>
          <w:szCs w:val="28"/>
          <w:highlight w:val="none"/>
        </w:rPr>
        <w:t>10.3甲方在验收后若对乙方予以认可，需在5个工作日出具验收证明。验收通过，甲方出具验收证明之日为项目验收合格之日。甲方在前述乙方验收期限内未出具验收证明，也未提出修改意见的，则乙方验收期限结束之日视为项目验收合格之日。</w:t>
      </w:r>
    </w:p>
    <w:p>
      <w:pPr>
        <w:numPr>
          <w:ilvl w:val="0"/>
          <w:numId w:val="156"/>
        </w:numPr>
        <w:spacing w:after="0" w:line="240" w:lineRule="auto"/>
        <w:ind w:left="0" w:right="144" w:rightChars="60" w:firstLine="281" w:firstLineChars="100"/>
        <w:rPr>
          <w:b/>
          <w:sz w:val="28"/>
          <w:szCs w:val="28"/>
          <w:highlight w:val="none"/>
        </w:rPr>
      </w:pPr>
      <w:r>
        <w:rPr>
          <w:rFonts w:hint="eastAsia"/>
          <w:b/>
          <w:sz w:val="28"/>
          <w:szCs w:val="28"/>
          <w:highlight w:val="none"/>
        </w:rPr>
        <w:t>运行维护</w:t>
      </w:r>
    </w:p>
    <w:p>
      <w:pPr>
        <w:ind w:right="144" w:rightChars="60" w:firstLine="560" w:firstLineChars="200"/>
        <w:rPr>
          <w:sz w:val="28"/>
          <w:szCs w:val="28"/>
          <w:highlight w:val="none"/>
        </w:rPr>
      </w:pPr>
      <w:r>
        <w:rPr>
          <w:rFonts w:hint="eastAsia"/>
          <w:sz w:val="28"/>
          <w:szCs w:val="28"/>
          <w:highlight w:val="none"/>
        </w:rPr>
        <w:t>11.1软件通过竣工验收后，乙方向甲方全面移交项目，完成软件的用户交接，文档资料的用户交接和系统正式上线运行。</w:t>
      </w:r>
    </w:p>
    <w:p>
      <w:pPr>
        <w:ind w:right="144" w:rightChars="60" w:firstLine="560" w:firstLineChars="200"/>
        <w:rPr>
          <w:sz w:val="28"/>
          <w:szCs w:val="28"/>
          <w:highlight w:val="none"/>
        </w:rPr>
      </w:pPr>
      <w:r>
        <w:rPr>
          <w:rFonts w:hint="eastAsia"/>
          <w:sz w:val="28"/>
          <w:szCs w:val="28"/>
          <w:highlight w:val="none"/>
        </w:rPr>
        <w:t xml:space="preserve">11.2乙方在软件质保期内，免费向甲方提供软件维护和支持服务。 </w:t>
      </w:r>
    </w:p>
    <w:p>
      <w:pPr>
        <w:ind w:right="144" w:rightChars="60" w:firstLine="560" w:firstLineChars="200"/>
        <w:rPr>
          <w:b/>
          <w:sz w:val="28"/>
          <w:szCs w:val="28"/>
          <w:highlight w:val="none"/>
        </w:rPr>
      </w:pPr>
      <w:r>
        <w:rPr>
          <w:rFonts w:hint="eastAsia"/>
          <w:sz w:val="28"/>
          <w:szCs w:val="28"/>
          <w:highlight w:val="none"/>
        </w:rPr>
        <w:t>11.3乙方应及时对甲方的相关人员进行培训，培训目标为受训者能够独立、熟练地完成操作，实现依据本合同所规定的软件的目标和功能。</w:t>
      </w:r>
    </w:p>
    <w:p>
      <w:pPr>
        <w:numPr>
          <w:ilvl w:val="0"/>
          <w:numId w:val="156"/>
        </w:numPr>
        <w:spacing w:after="0" w:line="240" w:lineRule="auto"/>
        <w:ind w:left="0" w:right="144" w:rightChars="60" w:firstLine="281" w:firstLineChars="100"/>
        <w:rPr>
          <w:b/>
          <w:sz w:val="28"/>
          <w:szCs w:val="28"/>
          <w:highlight w:val="none"/>
        </w:rPr>
      </w:pPr>
      <w:r>
        <w:rPr>
          <w:rFonts w:hint="eastAsia"/>
          <w:b/>
          <w:sz w:val="28"/>
          <w:szCs w:val="28"/>
          <w:highlight w:val="none"/>
        </w:rPr>
        <w:t>质量保证及售后服务</w:t>
      </w:r>
    </w:p>
    <w:p>
      <w:pPr>
        <w:ind w:right="144" w:rightChars="60" w:firstLine="560" w:firstLineChars="200"/>
        <w:rPr>
          <w:sz w:val="28"/>
          <w:szCs w:val="28"/>
          <w:highlight w:val="none"/>
        </w:rPr>
      </w:pPr>
      <w:r>
        <w:rPr>
          <w:rFonts w:hint="eastAsia"/>
          <w:sz w:val="28"/>
          <w:szCs w:val="28"/>
          <w:highlight w:val="none"/>
        </w:rPr>
        <w:t>12.1质量保证（如下述要求与用户需求书不一致的，以用户需求书为准，用户需求书未作要求的，按下述要求）</w:t>
      </w:r>
    </w:p>
    <w:p>
      <w:pPr>
        <w:pStyle w:val="30"/>
        <w:numPr>
          <w:ilvl w:val="0"/>
          <w:numId w:val="157"/>
        </w:numPr>
        <w:spacing w:after="0" w:line="240" w:lineRule="auto"/>
        <w:ind w:left="641" w:leftChars="267" w:right="144" w:rightChars="60" w:firstLineChars="0"/>
        <w:rPr>
          <w:bCs/>
          <w:sz w:val="28"/>
          <w:szCs w:val="28"/>
          <w:highlight w:val="none"/>
        </w:rPr>
      </w:pPr>
      <w:r>
        <w:rPr>
          <w:rFonts w:hint="eastAsia"/>
          <w:bCs/>
          <w:sz w:val="28"/>
          <w:szCs w:val="28"/>
          <w:highlight w:val="none"/>
        </w:rPr>
        <w:t>乙方应保证合同项下所供货物是全新的、未使用过的，是目前的最新型号/版本。乙方进一步保证，合同项下提供的全部货物没有设计、材料或工艺上的缺陷，或者没有因乙方的行为或疏忽而产生的缺陷。</w:t>
      </w:r>
    </w:p>
    <w:p>
      <w:pPr>
        <w:pStyle w:val="30"/>
        <w:numPr>
          <w:ilvl w:val="0"/>
          <w:numId w:val="157"/>
        </w:numPr>
        <w:spacing w:after="0" w:line="240" w:lineRule="auto"/>
        <w:ind w:left="641" w:leftChars="267" w:right="144" w:rightChars="60" w:firstLineChars="0"/>
        <w:rPr>
          <w:bCs/>
          <w:sz w:val="28"/>
          <w:szCs w:val="28"/>
          <w:highlight w:val="none"/>
        </w:rPr>
      </w:pPr>
      <w:r>
        <w:rPr>
          <w:rFonts w:hint="eastAsia"/>
          <w:bCs/>
          <w:sz w:val="28"/>
          <w:szCs w:val="28"/>
          <w:highlight w:val="none"/>
        </w:rPr>
        <w:t>货物质量标准的评定以国家或行业的质量检验评定标准为依据。因乙方原因导致质量达不到约定的质量标准，乙方按本合同的规定承担违约责任并自行承担因此导致的一切不良后果。</w:t>
      </w:r>
    </w:p>
    <w:p>
      <w:pPr>
        <w:pStyle w:val="30"/>
        <w:numPr>
          <w:ilvl w:val="0"/>
          <w:numId w:val="157"/>
        </w:numPr>
        <w:spacing w:after="0" w:line="240" w:lineRule="auto"/>
        <w:ind w:left="641" w:leftChars="267" w:right="144" w:rightChars="60" w:firstLineChars="0"/>
        <w:rPr>
          <w:bCs/>
          <w:sz w:val="28"/>
          <w:szCs w:val="28"/>
          <w:highlight w:val="none"/>
        </w:rPr>
      </w:pPr>
      <w:r>
        <w:rPr>
          <w:rFonts w:hint="eastAsia"/>
          <w:bCs/>
          <w:sz w:val="28"/>
          <w:szCs w:val="28"/>
          <w:highlight w:val="none"/>
        </w:rPr>
        <w:t>双方对货物质量有争议，由双方同意的质量检测机构鉴定，所需费用及因此造成的损失，由责任方承担。双方均有责任，由双方根据其责任分别承担。</w:t>
      </w:r>
    </w:p>
    <w:p>
      <w:pPr>
        <w:pStyle w:val="30"/>
        <w:numPr>
          <w:ilvl w:val="0"/>
          <w:numId w:val="157"/>
        </w:numPr>
        <w:spacing w:after="0" w:line="240" w:lineRule="auto"/>
        <w:ind w:left="641" w:leftChars="267" w:right="144" w:rightChars="60" w:firstLineChars="0"/>
        <w:rPr>
          <w:bCs/>
          <w:sz w:val="28"/>
          <w:szCs w:val="28"/>
          <w:highlight w:val="none"/>
        </w:rPr>
      </w:pPr>
      <w:r>
        <w:rPr>
          <w:rFonts w:hint="eastAsia"/>
          <w:bCs/>
          <w:sz w:val="28"/>
          <w:szCs w:val="28"/>
          <w:highlight w:val="none"/>
        </w:rPr>
        <w:t>合同项中的软件质量保证期为</w:t>
      </w:r>
      <w:r>
        <w:rPr>
          <w:rFonts w:hint="eastAsia"/>
          <w:bCs/>
          <w:sz w:val="28"/>
          <w:szCs w:val="28"/>
          <w:highlight w:val="none"/>
          <w:u w:val="single"/>
          <w:shd w:val="clear" w:color="auto" w:fill="FEF2CC" w:themeFill="accent4" w:themeFillTint="33"/>
        </w:rPr>
        <w:t>[   ]</w:t>
      </w:r>
      <w:r>
        <w:rPr>
          <w:rFonts w:hint="eastAsia"/>
          <w:bCs/>
          <w:sz w:val="28"/>
          <w:szCs w:val="28"/>
          <w:highlight w:val="none"/>
        </w:rPr>
        <w:t>年，硬件质保期为</w:t>
      </w:r>
      <w:r>
        <w:rPr>
          <w:rFonts w:hint="eastAsia"/>
          <w:bCs/>
          <w:sz w:val="28"/>
          <w:szCs w:val="28"/>
          <w:highlight w:val="none"/>
          <w:u w:val="single"/>
          <w:shd w:val="clear" w:color="auto" w:fill="FEF2CC" w:themeFill="accent4" w:themeFillTint="33"/>
        </w:rPr>
        <w:t>[   ]</w:t>
      </w:r>
      <w:r>
        <w:rPr>
          <w:rFonts w:hint="eastAsia"/>
          <w:bCs/>
          <w:sz w:val="28"/>
          <w:szCs w:val="28"/>
          <w:highlight w:val="none"/>
        </w:rPr>
        <w:t>年。质量保证期自项目整体验收合格之日开始计算。在质量保证期内乙方免费提供合同项下设备及软件的原厂保修服务。</w:t>
      </w:r>
    </w:p>
    <w:p>
      <w:pPr>
        <w:pStyle w:val="30"/>
        <w:numPr>
          <w:ilvl w:val="0"/>
          <w:numId w:val="157"/>
        </w:numPr>
        <w:spacing w:after="0" w:line="240" w:lineRule="auto"/>
        <w:ind w:left="641" w:leftChars="267" w:right="144" w:rightChars="60" w:firstLineChars="0"/>
        <w:rPr>
          <w:bCs/>
          <w:sz w:val="28"/>
          <w:szCs w:val="28"/>
          <w:highlight w:val="none"/>
        </w:rPr>
      </w:pPr>
      <w:r>
        <w:rPr>
          <w:rFonts w:hint="eastAsia"/>
          <w:bCs/>
          <w:sz w:val="28"/>
          <w:szCs w:val="28"/>
          <w:highlight w:val="none"/>
        </w:rPr>
        <w:t>合同项中的软件升级：项目整体验收合格后</w:t>
      </w:r>
      <w:r>
        <w:rPr>
          <w:rFonts w:hint="eastAsia"/>
          <w:bCs/>
          <w:sz w:val="28"/>
          <w:szCs w:val="28"/>
          <w:highlight w:val="none"/>
          <w:u w:val="single"/>
          <w:shd w:val="clear" w:color="auto" w:fill="FEF2CC" w:themeFill="accent4" w:themeFillTint="33"/>
        </w:rPr>
        <w:t>[   ]</w:t>
      </w:r>
      <w:r>
        <w:rPr>
          <w:rFonts w:hint="eastAsia"/>
          <w:bCs/>
          <w:sz w:val="28"/>
          <w:szCs w:val="28"/>
          <w:highlight w:val="none"/>
        </w:rPr>
        <w:t>年内无条件免费软件升级（含软件打补丁和大小版本更新），</w:t>
      </w:r>
      <w:r>
        <w:rPr>
          <w:rFonts w:hint="eastAsia"/>
          <w:bCs/>
          <w:sz w:val="28"/>
          <w:szCs w:val="28"/>
          <w:highlight w:val="none"/>
          <w:u w:val="single"/>
          <w:shd w:val="clear" w:color="auto" w:fill="FEF2CC" w:themeFill="accent4" w:themeFillTint="33"/>
        </w:rPr>
        <w:t>[   ]</w:t>
      </w:r>
      <w:r>
        <w:rPr>
          <w:rFonts w:hint="eastAsia"/>
          <w:bCs/>
          <w:sz w:val="28"/>
          <w:szCs w:val="28"/>
          <w:highlight w:val="none"/>
        </w:rPr>
        <w:t>年后以最优惠条件提供升级。</w:t>
      </w:r>
    </w:p>
    <w:p>
      <w:pPr>
        <w:pStyle w:val="30"/>
        <w:numPr>
          <w:ilvl w:val="0"/>
          <w:numId w:val="157"/>
        </w:numPr>
        <w:spacing w:after="0" w:line="240" w:lineRule="auto"/>
        <w:ind w:left="641" w:leftChars="267" w:right="144" w:rightChars="60" w:firstLineChars="0"/>
        <w:rPr>
          <w:bCs/>
          <w:sz w:val="28"/>
          <w:szCs w:val="28"/>
          <w:highlight w:val="none"/>
        </w:rPr>
      </w:pPr>
      <w:r>
        <w:rPr>
          <w:rFonts w:hint="eastAsia"/>
          <w:bCs/>
          <w:sz w:val="28"/>
          <w:szCs w:val="28"/>
          <w:highlight w:val="none"/>
        </w:rPr>
        <w:t>质量保证期内系统故障的现场响应时间：7×24小时的响应乙方提供保修服务的指定邮箱为：</w:t>
      </w:r>
      <w:r>
        <w:rPr>
          <w:rFonts w:hint="eastAsia"/>
          <w:bCs/>
          <w:sz w:val="28"/>
          <w:szCs w:val="28"/>
          <w:highlight w:val="none"/>
          <w:u w:val="single"/>
          <w:shd w:val="clear" w:color="auto" w:fill="FEF2CC" w:themeFill="accent4" w:themeFillTint="33"/>
        </w:rPr>
        <w:t>[               ]</w:t>
      </w:r>
      <w:r>
        <w:rPr>
          <w:rFonts w:hint="eastAsia"/>
          <w:bCs/>
          <w:sz w:val="28"/>
          <w:szCs w:val="28"/>
          <w:highlight w:val="none"/>
        </w:rPr>
        <w:t>,指定电话为</w:t>
      </w:r>
      <w:r>
        <w:rPr>
          <w:rFonts w:hint="eastAsia"/>
          <w:bCs/>
          <w:sz w:val="28"/>
          <w:szCs w:val="28"/>
          <w:highlight w:val="none"/>
          <w:u w:val="single"/>
          <w:shd w:val="clear" w:color="auto" w:fill="FEF2CC" w:themeFill="accent4" w:themeFillTint="33"/>
        </w:rPr>
        <w:t>[              ]</w:t>
      </w:r>
      <w:r>
        <w:rPr>
          <w:rFonts w:hint="eastAsia"/>
          <w:bCs/>
          <w:sz w:val="28"/>
          <w:szCs w:val="28"/>
          <w:highlight w:val="none"/>
        </w:rPr>
        <w:t>，甲方维修通知的邮件发出后或甲方电话通知乙方后，视为甲方的维修通知送达乙方。</w:t>
      </w:r>
    </w:p>
    <w:p>
      <w:pPr>
        <w:pStyle w:val="30"/>
        <w:numPr>
          <w:ilvl w:val="0"/>
          <w:numId w:val="157"/>
        </w:numPr>
        <w:spacing w:after="0" w:line="240" w:lineRule="auto"/>
        <w:ind w:left="641" w:leftChars="267" w:right="144" w:rightChars="60" w:firstLineChars="0"/>
        <w:rPr>
          <w:bCs/>
          <w:sz w:val="28"/>
          <w:szCs w:val="28"/>
          <w:highlight w:val="none"/>
        </w:rPr>
      </w:pPr>
      <w:r>
        <w:rPr>
          <w:rFonts w:hint="eastAsia"/>
          <w:bCs/>
          <w:sz w:val="28"/>
          <w:szCs w:val="28"/>
          <w:highlight w:val="none"/>
        </w:rPr>
        <w:t>系统上线后，乙方派驻具备相应技术资格、职称，且富有本项目经验的工程师</w:t>
      </w:r>
      <w:r>
        <w:rPr>
          <w:rFonts w:hint="eastAsia"/>
          <w:bCs/>
          <w:sz w:val="28"/>
          <w:szCs w:val="28"/>
          <w:highlight w:val="none"/>
          <w:u w:val="single"/>
          <w:shd w:val="clear" w:color="auto" w:fill="FEF2CC" w:themeFill="accent4" w:themeFillTint="33"/>
        </w:rPr>
        <w:t>[    ]</w:t>
      </w:r>
      <w:r>
        <w:rPr>
          <w:rFonts w:hint="eastAsia"/>
          <w:bCs/>
          <w:sz w:val="28"/>
          <w:szCs w:val="28"/>
          <w:highlight w:val="none"/>
        </w:rPr>
        <w:t>人在甲方现场，负责现场响应及处理故障，驻场周期为</w:t>
      </w:r>
      <w:r>
        <w:rPr>
          <w:rFonts w:hint="eastAsia"/>
          <w:bCs/>
          <w:sz w:val="28"/>
          <w:szCs w:val="28"/>
          <w:highlight w:val="none"/>
          <w:u w:val="single"/>
          <w:shd w:val="clear" w:color="auto" w:fill="FEF2CC" w:themeFill="accent4" w:themeFillTint="33"/>
        </w:rPr>
        <w:t>[   ]</w:t>
      </w:r>
      <w:r>
        <w:rPr>
          <w:rFonts w:hint="eastAsia"/>
          <w:bCs/>
          <w:sz w:val="28"/>
          <w:szCs w:val="28"/>
          <w:highlight w:val="none"/>
        </w:rPr>
        <w:t>个月。</w:t>
      </w:r>
    </w:p>
    <w:p>
      <w:pPr>
        <w:pStyle w:val="30"/>
        <w:numPr>
          <w:ilvl w:val="0"/>
          <w:numId w:val="157"/>
        </w:numPr>
        <w:spacing w:after="0" w:line="240" w:lineRule="auto"/>
        <w:ind w:left="641" w:leftChars="267" w:right="144" w:rightChars="60" w:firstLineChars="0"/>
        <w:rPr>
          <w:bCs/>
          <w:sz w:val="28"/>
          <w:szCs w:val="28"/>
          <w:highlight w:val="none"/>
        </w:rPr>
      </w:pPr>
      <w:r>
        <w:rPr>
          <w:rFonts w:hint="eastAsia"/>
          <w:bCs/>
          <w:sz w:val="28"/>
          <w:szCs w:val="28"/>
          <w:highlight w:val="none"/>
        </w:rPr>
        <w:t>系统上线后，乙方须提供</w:t>
      </w:r>
      <w:r>
        <w:rPr>
          <w:rFonts w:hint="eastAsia"/>
          <w:sz w:val="28"/>
          <w:szCs w:val="28"/>
          <w:highlight w:val="none"/>
        </w:rPr>
        <w:t>7*24小时的响应服务，5*9小时现场服务</w:t>
      </w:r>
      <w:r>
        <w:rPr>
          <w:rFonts w:hint="eastAsia"/>
          <w:bCs/>
          <w:sz w:val="28"/>
          <w:szCs w:val="28"/>
          <w:highlight w:val="none"/>
        </w:rPr>
        <w:t>。</w:t>
      </w:r>
      <w:r>
        <w:rPr>
          <w:rFonts w:hint="eastAsia"/>
          <w:sz w:val="28"/>
          <w:szCs w:val="28"/>
          <w:highlight w:val="none"/>
        </w:rPr>
        <w:t>在医院规定的现场服务时间内，</w:t>
      </w:r>
      <w:r>
        <w:rPr>
          <w:rFonts w:hint="eastAsia"/>
          <w:bCs/>
          <w:sz w:val="28"/>
          <w:szCs w:val="28"/>
          <w:highlight w:val="none"/>
        </w:rPr>
        <w:t>故障响应时间不超过</w:t>
      </w:r>
      <w:r>
        <w:rPr>
          <w:rFonts w:hint="eastAsia"/>
          <w:bCs/>
          <w:sz w:val="28"/>
          <w:szCs w:val="28"/>
          <w:highlight w:val="none"/>
          <w:u w:val="single"/>
          <w:shd w:val="clear" w:color="auto" w:fill="FEF2CC" w:themeFill="accent4" w:themeFillTint="33"/>
        </w:rPr>
        <w:t>[0.5]</w:t>
      </w:r>
      <w:r>
        <w:rPr>
          <w:rFonts w:hint="eastAsia"/>
          <w:bCs/>
          <w:sz w:val="28"/>
          <w:szCs w:val="28"/>
          <w:highlight w:val="none"/>
        </w:rPr>
        <w:t>小时，到达现场时间不超过</w:t>
      </w:r>
      <w:r>
        <w:rPr>
          <w:rFonts w:hint="eastAsia"/>
          <w:bCs/>
          <w:sz w:val="28"/>
          <w:szCs w:val="28"/>
          <w:highlight w:val="none"/>
          <w:u w:val="single"/>
          <w:shd w:val="clear" w:color="auto" w:fill="FEF2CC" w:themeFill="accent4" w:themeFillTint="33"/>
        </w:rPr>
        <w:t>[1]</w:t>
      </w:r>
      <w:r>
        <w:rPr>
          <w:rFonts w:hint="eastAsia"/>
          <w:bCs/>
          <w:sz w:val="28"/>
          <w:szCs w:val="28"/>
          <w:highlight w:val="none"/>
        </w:rPr>
        <w:t>小时；非工作期间软件故障响应时间不超过</w:t>
      </w:r>
      <w:r>
        <w:rPr>
          <w:rFonts w:hint="eastAsia"/>
          <w:bCs/>
          <w:sz w:val="28"/>
          <w:szCs w:val="28"/>
          <w:highlight w:val="none"/>
          <w:u w:val="single"/>
          <w:shd w:val="clear" w:color="auto" w:fill="FEF2CC" w:themeFill="accent4" w:themeFillTint="33"/>
        </w:rPr>
        <w:t>[1]</w:t>
      </w:r>
      <w:r>
        <w:rPr>
          <w:rFonts w:hint="eastAsia"/>
          <w:bCs/>
          <w:sz w:val="28"/>
          <w:szCs w:val="28"/>
          <w:highlight w:val="none"/>
        </w:rPr>
        <w:t>小时，到达现场时间不超过</w:t>
      </w:r>
      <w:r>
        <w:rPr>
          <w:rFonts w:hint="eastAsia"/>
          <w:bCs/>
          <w:sz w:val="28"/>
          <w:szCs w:val="28"/>
          <w:highlight w:val="none"/>
          <w:u w:val="single"/>
          <w:shd w:val="clear" w:color="auto" w:fill="FEF2CC" w:themeFill="accent4" w:themeFillTint="33"/>
        </w:rPr>
        <w:t>[2]</w:t>
      </w:r>
      <w:r>
        <w:rPr>
          <w:rFonts w:hint="eastAsia"/>
          <w:bCs/>
          <w:sz w:val="28"/>
          <w:szCs w:val="28"/>
          <w:highlight w:val="none"/>
        </w:rPr>
        <w:t>小时；并于</w:t>
      </w:r>
      <w:r>
        <w:rPr>
          <w:rFonts w:hint="eastAsia"/>
          <w:bCs/>
          <w:sz w:val="28"/>
          <w:szCs w:val="28"/>
          <w:highlight w:val="none"/>
          <w:u w:val="single"/>
          <w:shd w:val="clear" w:color="auto" w:fill="FEF2CC" w:themeFill="accent4" w:themeFillTint="33"/>
        </w:rPr>
        <w:t>[4]</w:t>
      </w:r>
      <w:r>
        <w:rPr>
          <w:rFonts w:hint="eastAsia"/>
          <w:bCs/>
          <w:sz w:val="28"/>
          <w:szCs w:val="28"/>
          <w:highlight w:val="none"/>
        </w:rPr>
        <w:t>小时内更换有缺陷的设备或部件、排除故障。若</w:t>
      </w:r>
      <w:r>
        <w:rPr>
          <w:rFonts w:hint="eastAsia"/>
          <w:sz w:val="28"/>
          <w:szCs w:val="28"/>
          <w:highlight w:val="none"/>
        </w:rPr>
        <w:t>故障不能在[</w:t>
      </w:r>
      <w:r>
        <w:rPr>
          <w:rFonts w:hint="eastAsia"/>
          <w:sz w:val="28"/>
          <w:szCs w:val="28"/>
          <w:highlight w:val="none"/>
          <w:u w:val="single"/>
        </w:rPr>
        <w:t xml:space="preserve"> 8 </w:t>
      </w:r>
      <w:r>
        <w:rPr>
          <w:rFonts w:hint="eastAsia"/>
          <w:sz w:val="28"/>
          <w:szCs w:val="28"/>
          <w:highlight w:val="none"/>
        </w:rPr>
        <w:t>]小时内排除，须书面提供故障的解决方案，并报使用科室和管理部门审批同意后，在限期内解决；且</w:t>
      </w:r>
      <w:r>
        <w:rPr>
          <w:rFonts w:hint="eastAsia"/>
          <w:bCs/>
          <w:sz w:val="28"/>
          <w:szCs w:val="28"/>
          <w:highlight w:val="none"/>
        </w:rPr>
        <w:t>乙方不能按时排除故障时，应提供备用设备给甲方维持工作，同时甲方有权另行聘请第三方进行维修，所发生的费用由乙方承担。</w:t>
      </w:r>
    </w:p>
    <w:p>
      <w:pPr>
        <w:pStyle w:val="30"/>
        <w:numPr>
          <w:ilvl w:val="0"/>
          <w:numId w:val="157"/>
        </w:numPr>
        <w:spacing w:after="0" w:line="240" w:lineRule="auto"/>
        <w:ind w:left="641" w:leftChars="267" w:right="144" w:rightChars="60" w:firstLineChars="0"/>
        <w:rPr>
          <w:bCs/>
          <w:sz w:val="28"/>
          <w:szCs w:val="28"/>
          <w:highlight w:val="none"/>
        </w:rPr>
      </w:pPr>
      <w:r>
        <w:rPr>
          <w:rFonts w:hint="eastAsia"/>
          <w:bCs/>
          <w:sz w:val="28"/>
          <w:szCs w:val="28"/>
          <w:highlight w:val="none"/>
        </w:rPr>
        <w:t>系统上线后，</w:t>
      </w:r>
      <w:r>
        <w:rPr>
          <w:rFonts w:hint="eastAsia"/>
          <w:sz w:val="28"/>
          <w:szCs w:val="28"/>
          <w:highlight w:val="none"/>
        </w:rPr>
        <w:t>对于节假日无特殊要求现场服务时，乙方须提供以下3种服务方式：在线服务，通过即时通信工具（如QQ、微信、邮件等）为用户提供提交问题、查询问题、解决问题的服务；电话服务，通过电话为甲方解决问题的服务；远程服务，通过堡垒机远程连接对甲方的系统进行远程调试并解决问题的服务。</w:t>
      </w:r>
    </w:p>
    <w:p>
      <w:pPr>
        <w:numPr>
          <w:ilvl w:val="0"/>
          <w:numId w:val="157"/>
        </w:numPr>
        <w:spacing w:after="0" w:line="240" w:lineRule="auto"/>
        <w:ind w:left="651" w:leftChars="267" w:right="144" w:rightChars="60"/>
        <w:rPr>
          <w:bCs/>
          <w:sz w:val="28"/>
          <w:szCs w:val="28"/>
          <w:highlight w:val="none"/>
        </w:rPr>
      </w:pPr>
      <w:r>
        <w:rPr>
          <w:rFonts w:hint="eastAsia"/>
          <w:bCs/>
          <w:sz w:val="28"/>
          <w:szCs w:val="28"/>
          <w:highlight w:val="none"/>
        </w:rPr>
        <w:t>系统上线后，</w:t>
      </w:r>
      <w:r>
        <w:rPr>
          <w:rFonts w:hint="eastAsia"/>
          <w:sz w:val="28"/>
          <w:szCs w:val="28"/>
          <w:highlight w:val="none"/>
        </w:rPr>
        <w:t>乙方须确保每月内因软件系统造成非计划停机时间不超过[</w:t>
      </w:r>
      <w:r>
        <w:rPr>
          <w:rFonts w:hint="eastAsia"/>
          <w:sz w:val="28"/>
          <w:szCs w:val="28"/>
          <w:highlight w:val="none"/>
          <w:u w:val="single"/>
        </w:rPr>
        <w:t xml:space="preserve"> 0.5 </w:t>
      </w:r>
      <w:r>
        <w:rPr>
          <w:rFonts w:hint="eastAsia"/>
          <w:sz w:val="28"/>
          <w:szCs w:val="28"/>
          <w:highlight w:val="none"/>
        </w:rPr>
        <w:t>]小时，每年度内因软件系统造成非计划停机次数不超过[</w:t>
      </w:r>
      <w:r>
        <w:rPr>
          <w:rFonts w:hint="eastAsia"/>
          <w:sz w:val="28"/>
          <w:szCs w:val="28"/>
          <w:highlight w:val="none"/>
          <w:u w:val="single"/>
        </w:rPr>
        <w:t xml:space="preserve"> 3 </w:t>
      </w:r>
      <w:r>
        <w:rPr>
          <w:rFonts w:hint="eastAsia"/>
          <w:sz w:val="28"/>
          <w:szCs w:val="28"/>
          <w:highlight w:val="none"/>
        </w:rPr>
        <w:t>]次，且每次非计划停机恢复时间不超过[</w:t>
      </w:r>
      <w:r>
        <w:rPr>
          <w:rFonts w:hint="eastAsia"/>
          <w:sz w:val="28"/>
          <w:szCs w:val="28"/>
          <w:highlight w:val="none"/>
          <w:u w:val="single"/>
        </w:rPr>
        <w:t xml:space="preserve"> 0.5 </w:t>
      </w:r>
      <w:r>
        <w:rPr>
          <w:rFonts w:hint="eastAsia"/>
          <w:sz w:val="28"/>
          <w:szCs w:val="28"/>
          <w:highlight w:val="none"/>
        </w:rPr>
        <w:t>]小时。否则每多[</w:t>
      </w:r>
      <w:r>
        <w:rPr>
          <w:rFonts w:hint="eastAsia"/>
          <w:sz w:val="28"/>
          <w:szCs w:val="28"/>
          <w:highlight w:val="none"/>
          <w:u w:val="single"/>
        </w:rPr>
        <w:t xml:space="preserve"> 1 </w:t>
      </w:r>
      <w:r>
        <w:rPr>
          <w:rFonts w:hint="eastAsia"/>
          <w:sz w:val="28"/>
          <w:szCs w:val="28"/>
          <w:highlight w:val="none"/>
        </w:rPr>
        <w:t>]次或恢复时间超过[</w:t>
      </w:r>
      <w:r>
        <w:rPr>
          <w:rFonts w:hint="eastAsia"/>
          <w:sz w:val="28"/>
          <w:szCs w:val="28"/>
          <w:highlight w:val="none"/>
          <w:u w:val="single"/>
        </w:rPr>
        <w:t xml:space="preserve"> 0.5 </w:t>
      </w:r>
      <w:r>
        <w:rPr>
          <w:rFonts w:hint="eastAsia"/>
          <w:sz w:val="28"/>
          <w:szCs w:val="28"/>
          <w:highlight w:val="none"/>
        </w:rPr>
        <w:t>]小时。</w:t>
      </w:r>
    </w:p>
    <w:p>
      <w:pPr>
        <w:numPr>
          <w:ilvl w:val="0"/>
          <w:numId w:val="157"/>
        </w:numPr>
        <w:spacing w:after="0" w:line="240" w:lineRule="auto"/>
        <w:ind w:left="651" w:leftChars="267" w:right="144" w:rightChars="60"/>
        <w:rPr>
          <w:bCs/>
          <w:sz w:val="28"/>
          <w:szCs w:val="28"/>
          <w:highlight w:val="none"/>
        </w:rPr>
      </w:pPr>
      <w:r>
        <w:rPr>
          <w:rFonts w:hint="eastAsia"/>
          <w:bCs/>
          <w:sz w:val="28"/>
          <w:szCs w:val="28"/>
          <w:highlight w:val="none"/>
        </w:rPr>
        <w:t>系统上线后，</w:t>
      </w:r>
      <w:r>
        <w:rPr>
          <w:rFonts w:hint="eastAsia"/>
          <w:sz w:val="28"/>
          <w:szCs w:val="28"/>
          <w:highlight w:val="none"/>
        </w:rPr>
        <w:t>乙方须确保每月内因软件系统造成部门级业务影响次数不超过[</w:t>
      </w:r>
      <w:r>
        <w:rPr>
          <w:rFonts w:hint="eastAsia"/>
          <w:sz w:val="28"/>
          <w:szCs w:val="28"/>
          <w:highlight w:val="none"/>
          <w:u w:val="single"/>
        </w:rPr>
        <w:t xml:space="preserve"> 1 </w:t>
      </w:r>
      <w:r>
        <w:rPr>
          <w:rFonts w:hint="eastAsia"/>
          <w:sz w:val="28"/>
          <w:szCs w:val="28"/>
          <w:highlight w:val="none"/>
        </w:rPr>
        <w:t>]次，每年度内因软件系统造成部门级业务影响次数不超过[</w:t>
      </w:r>
      <w:r>
        <w:rPr>
          <w:rFonts w:hint="eastAsia"/>
          <w:sz w:val="28"/>
          <w:szCs w:val="28"/>
          <w:highlight w:val="none"/>
          <w:u w:val="single"/>
        </w:rPr>
        <w:t xml:space="preserve"> 3 </w:t>
      </w:r>
      <w:r>
        <w:rPr>
          <w:rFonts w:hint="eastAsia"/>
          <w:sz w:val="28"/>
          <w:szCs w:val="28"/>
          <w:highlight w:val="none"/>
        </w:rPr>
        <w:t>]次，且每次恢复时间不超过</w:t>
      </w:r>
      <w:r>
        <w:rPr>
          <w:rFonts w:hint="eastAsia"/>
          <w:sz w:val="28"/>
          <w:szCs w:val="28"/>
          <w:highlight w:val="none"/>
          <w:u w:val="single"/>
          <w:shd w:val="clear" w:color="auto" w:fill="FEF2CC" w:themeFill="accent4" w:themeFillTint="33"/>
        </w:rPr>
        <w:t>[ 60 ]</w:t>
      </w:r>
      <w:r>
        <w:rPr>
          <w:rFonts w:hint="eastAsia"/>
          <w:sz w:val="28"/>
          <w:szCs w:val="28"/>
          <w:highlight w:val="none"/>
        </w:rPr>
        <w:t>分钟，否则每多[</w:t>
      </w:r>
      <w:r>
        <w:rPr>
          <w:rFonts w:hint="eastAsia"/>
          <w:sz w:val="28"/>
          <w:szCs w:val="28"/>
          <w:highlight w:val="none"/>
          <w:u w:val="single"/>
        </w:rPr>
        <w:t xml:space="preserve"> 1 </w:t>
      </w:r>
      <w:r>
        <w:rPr>
          <w:rFonts w:hint="eastAsia"/>
          <w:sz w:val="28"/>
          <w:szCs w:val="28"/>
          <w:highlight w:val="none"/>
        </w:rPr>
        <w:t>]次或恢复时间超过</w:t>
      </w:r>
      <w:r>
        <w:rPr>
          <w:rFonts w:hint="eastAsia"/>
          <w:sz w:val="28"/>
          <w:szCs w:val="28"/>
          <w:highlight w:val="none"/>
          <w:u w:val="single"/>
          <w:shd w:val="clear" w:color="auto" w:fill="FEF2CC" w:themeFill="accent4" w:themeFillTint="33"/>
        </w:rPr>
        <w:t>[ 60 ]</w:t>
      </w:r>
      <w:r>
        <w:rPr>
          <w:rFonts w:hint="eastAsia"/>
          <w:sz w:val="28"/>
          <w:szCs w:val="28"/>
          <w:highlight w:val="none"/>
        </w:rPr>
        <w:t>分钟。</w:t>
      </w:r>
    </w:p>
    <w:p>
      <w:pPr>
        <w:numPr>
          <w:ilvl w:val="0"/>
          <w:numId w:val="157"/>
        </w:numPr>
        <w:spacing w:after="0" w:line="240" w:lineRule="auto"/>
        <w:ind w:left="651" w:leftChars="267" w:right="144" w:rightChars="60"/>
        <w:rPr>
          <w:bCs/>
          <w:sz w:val="28"/>
          <w:szCs w:val="28"/>
          <w:highlight w:val="none"/>
        </w:rPr>
      </w:pPr>
      <w:r>
        <w:rPr>
          <w:rFonts w:hint="eastAsia"/>
          <w:bCs/>
          <w:sz w:val="28"/>
          <w:szCs w:val="28"/>
          <w:highlight w:val="none"/>
        </w:rPr>
        <w:t>系统上线后，乙方提供每季度/月一次的巡检服务，检查设备的运行状况，查看系统日志，并根据检查结果提供建议，必要时进行预防性维修，并提交服务报告,提供配置变更、关键时刻值守及现场应急支持服务，对项目上线后的参数修改、系统配置变更、逻辑空间调整、软件使用故障的诊断/分析/排除、应急处置、重大节日/关键时刻现场值守等服务需求。</w:t>
      </w:r>
    </w:p>
    <w:p>
      <w:pPr>
        <w:pStyle w:val="30"/>
        <w:numPr>
          <w:ilvl w:val="0"/>
          <w:numId w:val="157"/>
        </w:numPr>
        <w:spacing w:after="0" w:line="240" w:lineRule="auto"/>
        <w:ind w:left="641" w:leftChars="267" w:right="144" w:rightChars="60" w:firstLineChars="0"/>
        <w:rPr>
          <w:bCs/>
          <w:sz w:val="28"/>
          <w:szCs w:val="28"/>
          <w:highlight w:val="none"/>
        </w:rPr>
      </w:pPr>
      <w:r>
        <w:rPr>
          <w:rFonts w:hint="eastAsia"/>
          <w:bCs/>
          <w:sz w:val="28"/>
          <w:szCs w:val="28"/>
          <w:highlight w:val="none"/>
        </w:rPr>
        <w:t>对质保期内的故障报修，如乙方未能做到上款的服务承诺，甲方可采取必要的补救措施，但其风险和费用由乙方承担，甲方根据合同规定对乙方行使的其它权利不受影响。由于乙方的保证服务不到位或故障影响甲方正常使用，质保期的到期时间将顺延</w:t>
      </w:r>
      <w:r>
        <w:rPr>
          <w:rFonts w:hint="eastAsia"/>
          <w:bCs/>
          <w:sz w:val="28"/>
          <w:szCs w:val="28"/>
          <w:highlight w:val="none"/>
          <w:u w:val="single"/>
        </w:rPr>
        <w:t>1</w:t>
      </w:r>
      <w:r>
        <w:rPr>
          <w:rFonts w:hint="eastAsia"/>
          <w:bCs/>
          <w:sz w:val="28"/>
          <w:szCs w:val="28"/>
          <w:highlight w:val="none"/>
        </w:rPr>
        <w:t>个月/次。</w:t>
      </w:r>
    </w:p>
    <w:p>
      <w:pPr>
        <w:pStyle w:val="30"/>
        <w:numPr>
          <w:ilvl w:val="0"/>
          <w:numId w:val="157"/>
        </w:numPr>
        <w:spacing w:after="0" w:line="240" w:lineRule="auto"/>
        <w:ind w:left="641" w:leftChars="267" w:right="144" w:rightChars="60" w:firstLineChars="0"/>
        <w:rPr>
          <w:bCs/>
          <w:sz w:val="28"/>
          <w:szCs w:val="28"/>
          <w:highlight w:val="none"/>
        </w:rPr>
      </w:pPr>
      <w:r>
        <w:rPr>
          <w:rFonts w:hint="eastAsia"/>
          <w:bCs/>
          <w:sz w:val="28"/>
          <w:szCs w:val="28"/>
          <w:highlight w:val="none"/>
        </w:rPr>
        <w:t>质保期内因用户使用、管理不当所造成的损失由甲方承担，乙方提供有偿服务。</w:t>
      </w:r>
    </w:p>
    <w:p>
      <w:pPr>
        <w:pStyle w:val="30"/>
        <w:numPr>
          <w:ilvl w:val="0"/>
          <w:numId w:val="157"/>
        </w:numPr>
        <w:spacing w:after="0" w:line="240" w:lineRule="auto"/>
        <w:ind w:left="641" w:leftChars="267" w:right="144" w:rightChars="60" w:firstLineChars="0"/>
        <w:rPr>
          <w:bCs/>
          <w:sz w:val="28"/>
          <w:szCs w:val="28"/>
          <w:highlight w:val="none"/>
        </w:rPr>
      </w:pPr>
      <w:r>
        <w:rPr>
          <w:rFonts w:hint="eastAsia"/>
          <w:bCs/>
          <w:sz w:val="28"/>
          <w:szCs w:val="28"/>
          <w:highlight w:val="none"/>
        </w:rPr>
        <w:t>系统正式上线后，乙方需严格执行医院信息化相关的管理制度，做好版本管理、代码管理，在未征得用户同意的情况下，擅自修改数据库、中间件、软件系统，用户有权收取合同总金额</w:t>
      </w:r>
      <w:r>
        <w:rPr>
          <w:rFonts w:hint="eastAsia"/>
          <w:bCs/>
          <w:sz w:val="28"/>
          <w:szCs w:val="28"/>
          <w:highlight w:val="none"/>
          <w:u w:val="single"/>
          <w:shd w:val="clear" w:color="auto" w:fill="FEF2CC" w:themeFill="accent4" w:themeFillTint="33"/>
        </w:rPr>
        <w:t>[0.1%]</w:t>
      </w:r>
      <w:r>
        <w:rPr>
          <w:rFonts w:hint="eastAsia"/>
          <w:bCs/>
          <w:sz w:val="28"/>
          <w:szCs w:val="28"/>
          <w:highlight w:val="none"/>
        </w:rPr>
        <w:t>的违约金，如造成用户损失，用户有权向乙方追索因此而导致的一切损失。</w:t>
      </w:r>
    </w:p>
    <w:p>
      <w:pPr>
        <w:pStyle w:val="30"/>
        <w:numPr>
          <w:ilvl w:val="0"/>
          <w:numId w:val="157"/>
        </w:numPr>
        <w:spacing w:after="0" w:line="240" w:lineRule="auto"/>
        <w:ind w:left="641" w:leftChars="267" w:right="144" w:rightChars="60" w:firstLineChars="0"/>
        <w:rPr>
          <w:bCs/>
          <w:sz w:val="28"/>
          <w:szCs w:val="28"/>
          <w:highlight w:val="none"/>
        </w:rPr>
      </w:pPr>
      <w:r>
        <w:rPr>
          <w:rFonts w:hint="eastAsia"/>
          <w:bCs/>
          <w:sz w:val="28"/>
          <w:szCs w:val="28"/>
          <w:highlight w:val="none"/>
        </w:rPr>
        <w:t>系统验收后，用户满意度度低于</w:t>
      </w:r>
      <w:r>
        <w:rPr>
          <w:rFonts w:hint="eastAsia"/>
          <w:bCs/>
          <w:sz w:val="28"/>
          <w:szCs w:val="28"/>
          <w:highlight w:val="none"/>
          <w:u w:val="single"/>
          <w:shd w:val="clear" w:color="auto" w:fill="FEF2CC" w:themeFill="accent4" w:themeFillTint="33"/>
        </w:rPr>
        <w:t>[85%]</w:t>
      </w:r>
      <w:r>
        <w:rPr>
          <w:rFonts w:hint="eastAsia"/>
          <w:bCs/>
          <w:sz w:val="28"/>
          <w:szCs w:val="28"/>
          <w:highlight w:val="none"/>
        </w:rPr>
        <w:t>，乙方需增加现场运维工程师、开发工程师，直到用户满意度达到</w:t>
      </w:r>
      <w:r>
        <w:rPr>
          <w:rFonts w:hint="eastAsia"/>
          <w:bCs/>
          <w:sz w:val="28"/>
          <w:szCs w:val="28"/>
          <w:highlight w:val="none"/>
          <w:u w:val="single"/>
          <w:shd w:val="clear" w:color="auto" w:fill="FEF2CC" w:themeFill="accent4" w:themeFillTint="33"/>
        </w:rPr>
        <w:t>[85%]</w:t>
      </w:r>
      <w:r>
        <w:rPr>
          <w:rFonts w:hint="eastAsia"/>
          <w:bCs/>
          <w:sz w:val="28"/>
          <w:szCs w:val="28"/>
          <w:highlight w:val="none"/>
        </w:rPr>
        <w:t>为止。</w:t>
      </w:r>
    </w:p>
    <w:p>
      <w:pPr>
        <w:ind w:right="144" w:rightChars="60" w:firstLine="560" w:firstLineChars="200"/>
        <w:rPr>
          <w:bCs/>
          <w:sz w:val="28"/>
          <w:szCs w:val="28"/>
          <w:highlight w:val="none"/>
        </w:rPr>
      </w:pPr>
      <w:r>
        <w:rPr>
          <w:rFonts w:hint="eastAsia"/>
          <w:sz w:val="28"/>
          <w:szCs w:val="28"/>
          <w:highlight w:val="none"/>
        </w:rPr>
        <w:t>12.2质量保证期结束后乙方向甲方提供下列服务</w:t>
      </w:r>
    </w:p>
    <w:p>
      <w:pPr>
        <w:pStyle w:val="30"/>
        <w:numPr>
          <w:ilvl w:val="0"/>
          <w:numId w:val="158"/>
        </w:numPr>
        <w:spacing w:after="0" w:line="240" w:lineRule="auto"/>
        <w:ind w:left="641" w:leftChars="267" w:right="144" w:rightChars="60" w:firstLineChars="0"/>
        <w:rPr>
          <w:bCs/>
          <w:sz w:val="28"/>
          <w:szCs w:val="28"/>
          <w:highlight w:val="none"/>
        </w:rPr>
      </w:pPr>
      <w:r>
        <w:rPr>
          <w:rFonts w:hint="eastAsia"/>
          <w:bCs/>
          <w:sz w:val="28"/>
          <w:szCs w:val="28"/>
          <w:highlight w:val="none"/>
        </w:rPr>
        <w:t>质量保证期满后，若有零部件或软件出现故障，经鉴定部门鉴定属于寿命异常问题（明显短于该零部件正常寿命）时，则由乙方负责免费更换及维修。</w:t>
      </w:r>
    </w:p>
    <w:p>
      <w:pPr>
        <w:pStyle w:val="30"/>
        <w:numPr>
          <w:ilvl w:val="0"/>
          <w:numId w:val="158"/>
        </w:numPr>
        <w:spacing w:after="0" w:line="240" w:lineRule="auto"/>
        <w:ind w:left="641" w:leftChars="267" w:right="144" w:rightChars="60" w:firstLineChars="0"/>
        <w:rPr>
          <w:bCs/>
          <w:sz w:val="28"/>
          <w:szCs w:val="28"/>
          <w:highlight w:val="none"/>
        </w:rPr>
      </w:pPr>
      <w:r>
        <w:rPr>
          <w:rFonts w:hint="eastAsia"/>
          <w:bCs/>
          <w:sz w:val="28"/>
          <w:szCs w:val="28"/>
          <w:highlight w:val="none"/>
        </w:rPr>
        <w:t>质量保证期满后，应甲方要求，乙方应（参考当时的市场价格）按优惠价格与甲方签订定期维修保养合同及提供甲方所需零配件。</w:t>
      </w:r>
    </w:p>
    <w:p>
      <w:pPr>
        <w:pStyle w:val="30"/>
        <w:numPr>
          <w:ilvl w:val="0"/>
          <w:numId w:val="158"/>
        </w:numPr>
        <w:spacing w:after="0" w:line="240" w:lineRule="auto"/>
        <w:ind w:left="641" w:leftChars="267" w:right="144" w:rightChars="60" w:firstLineChars="0"/>
        <w:rPr>
          <w:bCs/>
          <w:sz w:val="28"/>
          <w:szCs w:val="28"/>
          <w:highlight w:val="none"/>
        </w:rPr>
      </w:pPr>
      <w:r>
        <w:rPr>
          <w:rFonts w:hint="eastAsia"/>
          <w:bCs/>
          <w:sz w:val="28"/>
          <w:szCs w:val="28"/>
          <w:highlight w:val="none"/>
        </w:rPr>
        <w:t>在备件停止生产的情况下，乙方应事先将要停止生产的计划通知甲方，使甲方有足够的时间采购所需备件；在备件停止生产后，乙方应免费向甲方提供备件的图纸、资料。</w:t>
      </w:r>
    </w:p>
    <w:p>
      <w:pPr>
        <w:numPr>
          <w:ilvl w:val="0"/>
          <w:numId w:val="156"/>
        </w:numPr>
        <w:spacing w:after="0" w:line="240" w:lineRule="auto"/>
        <w:ind w:left="0" w:right="144" w:rightChars="60" w:firstLine="281" w:firstLineChars="100"/>
        <w:rPr>
          <w:b/>
          <w:sz w:val="28"/>
          <w:szCs w:val="28"/>
          <w:highlight w:val="none"/>
        </w:rPr>
      </w:pPr>
      <w:r>
        <w:rPr>
          <w:rFonts w:hint="eastAsia"/>
          <w:b/>
          <w:sz w:val="28"/>
          <w:szCs w:val="28"/>
          <w:highlight w:val="none"/>
        </w:rPr>
        <w:t>知识产权及软件系统源代码</w:t>
      </w:r>
    </w:p>
    <w:p>
      <w:pPr>
        <w:ind w:right="144" w:rightChars="60" w:firstLine="560" w:firstLineChars="200"/>
        <w:rPr>
          <w:sz w:val="28"/>
          <w:szCs w:val="28"/>
          <w:highlight w:val="none"/>
        </w:rPr>
      </w:pPr>
      <w:r>
        <w:rPr>
          <w:rFonts w:hint="eastAsia"/>
          <w:sz w:val="28"/>
          <w:szCs w:val="28"/>
          <w:highlight w:val="none"/>
        </w:rPr>
        <w:t>13.1乙方保证向甲方提交的工作成果不侵害任何第三方的知识产权。如受第三方提出的侵犯其知识产权的起诉，甲方不涉入任何此等纠纷，由乙方负责解决并承担责任；如甲方涉入纠纷，则乙方同意赔偿甲方因涉入纠纷所承担的所有费用，包括但不限于上述纠纷中产生的一切诉讼/仲裁费用、保全费用、保险费用、律师费用、和解金额、赔偿金额。</w:t>
      </w:r>
    </w:p>
    <w:p>
      <w:pPr>
        <w:ind w:right="144" w:rightChars="60" w:firstLine="560" w:firstLineChars="200"/>
        <w:rPr>
          <w:sz w:val="28"/>
          <w:szCs w:val="28"/>
          <w:highlight w:val="none"/>
        </w:rPr>
      </w:pPr>
      <w:bookmarkStart w:id="410" w:name="_Hlk46149359"/>
      <w:r>
        <w:rPr>
          <w:rFonts w:hint="eastAsia"/>
          <w:sz w:val="28"/>
          <w:szCs w:val="28"/>
          <w:highlight w:val="none"/>
        </w:rPr>
        <w:t>13.2乙方在履行本合同过程中所创造产生的有关本合同项下知识产权，包括但不限于软件著作权、技术专利权、设计方案图纸、各种说明书、测试数据资料、程序源代码以及其他技术文档，由甲方依法所有。</w:t>
      </w:r>
      <w:bookmarkEnd w:id="410"/>
      <w:r>
        <w:rPr>
          <w:rFonts w:hint="eastAsia"/>
          <w:sz w:val="28"/>
          <w:szCs w:val="28"/>
          <w:highlight w:val="none"/>
        </w:rPr>
        <w:t>软件免费维护期结束后，甲方可根据实际需求修改系统、扩充功能，乙方应提供必要的协助配合，乙方对因甲方修改系统所造成的问题和损失不承担任何责任。</w:t>
      </w:r>
    </w:p>
    <w:p>
      <w:pPr>
        <w:ind w:right="144" w:rightChars="60" w:firstLine="560" w:firstLineChars="200"/>
        <w:rPr>
          <w:sz w:val="28"/>
          <w:szCs w:val="28"/>
          <w:highlight w:val="none"/>
        </w:rPr>
      </w:pPr>
      <w:r>
        <w:rPr>
          <w:rFonts w:hint="eastAsia"/>
          <w:sz w:val="28"/>
          <w:szCs w:val="28"/>
          <w:highlight w:val="none"/>
        </w:rPr>
        <w:t>13.3甲方在使用乙方提供的属于第三方软件时，应当依照乙方与第三方对该软件使用的约定进行。乙方应将该约定的书面文件的复印件交甲方参阅。</w:t>
      </w:r>
    </w:p>
    <w:p>
      <w:pPr>
        <w:ind w:right="144" w:rightChars="60" w:firstLine="560" w:firstLineChars="200"/>
        <w:rPr>
          <w:sz w:val="28"/>
          <w:szCs w:val="28"/>
          <w:highlight w:val="none"/>
        </w:rPr>
      </w:pPr>
      <w:r>
        <w:rPr>
          <w:rFonts w:hint="eastAsia"/>
          <w:sz w:val="28"/>
          <w:szCs w:val="28"/>
          <w:highlight w:val="none"/>
        </w:rPr>
        <w:t>13.4 ★</w:t>
      </w:r>
      <w:r>
        <w:rPr>
          <w:rFonts w:hint="eastAsia"/>
          <w:bCs/>
          <w:sz w:val="28"/>
          <w:szCs w:val="28"/>
          <w:highlight w:val="none"/>
        </w:rPr>
        <w:t>中山大学附属第一医院</w:t>
      </w:r>
      <w:r>
        <w:rPr>
          <w:rFonts w:hint="eastAsia"/>
          <w:sz w:val="28"/>
          <w:szCs w:val="28"/>
          <w:highlight w:val="none"/>
        </w:rPr>
        <w:t>拥有该系统软件的永久免费使用权。</w:t>
      </w:r>
    </w:p>
    <w:p>
      <w:pPr>
        <w:ind w:right="144" w:rightChars="60" w:firstLine="560" w:firstLineChars="200"/>
        <w:rPr>
          <w:sz w:val="28"/>
          <w:szCs w:val="28"/>
          <w:highlight w:val="none"/>
        </w:rPr>
      </w:pPr>
      <w:r>
        <w:rPr>
          <w:rFonts w:hint="eastAsia"/>
          <w:sz w:val="28"/>
          <w:szCs w:val="28"/>
          <w:highlight w:val="none"/>
        </w:rPr>
        <w:t>13.5.</w:t>
      </w:r>
      <w:r>
        <w:rPr>
          <w:rFonts w:hint="eastAsia"/>
          <w:sz w:val="28"/>
          <w:szCs w:val="28"/>
          <w:highlight w:val="none"/>
        </w:rPr>
        <w:tab/>
      </w:r>
      <w:r>
        <w:rPr>
          <w:rFonts w:hint="eastAsia"/>
          <w:sz w:val="28"/>
          <w:szCs w:val="28"/>
          <w:highlight w:val="none"/>
        </w:rPr>
        <w:t>如有关法院、仲裁机构或行政机关禁止甲方继续使用本合同项下货物的部分或全部，乙方应酌情采取以下措施之一：</w:t>
      </w:r>
    </w:p>
    <w:p>
      <w:pPr>
        <w:ind w:right="144" w:rightChars="60" w:firstLine="560" w:firstLineChars="200"/>
        <w:rPr>
          <w:sz w:val="28"/>
          <w:szCs w:val="28"/>
          <w:highlight w:val="none"/>
        </w:rPr>
      </w:pPr>
      <w:r>
        <w:rPr>
          <w:rFonts w:hint="eastAsia"/>
          <w:sz w:val="28"/>
          <w:szCs w:val="28"/>
          <w:highlight w:val="none"/>
        </w:rPr>
        <w:t>（1）使甲方重新免费获得使用上述货物的权利；</w:t>
      </w:r>
    </w:p>
    <w:p>
      <w:pPr>
        <w:ind w:right="144" w:rightChars="60" w:firstLine="560" w:firstLineChars="200"/>
        <w:rPr>
          <w:sz w:val="28"/>
          <w:szCs w:val="28"/>
          <w:highlight w:val="none"/>
        </w:rPr>
      </w:pPr>
      <w:r>
        <w:rPr>
          <w:rFonts w:hint="eastAsia"/>
          <w:sz w:val="28"/>
          <w:szCs w:val="28"/>
          <w:highlight w:val="none"/>
        </w:rPr>
        <w:t>（2）免费更换或改造上述货物，使甲方不受上述禁令限制继续使用该货物。</w:t>
      </w:r>
    </w:p>
    <w:p>
      <w:pPr>
        <w:ind w:right="144" w:rightChars="60" w:firstLine="560" w:firstLineChars="200"/>
        <w:rPr>
          <w:sz w:val="28"/>
          <w:szCs w:val="28"/>
          <w:highlight w:val="none"/>
        </w:rPr>
      </w:pPr>
      <w:r>
        <w:rPr>
          <w:rFonts w:hint="eastAsia"/>
          <w:sz w:val="28"/>
          <w:szCs w:val="28"/>
          <w:highlight w:val="none"/>
        </w:rPr>
        <w:t>乙方采取上述措施不能免除乙方就甲方因此遭受的损失进行赔偿的义务。</w:t>
      </w:r>
    </w:p>
    <w:p>
      <w:pPr>
        <w:ind w:right="144" w:rightChars="60" w:firstLine="560" w:firstLineChars="200"/>
        <w:rPr>
          <w:sz w:val="28"/>
          <w:szCs w:val="28"/>
          <w:highlight w:val="none"/>
        </w:rPr>
      </w:pPr>
      <w:r>
        <w:rPr>
          <w:rFonts w:hint="eastAsia"/>
          <w:sz w:val="28"/>
          <w:szCs w:val="28"/>
          <w:highlight w:val="none"/>
        </w:rPr>
        <w:t>13.6.</w:t>
      </w:r>
      <w:r>
        <w:rPr>
          <w:rFonts w:hint="eastAsia"/>
          <w:sz w:val="28"/>
          <w:szCs w:val="28"/>
          <w:highlight w:val="none"/>
        </w:rPr>
        <w:tab/>
      </w:r>
      <w:r>
        <w:rPr>
          <w:rFonts w:hint="eastAsia"/>
          <w:sz w:val="28"/>
          <w:szCs w:val="28"/>
          <w:highlight w:val="none"/>
        </w:rPr>
        <w:t>★为使甲方使用此系统的使用、升级和维护风险降到最低，乙方向甲方开放在甲方的中山大学附属第一医院实施的系统源代码及所有相关技术文档，乙方将源码以封存方式提交至甲方（投标人提供承诺书并加盖公章）：</w:t>
      </w:r>
    </w:p>
    <w:p>
      <w:pPr>
        <w:ind w:right="144" w:rightChars="60" w:firstLine="560" w:firstLineChars="200"/>
        <w:rPr>
          <w:sz w:val="28"/>
          <w:szCs w:val="28"/>
          <w:highlight w:val="none"/>
        </w:rPr>
      </w:pPr>
      <w:r>
        <w:rPr>
          <w:rFonts w:hint="eastAsia"/>
          <w:sz w:val="28"/>
          <w:szCs w:val="28"/>
          <w:highlight w:val="none"/>
        </w:rPr>
        <w:t>封存源码内容：</w:t>
      </w:r>
    </w:p>
    <w:p>
      <w:pPr>
        <w:ind w:right="144" w:rightChars="60" w:firstLine="560" w:firstLineChars="200"/>
        <w:rPr>
          <w:sz w:val="28"/>
          <w:szCs w:val="28"/>
          <w:highlight w:val="none"/>
        </w:rPr>
      </w:pPr>
      <w:r>
        <w:rPr>
          <w:rFonts w:hint="eastAsia"/>
          <w:sz w:val="28"/>
          <w:szCs w:val="28"/>
          <w:highlight w:val="none"/>
        </w:rPr>
        <w:t>包括一切与甲方业务相关的应用模块源码。</w:t>
      </w:r>
    </w:p>
    <w:p>
      <w:pPr>
        <w:ind w:right="144" w:rightChars="60" w:firstLine="560" w:firstLineChars="200"/>
        <w:rPr>
          <w:sz w:val="28"/>
          <w:szCs w:val="28"/>
          <w:highlight w:val="none"/>
        </w:rPr>
      </w:pPr>
      <w:r>
        <w:rPr>
          <w:rFonts w:hint="eastAsia"/>
          <w:sz w:val="28"/>
          <w:szCs w:val="28"/>
          <w:highlight w:val="none"/>
        </w:rPr>
        <w:t>封存源码开启条件：</w:t>
      </w:r>
    </w:p>
    <w:p>
      <w:pPr>
        <w:ind w:right="144" w:rightChars="60" w:firstLine="560" w:firstLineChars="200"/>
        <w:rPr>
          <w:sz w:val="28"/>
          <w:szCs w:val="28"/>
          <w:highlight w:val="none"/>
        </w:rPr>
      </w:pPr>
      <w:r>
        <w:rPr>
          <w:rFonts w:hint="eastAsia"/>
          <w:sz w:val="28"/>
          <w:szCs w:val="28"/>
          <w:highlight w:val="none"/>
        </w:rPr>
        <w:t>甲方解封源码必须要满足以下三种情况中至少其中一项：</w:t>
      </w:r>
    </w:p>
    <w:p>
      <w:pPr>
        <w:ind w:right="144" w:rightChars="60" w:firstLine="560" w:firstLineChars="200"/>
        <w:rPr>
          <w:sz w:val="28"/>
          <w:szCs w:val="28"/>
          <w:highlight w:val="none"/>
        </w:rPr>
      </w:pPr>
      <w:r>
        <w:rPr>
          <w:rFonts w:hint="eastAsia"/>
          <w:sz w:val="28"/>
          <w:szCs w:val="28"/>
          <w:highlight w:val="none"/>
        </w:rPr>
        <w:t>（1）乙方公司结业、破产的等不能正常经营导致无法进行运维服务；</w:t>
      </w:r>
    </w:p>
    <w:p>
      <w:pPr>
        <w:ind w:right="144" w:rightChars="60" w:firstLine="560" w:firstLineChars="200"/>
        <w:rPr>
          <w:sz w:val="28"/>
          <w:szCs w:val="28"/>
          <w:highlight w:val="none"/>
        </w:rPr>
      </w:pPr>
      <w:r>
        <w:rPr>
          <w:rFonts w:hint="eastAsia"/>
          <w:sz w:val="28"/>
          <w:szCs w:val="28"/>
          <w:highlight w:val="none"/>
        </w:rPr>
        <w:t>（2）乙方超过七个工作日，不响应甲方运维需求或乙方超过20个工作日，无法应对系统维护需求，甲方可进行源码解封；</w:t>
      </w:r>
    </w:p>
    <w:p>
      <w:pPr>
        <w:ind w:right="144" w:rightChars="60" w:firstLine="560" w:firstLineChars="200"/>
        <w:rPr>
          <w:sz w:val="28"/>
          <w:szCs w:val="28"/>
          <w:highlight w:val="none"/>
        </w:rPr>
      </w:pPr>
      <w:r>
        <w:rPr>
          <w:rFonts w:hint="eastAsia"/>
          <w:sz w:val="28"/>
          <w:szCs w:val="28"/>
          <w:highlight w:val="none"/>
        </w:rPr>
        <w:t>（3）双方平等协商后，同意进行解封，可凭双方的协商协议进行解封。</w:t>
      </w:r>
    </w:p>
    <w:p>
      <w:pPr>
        <w:ind w:right="144" w:rightChars="60" w:firstLine="560" w:firstLineChars="200"/>
        <w:rPr>
          <w:sz w:val="28"/>
          <w:szCs w:val="28"/>
          <w:highlight w:val="none"/>
        </w:rPr>
      </w:pPr>
      <w:r>
        <w:rPr>
          <w:rFonts w:hint="eastAsia"/>
          <w:sz w:val="28"/>
          <w:szCs w:val="28"/>
          <w:highlight w:val="none"/>
        </w:rPr>
        <w:t>源码封存方式：</w:t>
      </w:r>
    </w:p>
    <w:p>
      <w:pPr>
        <w:ind w:right="144" w:rightChars="60" w:firstLine="560" w:firstLineChars="200"/>
        <w:rPr>
          <w:sz w:val="28"/>
          <w:szCs w:val="28"/>
          <w:highlight w:val="none"/>
        </w:rPr>
      </w:pPr>
      <w:r>
        <w:rPr>
          <w:rFonts w:hint="eastAsia"/>
          <w:sz w:val="28"/>
          <w:szCs w:val="28"/>
          <w:highlight w:val="none"/>
        </w:rPr>
        <w:t>源码封存于加密的文件中（文件有两个密钥），并放于甲方保密室保管，双方分别保管1个密钥，封存文件使用双方中任意一个密钥即可打开。</w:t>
      </w:r>
    </w:p>
    <w:p>
      <w:pPr>
        <w:ind w:right="144" w:rightChars="60" w:firstLine="560" w:firstLineChars="200"/>
        <w:rPr>
          <w:sz w:val="28"/>
          <w:szCs w:val="28"/>
          <w:highlight w:val="none"/>
        </w:rPr>
      </w:pPr>
      <w:r>
        <w:rPr>
          <w:rFonts w:hint="eastAsia"/>
          <w:sz w:val="28"/>
          <w:szCs w:val="28"/>
          <w:highlight w:val="none"/>
        </w:rPr>
        <w:t>源码解封解密：</w:t>
      </w:r>
    </w:p>
    <w:p>
      <w:pPr>
        <w:ind w:right="144" w:rightChars="60" w:firstLine="560" w:firstLineChars="200"/>
        <w:rPr>
          <w:sz w:val="28"/>
          <w:szCs w:val="28"/>
          <w:highlight w:val="none"/>
        </w:rPr>
      </w:pPr>
      <w:r>
        <w:rPr>
          <w:rFonts w:hint="eastAsia"/>
          <w:sz w:val="28"/>
          <w:szCs w:val="28"/>
          <w:highlight w:val="none"/>
        </w:rPr>
        <w:t>（1）使用双方中任意一个密钥进行解封；</w:t>
      </w:r>
    </w:p>
    <w:p>
      <w:pPr>
        <w:ind w:right="144" w:rightChars="60" w:firstLine="560" w:firstLineChars="200"/>
        <w:rPr>
          <w:sz w:val="28"/>
          <w:szCs w:val="28"/>
          <w:highlight w:val="none"/>
        </w:rPr>
      </w:pPr>
      <w:r>
        <w:rPr>
          <w:rFonts w:hint="eastAsia"/>
          <w:sz w:val="28"/>
          <w:szCs w:val="28"/>
          <w:highlight w:val="none"/>
        </w:rPr>
        <w:t>（2）源码运行解密，需联网，系统将自动将密钥发送到默认邮箱。</w:t>
      </w:r>
    </w:p>
    <w:p>
      <w:pPr>
        <w:ind w:right="144" w:rightChars="60" w:firstLine="560" w:firstLineChars="200"/>
        <w:rPr>
          <w:sz w:val="28"/>
          <w:szCs w:val="28"/>
          <w:highlight w:val="none"/>
        </w:rPr>
      </w:pPr>
      <w:r>
        <w:rPr>
          <w:rFonts w:hint="eastAsia"/>
          <w:sz w:val="28"/>
          <w:szCs w:val="28"/>
          <w:highlight w:val="none"/>
        </w:rPr>
        <w:t>13.7.</w:t>
      </w:r>
      <w:r>
        <w:rPr>
          <w:rFonts w:hint="eastAsia"/>
          <w:sz w:val="28"/>
          <w:szCs w:val="28"/>
          <w:highlight w:val="none"/>
        </w:rPr>
        <w:tab/>
      </w:r>
      <w:r>
        <w:rPr>
          <w:rFonts w:hint="eastAsia"/>
          <w:sz w:val="28"/>
          <w:szCs w:val="28"/>
          <w:highlight w:val="none"/>
        </w:rPr>
        <w:t>甲方承诺对此系统源代码进行妥善安全的保管，并承诺只能在解封条款触发的情况下，才能打开系统源代码。</w:t>
      </w:r>
    </w:p>
    <w:p>
      <w:pPr>
        <w:ind w:right="144" w:rightChars="60" w:firstLine="560" w:firstLineChars="200"/>
        <w:rPr>
          <w:sz w:val="28"/>
          <w:szCs w:val="28"/>
          <w:highlight w:val="none"/>
        </w:rPr>
      </w:pPr>
      <w:r>
        <w:rPr>
          <w:rFonts w:hint="eastAsia"/>
          <w:sz w:val="28"/>
          <w:szCs w:val="28"/>
          <w:highlight w:val="none"/>
        </w:rPr>
        <w:t>13.8.</w:t>
      </w:r>
      <w:r>
        <w:rPr>
          <w:rFonts w:hint="eastAsia"/>
          <w:sz w:val="28"/>
          <w:szCs w:val="28"/>
          <w:highlight w:val="none"/>
        </w:rPr>
        <w:tab/>
      </w:r>
      <w:r>
        <w:rPr>
          <w:rFonts w:hint="eastAsia"/>
          <w:sz w:val="28"/>
          <w:szCs w:val="28"/>
          <w:highlight w:val="none"/>
        </w:rPr>
        <w:t>甲方在取得了上述系统源代码后，甲方具有在甲方所属单位的使用权，不得对此源代码做出售，转让，赠送等处理。</w:t>
      </w:r>
    </w:p>
    <w:p>
      <w:pPr>
        <w:ind w:right="144" w:rightChars="60" w:firstLine="560" w:firstLineChars="200"/>
        <w:rPr>
          <w:sz w:val="28"/>
          <w:szCs w:val="28"/>
          <w:highlight w:val="none"/>
        </w:rPr>
      </w:pPr>
      <w:r>
        <w:rPr>
          <w:rFonts w:hint="eastAsia"/>
          <w:sz w:val="28"/>
          <w:szCs w:val="28"/>
          <w:highlight w:val="none"/>
        </w:rPr>
        <w:t>13.9.</w:t>
      </w:r>
      <w:r>
        <w:rPr>
          <w:rFonts w:hint="eastAsia"/>
          <w:sz w:val="28"/>
          <w:szCs w:val="28"/>
          <w:highlight w:val="none"/>
        </w:rPr>
        <w:tab/>
      </w:r>
      <w:r>
        <w:rPr>
          <w:rFonts w:hint="eastAsia"/>
          <w:sz w:val="28"/>
          <w:szCs w:val="28"/>
          <w:highlight w:val="none"/>
        </w:rPr>
        <w:t>在甲方有权开启源代码之后,甲方拥有在上述应用软件系统的全部源代码和系统开发文档资料的基础上进行二次开发的权利。二次开发的系统的知识产权归属甲方。</w:t>
      </w:r>
    </w:p>
    <w:p>
      <w:pPr>
        <w:numPr>
          <w:ilvl w:val="0"/>
          <w:numId w:val="156"/>
        </w:numPr>
        <w:spacing w:after="0" w:line="240" w:lineRule="auto"/>
        <w:ind w:left="0" w:right="144" w:rightChars="60" w:firstLine="281" w:firstLineChars="100"/>
        <w:rPr>
          <w:b/>
          <w:sz w:val="28"/>
          <w:szCs w:val="28"/>
          <w:highlight w:val="none"/>
        </w:rPr>
      </w:pPr>
      <w:r>
        <w:rPr>
          <w:rFonts w:hint="eastAsia"/>
          <w:b/>
          <w:sz w:val="28"/>
          <w:szCs w:val="28"/>
          <w:highlight w:val="none"/>
        </w:rPr>
        <w:t>保密条款</w:t>
      </w:r>
    </w:p>
    <w:p>
      <w:pPr>
        <w:ind w:right="144" w:rightChars="60" w:firstLine="560" w:firstLineChars="200"/>
        <w:rPr>
          <w:b/>
          <w:sz w:val="28"/>
          <w:szCs w:val="28"/>
          <w:highlight w:val="none"/>
        </w:rPr>
      </w:pPr>
      <w:r>
        <w:rPr>
          <w:rFonts w:hint="eastAsia"/>
          <w:bCs/>
          <w:sz w:val="28"/>
          <w:szCs w:val="28"/>
          <w:highlight w:val="none"/>
        </w:rPr>
        <w:t>详见附件《保密协议》</w:t>
      </w:r>
    </w:p>
    <w:p>
      <w:pPr>
        <w:numPr>
          <w:ilvl w:val="0"/>
          <w:numId w:val="156"/>
        </w:numPr>
        <w:spacing w:after="0" w:line="240" w:lineRule="auto"/>
        <w:ind w:left="0" w:right="144" w:rightChars="60" w:firstLine="281" w:firstLineChars="100"/>
        <w:rPr>
          <w:b/>
          <w:sz w:val="28"/>
          <w:szCs w:val="28"/>
          <w:highlight w:val="none"/>
        </w:rPr>
      </w:pPr>
      <w:r>
        <w:rPr>
          <w:rFonts w:hint="eastAsia"/>
          <w:b/>
          <w:sz w:val="28"/>
          <w:szCs w:val="28"/>
          <w:highlight w:val="none"/>
        </w:rPr>
        <w:t>索赔</w:t>
      </w:r>
    </w:p>
    <w:p>
      <w:pPr>
        <w:spacing w:after="156" w:afterLines="50"/>
        <w:ind w:right="144" w:rightChars="60" w:firstLine="560" w:firstLineChars="200"/>
        <w:rPr>
          <w:sz w:val="28"/>
          <w:szCs w:val="28"/>
          <w:highlight w:val="none"/>
        </w:rPr>
      </w:pPr>
      <w:r>
        <w:rPr>
          <w:rFonts w:hint="eastAsia"/>
          <w:sz w:val="28"/>
          <w:szCs w:val="28"/>
          <w:highlight w:val="none"/>
        </w:rPr>
        <w:t>乙方所供货物应符合合同要求，如乙方有违反本合同有关质量保证或检验、安装、调试、验收等相关约定的，甲方有权提出索赔，乙方应按照甲方同意的下列一种或多种方式解决索赔事宜，并应承担合同约定的其他违约责任：</w:t>
      </w:r>
    </w:p>
    <w:p>
      <w:pPr>
        <w:spacing w:after="156" w:afterLines="50"/>
        <w:ind w:right="144" w:rightChars="60" w:firstLine="560" w:firstLineChars="200"/>
        <w:rPr>
          <w:sz w:val="28"/>
          <w:szCs w:val="28"/>
          <w:highlight w:val="none"/>
        </w:rPr>
      </w:pPr>
      <w:r>
        <w:rPr>
          <w:rFonts w:hint="eastAsia"/>
          <w:sz w:val="28"/>
          <w:szCs w:val="28"/>
          <w:highlight w:val="none"/>
        </w:rPr>
        <w:t>15.1甲方要求退货的，乙方应将货物被拒收前甲方已付的所有款项退还甲方，乙方承担由此发生的一切损失和费用，包括利息、银行手续费、运费、保险费、检验费、仓储费、装卸费以及为保管、维护和退回被拒收货物所发生的其它必要费用。</w:t>
      </w:r>
    </w:p>
    <w:p>
      <w:pPr>
        <w:spacing w:after="156" w:afterLines="50"/>
        <w:ind w:right="144" w:rightChars="60" w:firstLine="560" w:firstLineChars="200"/>
        <w:rPr>
          <w:sz w:val="28"/>
          <w:szCs w:val="28"/>
          <w:highlight w:val="none"/>
        </w:rPr>
      </w:pPr>
      <w:r>
        <w:rPr>
          <w:rFonts w:hint="eastAsia"/>
          <w:sz w:val="28"/>
          <w:szCs w:val="28"/>
          <w:highlight w:val="none"/>
        </w:rPr>
        <w:t>15.2甲方不要求退货，则根据货物的疵劣和受损程度以及甲方因此遭受损失的金额，经甲乙双方商定，降低货物成交价格。</w:t>
      </w:r>
    </w:p>
    <w:p>
      <w:pPr>
        <w:spacing w:after="156" w:afterLines="50"/>
        <w:ind w:right="144" w:rightChars="60" w:firstLine="560" w:firstLineChars="200"/>
        <w:rPr>
          <w:sz w:val="28"/>
          <w:szCs w:val="28"/>
          <w:highlight w:val="none"/>
        </w:rPr>
      </w:pPr>
      <w:r>
        <w:rPr>
          <w:rFonts w:hint="eastAsia"/>
          <w:sz w:val="28"/>
          <w:szCs w:val="28"/>
          <w:highlight w:val="none"/>
        </w:rPr>
        <w:t>15.3甲方不要求退货，要求用符合合同约定的规格、质量和性能要求的新零件、部件和/或设备、系统来更换有缺陷的部分和/或修补缺陷部分，以使货物达到合同约定的规格、质量和性能，乙方承担一切费用和风险并负担甲方遭受的一切损失。同时乙方相应延长被更换货物的质量保证期。</w:t>
      </w:r>
    </w:p>
    <w:p>
      <w:pPr>
        <w:spacing w:after="156" w:afterLines="50"/>
        <w:ind w:right="144" w:rightChars="60" w:firstLine="560" w:firstLineChars="200"/>
        <w:rPr>
          <w:sz w:val="28"/>
          <w:szCs w:val="28"/>
          <w:highlight w:val="none"/>
        </w:rPr>
      </w:pPr>
      <w:r>
        <w:rPr>
          <w:rFonts w:hint="eastAsia"/>
          <w:sz w:val="28"/>
          <w:szCs w:val="28"/>
          <w:highlight w:val="none"/>
        </w:rPr>
        <w:t>15.4乙方收到索赔通知后 7个自然日内，未给甲方答复的，视为索赔已被乙方接受。乙方未能在收到索赔通知后 7个自然日内，或征得甲方同意的延长期限内，按照甲方从上列方法中选择的方案解决索赔事宜的，甲方将有权从未付货款中扣回索赔金额，同时保留进一步要求索赔的权利。</w:t>
      </w:r>
    </w:p>
    <w:p>
      <w:pPr>
        <w:spacing w:after="156" w:afterLines="50"/>
        <w:ind w:right="144" w:rightChars="60" w:firstLine="560" w:firstLineChars="200"/>
        <w:rPr>
          <w:sz w:val="28"/>
          <w:szCs w:val="28"/>
          <w:highlight w:val="none"/>
        </w:rPr>
      </w:pPr>
      <w:r>
        <w:rPr>
          <w:rFonts w:hint="eastAsia"/>
          <w:sz w:val="28"/>
          <w:szCs w:val="28"/>
          <w:highlight w:val="none"/>
        </w:rPr>
        <w:t>15.5若由于乙方原因导致甲方终止了部分合同，甲方可以依其认为适当的条件和方法购买与未交货物类似的货物或服务，乙方应承担甲方因购买类似的货物或服务而产生的额外支出，但是，乙方仍应继续执行合同中未终止的部分。</w:t>
      </w:r>
    </w:p>
    <w:p>
      <w:pPr>
        <w:spacing w:after="156" w:afterLines="50"/>
        <w:ind w:right="144" w:rightChars="60" w:firstLine="560" w:firstLineChars="200"/>
        <w:rPr>
          <w:sz w:val="28"/>
          <w:szCs w:val="28"/>
          <w:highlight w:val="none"/>
        </w:rPr>
      </w:pPr>
      <w:r>
        <w:rPr>
          <w:rFonts w:hint="eastAsia"/>
          <w:sz w:val="28"/>
          <w:szCs w:val="28"/>
          <w:highlight w:val="none"/>
        </w:rPr>
        <w:t>15.6若因乙方的原因造成合同解除/终止，甲方无需向乙方支付乙方已经实际投入本项目的款项，且乙方需将甲方支付给乙方的款项全部退还给甲方。</w:t>
      </w:r>
    </w:p>
    <w:p>
      <w:pPr>
        <w:spacing w:after="156" w:afterLines="50"/>
        <w:ind w:right="144" w:rightChars="60" w:firstLine="560" w:firstLineChars="200"/>
        <w:rPr>
          <w:sz w:val="28"/>
          <w:szCs w:val="28"/>
          <w:highlight w:val="none"/>
        </w:rPr>
      </w:pPr>
      <w:r>
        <w:rPr>
          <w:rFonts w:hint="eastAsia"/>
          <w:sz w:val="28"/>
          <w:szCs w:val="28"/>
          <w:highlight w:val="none"/>
        </w:rPr>
        <w:t>15.7如货物不能通过验收，经甲方书面同意后，可给予 30个自然日时间由乙方进行修改；30个自然日后仍无法通过验收，甲方有权单方解除合同，甲方无需向乙方支付其实际投入本项目的款项，且甲方有权向乙方追回已付款项，并有权收取本合同总金额10%的违约金。</w:t>
      </w:r>
    </w:p>
    <w:p>
      <w:pPr>
        <w:spacing w:after="156" w:afterLines="50"/>
        <w:ind w:right="144" w:rightChars="60" w:firstLine="560" w:firstLineChars="200"/>
        <w:rPr>
          <w:sz w:val="28"/>
          <w:szCs w:val="28"/>
          <w:highlight w:val="none"/>
        </w:rPr>
      </w:pPr>
      <w:r>
        <w:rPr>
          <w:rFonts w:hint="eastAsia"/>
          <w:sz w:val="28"/>
          <w:szCs w:val="28"/>
          <w:highlight w:val="none"/>
        </w:rPr>
        <w:t>15.8若因乙方原因，货物在试运行或使用期间，若因应用货物原因而致资料或设备毁损，甲方有权单方解除合同，并向乙方追索因此而导致的一切损失。</w:t>
      </w:r>
    </w:p>
    <w:p>
      <w:pPr>
        <w:numPr>
          <w:ilvl w:val="0"/>
          <w:numId w:val="156"/>
        </w:numPr>
        <w:spacing w:after="0" w:line="240" w:lineRule="auto"/>
        <w:ind w:left="0" w:right="144" w:rightChars="60" w:firstLine="281" w:firstLineChars="100"/>
        <w:rPr>
          <w:b/>
          <w:sz w:val="28"/>
          <w:szCs w:val="28"/>
          <w:highlight w:val="none"/>
        </w:rPr>
      </w:pPr>
      <w:r>
        <w:rPr>
          <w:rFonts w:hint="eastAsia"/>
          <w:b/>
          <w:sz w:val="28"/>
          <w:szCs w:val="28"/>
          <w:highlight w:val="none"/>
        </w:rPr>
        <w:t>不可抗力</w:t>
      </w:r>
    </w:p>
    <w:p>
      <w:pPr>
        <w:spacing w:after="156" w:afterLines="50"/>
        <w:ind w:right="144" w:rightChars="60" w:firstLine="560" w:firstLineChars="200"/>
        <w:rPr>
          <w:sz w:val="28"/>
          <w:szCs w:val="28"/>
          <w:highlight w:val="none"/>
        </w:rPr>
      </w:pPr>
      <w:r>
        <w:rPr>
          <w:rFonts w:hint="eastAsia"/>
          <w:sz w:val="28"/>
          <w:szCs w:val="28"/>
          <w:highlight w:val="none"/>
        </w:rPr>
        <w:t>16.1签约双方的任何一方由于不可抗力事件影响而不能执行合同时，履行合同的期限应予以延长，其延长的期限应相当于事件所影响的时间。不可抗力事件系指甲乙双方在缔结合同时所不能预见的，并且它的发生及其后果是无法避免和克服的事件，诸如战争、严重水灾、洪水、台风、地震等。</w:t>
      </w:r>
    </w:p>
    <w:p>
      <w:pPr>
        <w:spacing w:after="156" w:afterLines="50"/>
        <w:ind w:right="144" w:rightChars="60" w:firstLine="560" w:firstLineChars="200"/>
        <w:rPr>
          <w:sz w:val="28"/>
          <w:szCs w:val="28"/>
          <w:highlight w:val="none"/>
        </w:rPr>
      </w:pPr>
      <w:r>
        <w:rPr>
          <w:rFonts w:hint="eastAsia"/>
          <w:sz w:val="28"/>
          <w:szCs w:val="28"/>
          <w:highlight w:val="none"/>
        </w:rPr>
        <w:t>16.2受阻一方应在不可抗力事件发生后，尽快用电报、传真或电传通知对方，并于事件发生后[14]天内将官方部门出具的证明文件用特快专递或挂号信寄给对方审阅确认。一旦不可抗力事件的影响持续[30]天以上，双方应通过友好协商方式在合理的时间内达成进一步履行合同的协议或解除合同。</w:t>
      </w:r>
    </w:p>
    <w:p>
      <w:pPr>
        <w:numPr>
          <w:ilvl w:val="0"/>
          <w:numId w:val="156"/>
        </w:numPr>
        <w:spacing w:after="0" w:line="240" w:lineRule="auto"/>
        <w:ind w:left="0" w:right="144" w:rightChars="60" w:firstLine="281" w:firstLineChars="100"/>
        <w:rPr>
          <w:b/>
          <w:sz w:val="28"/>
          <w:szCs w:val="28"/>
          <w:highlight w:val="none"/>
        </w:rPr>
      </w:pPr>
      <w:r>
        <w:rPr>
          <w:rFonts w:hint="eastAsia"/>
          <w:b/>
          <w:sz w:val="28"/>
          <w:szCs w:val="28"/>
          <w:highlight w:val="none"/>
        </w:rPr>
        <w:t>违约与赔偿责任</w:t>
      </w:r>
    </w:p>
    <w:p>
      <w:pPr>
        <w:ind w:right="144" w:rightChars="60" w:firstLine="565" w:firstLineChars="202"/>
        <w:rPr>
          <w:bCs/>
          <w:sz w:val="28"/>
          <w:szCs w:val="28"/>
          <w:highlight w:val="none"/>
        </w:rPr>
      </w:pPr>
      <w:r>
        <w:rPr>
          <w:rFonts w:hint="eastAsia"/>
          <w:bCs/>
          <w:sz w:val="28"/>
          <w:szCs w:val="28"/>
          <w:highlight w:val="none"/>
        </w:rPr>
        <w:t>17.1乙方违约</w:t>
      </w:r>
    </w:p>
    <w:p>
      <w:pPr>
        <w:ind w:right="144" w:rightChars="60" w:firstLine="565" w:firstLineChars="202"/>
        <w:rPr>
          <w:bCs/>
          <w:sz w:val="28"/>
          <w:szCs w:val="28"/>
          <w:highlight w:val="none"/>
        </w:rPr>
      </w:pPr>
      <w:r>
        <w:rPr>
          <w:rFonts w:hint="eastAsia"/>
          <w:bCs/>
          <w:sz w:val="28"/>
          <w:szCs w:val="28"/>
          <w:highlight w:val="none"/>
        </w:rPr>
        <w:t>乙方逾期超过</w:t>
      </w:r>
      <w:sdt>
        <w:sdtPr>
          <w:rPr>
            <w:rFonts w:hint="eastAsia"/>
            <w:highlight w:val="none"/>
          </w:rPr>
          <w:tag w:val="tag101"/>
          <w:id w:val="101"/>
          <w15:appearance w15:val="hidden"/>
        </w:sdtPr>
        <w:sdtEndPr>
          <w:rPr>
            <w:rFonts w:hint="eastAsia"/>
            <w:highlight w:val="none"/>
            <w:shd w:val="clear" w:color="auto" w:fill="FEF2CC" w:themeFill="accent4" w:themeFillTint="33"/>
          </w:rPr>
        </w:sdtEndPr>
        <w:sdtContent>
          <w:r>
            <w:rPr>
              <w:rFonts w:hint="eastAsia"/>
              <w:bCs/>
              <w:sz w:val="28"/>
              <w:szCs w:val="28"/>
              <w:highlight w:val="none"/>
              <w:u w:val="single"/>
              <w:shd w:val="clear" w:color="auto" w:fill="FEF2CC" w:themeFill="accent4" w:themeFillTint="33"/>
            </w:rPr>
            <w:t>[30]</w:t>
          </w:r>
        </w:sdtContent>
      </w:sdt>
      <w:r>
        <w:rPr>
          <w:rFonts w:hint="eastAsia"/>
          <w:bCs/>
          <w:sz w:val="28"/>
          <w:szCs w:val="28"/>
          <w:highlight w:val="none"/>
        </w:rPr>
        <w:t>日仍未按期完成工作任务或达到交付技术成果要求的，乙方违约责任如下：</w:t>
      </w:r>
    </w:p>
    <w:p>
      <w:pPr>
        <w:ind w:right="144" w:rightChars="60" w:firstLine="425" w:firstLineChars="152"/>
        <w:rPr>
          <w:bCs/>
          <w:sz w:val="28"/>
          <w:szCs w:val="28"/>
          <w:highlight w:val="none"/>
        </w:rPr>
      </w:pPr>
      <w:r>
        <w:rPr>
          <w:rFonts w:hint="eastAsia"/>
          <w:bCs/>
          <w:sz w:val="28"/>
          <w:szCs w:val="28"/>
          <w:highlight w:val="none"/>
        </w:rPr>
        <w:t>（1）甲方有权解除合同，并要求乙方按合同总金额的30%赔偿违约金，违约金不足以赔偿甲方由此而引起的直接和间接损失的，甲方有权继续追偿。</w:t>
      </w:r>
    </w:p>
    <w:p>
      <w:pPr>
        <w:ind w:right="144" w:rightChars="60" w:firstLine="425" w:firstLineChars="152"/>
        <w:rPr>
          <w:bCs/>
          <w:sz w:val="28"/>
          <w:szCs w:val="28"/>
          <w:highlight w:val="none"/>
        </w:rPr>
      </w:pPr>
      <w:r>
        <w:rPr>
          <w:rFonts w:hint="eastAsia"/>
          <w:bCs/>
          <w:sz w:val="28"/>
          <w:szCs w:val="28"/>
          <w:highlight w:val="none"/>
        </w:rPr>
        <w:t>（2）如甲方因乙方违约而解除本合同，乙方应在10个工作日内返还甲方已付服务费，并依甲方的指示退还所有的基础性文件和原始资料。</w:t>
      </w:r>
    </w:p>
    <w:p>
      <w:pPr>
        <w:ind w:right="144" w:rightChars="60" w:firstLine="565" w:firstLineChars="202"/>
        <w:rPr>
          <w:bCs/>
          <w:sz w:val="28"/>
          <w:szCs w:val="28"/>
          <w:highlight w:val="none"/>
        </w:rPr>
      </w:pPr>
      <w:r>
        <w:rPr>
          <w:rFonts w:hint="eastAsia"/>
          <w:bCs/>
          <w:sz w:val="28"/>
          <w:szCs w:val="28"/>
          <w:highlight w:val="none"/>
        </w:rPr>
        <w:t>17.2甲方违约</w:t>
      </w:r>
    </w:p>
    <w:p>
      <w:pPr>
        <w:ind w:right="144" w:rightChars="60" w:firstLine="565" w:firstLineChars="202"/>
        <w:rPr>
          <w:bCs/>
          <w:sz w:val="28"/>
          <w:szCs w:val="28"/>
          <w:highlight w:val="none"/>
        </w:rPr>
      </w:pPr>
      <w:r>
        <w:rPr>
          <w:rFonts w:hint="eastAsia"/>
          <w:bCs/>
          <w:sz w:val="28"/>
          <w:szCs w:val="28"/>
          <w:highlight w:val="none"/>
        </w:rPr>
        <w:t>甲方逾期超过</w:t>
      </w:r>
      <w:sdt>
        <w:sdtPr>
          <w:rPr>
            <w:rFonts w:hint="eastAsia"/>
            <w:highlight w:val="none"/>
          </w:rPr>
          <w:tag w:val="tag102"/>
          <w:id w:val="102"/>
          <w15:appearance w15:val="hidden"/>
        </w:sdtPr>
        <w:sdtEndPr>
          <w:rPr>
            <w:rFonts w:hint="eastAsia"/>
            <w:highlight w:val="none"/>
            <w:shd w:val="clear" w:color="auto" w:fill="FEF2CC" w:themeFill="accent4" w:themeFillTint="33"/>
          </w:rPr>
        </w:sdtEndPr>
        <w:sdtContent>
          <w:r>
            <w:rPr>
              <w:rFonts w:hint="eastAsia"/>
              <w:bCs/>
              <w:sz w:val="28"/>
              <w:szCs w:val="28"/>
              <w:highlight w:val="none"/>
              <w:u w:val="single"/>
              <w:shd w:val="clear" w:color="auto" w:fill="FEF2CC" w:themeFill="accent4" w:themeFillTint="33"/>
            </w:rPr>
            <w:t>[30]</w:t>
          </w:r>
        </w:sdtContent>
      </w:sdt>
      <w:r>
        <w:rPr>
          <w:rFonts w:hint="eastAsia"/>
          <w:bCs/>
          <w:sz w:val="28"/>
          <w:szCs w:val="28"/>
          <w:highlight w:val="none"/>
        </w:rPr>
        <w:t>日仍未向乙方支付相应阶段服务费的，甲方违约责任如下：</w:t>
      </w:r>
    </w:p>
    <w:p>
      <w:pPr>
        <w:ind w:right="144" w:rightChars="60" w:firstLine="425" w:firstLineChars="152"/>
        <w:rPr>
          <w:bCs/>
          <w:sz w:val="28"/>
          <w:szCs w:val="28"/>
          <w:highlight w:val="none"/>
        </w:rPr>
      </w:pPr>
      <w:r>
        <w:rPr>
          <w:rFonts w:hint="eastAsia"/>
          <w:bCs/>
          <w:sz w:val="28"/>
          <w:szCs w:val="28"/>
          <w:highlight w:val="none"/>
        </w:rPr>
        <w:t>（1）乙方有权解除本合同，合同解除后甲方应按乙方已交付验收完成的软件价格付款。甲方付款后，乙方应向甲方交付已付款的软件。甲方如要在以后使用所接受的软件，仍应按照本合同的规定使用。</w:t>
      </w:r>
    </w:p>
    <w:p>
      <w:pPr>
        <w:ind w:right="144" w:rightChars="60" w:firstLine="425" w:firstLineChars="152"/>
        <w:rPr>
          <w:bCs/>
          <w:sz w:val="28"/>
          <w:szCs w:val="28"/>
          <w:highlight w:val="none"/>
        </w:rPr>
      </w:pPr>
      <w:r>
        <w:rPr>
          <w:rFonts w:hint="eastAsia"/>
          <w:bCs/>
          <w:sz w:val="28"/>
          <w:szCs w:val="28"/>
          <w:highlight w:val="none"/>
        </w:rPr>
        <w:t>（2）如乙方决定继续履行合同，甲方仍应尽快按照合同规定的金额付款，乙方履行本合同的日期相应顺延。</w:t>
      </w:r>
    </w:p>
    <w:p>
      <w:pPr>
        <w:ind w:right="144" w:rightChars="60" w:firstLine="565" w:firstLineChars="202"/>
        <w:rPr>
          <w:b/>
          <w:sz w:val="28"/>
          <w:szCs w:val="28"/>
          <w:highlight w:val="none"/>
        </w:rPr>
      </w:pPr>
      <w:r>
        <w:rPr>
          <w:rFonts w:hint="eastAsia"/>
          <w:bCs/>
          <w:sz w:val="28"/>
          <w:szCs w:val="28"/>
          <w:highlight w:val="none"/>
        </w:rPr>
        <w:t>17.3如发生违约情形，守约方解除合同时应以书面方式通知违约方。任何一方不得采取非法手段或以损害本项目的方式获取合同费用。</w:t>
      </w:r>
    </w:p>
    <w:p>
      <w:pPr>
        <w:numPr>
          <w:ilvl w:val="0"/>
          <w:numId w:val="156"/>
        </w:numPr>
        <w:spacing w:after="0" w:line="240" w:lineRule="auto"/>
        <w:ind w:left="0" w:right="144" w:rightChars="60" w:firstLine="281" w:firstLineChars="100"/>
        <w:rPr>
          <w:b/>
          <w:sz w:val="28"/>
          <w:szCs w:val="28"/>
          <w:highlight w:val="none"/>
        </w:rPr>
      </w:pPr>
      <w:r>
        <w:rPr>
          <w:rFonts w:hint="eastAsia"/>
          <w:b/>
          <w:sz w:val="28"/>
          <w:szCs w:val="28"/>
          <w:highlight w:val="none"/>
        </w:rPr>
        <w:t>合同解除</w:t>
      </w:r>
    </w:p>
    <w:p>
      <w:pPr>
        <w:ind w:right="144" w:rightChars="60" w:firstLine="565" w:firstLineChars="202"/>
        <w:rPr>
          <w:bCs/>
          <w:sz w:val="28"/>
          <w:szCs w:val="28"/>
          <w:highlight w:val="none"/>
        </w:rPr>
      </w:pPr>
      <w:r>
        <w:rPr>
          <w:rFonts w:hint="eastAsia"/>
          <w:bCs/>
          <w:sz w:val="28"/>
          <w:szCs w:val="28"/>
          <w:highlight w:val="none"/>
        </w:rPr>
        <w:t>双方确定，出现下列情形，致使本合同的履行成为不必要或不可能，可以解除本合同：</w:t>
      </w:r>
    </w:p>
    <w:p>
      <w:pPr>
        <w:numPr>
          <w:ilvl w:val="0"/>
          <w:numId w:val="159"/>
        </w:numPr>
        <w:spacing w:after="0" w:line="240" w:lineRule="auto"/>
        <w:ind w:right="144" w:rightChars="60" w:firstLine="560"/>
        <w:rPr>
          <w:bCs/>
          <w:sz w:val="28"/>
          <w:szCs w:val="28"/>
          <w:highlight w:val="none"/>
        </w:rPr>
      </w:pPr>
      <w:r>
        <w:rPr>
          <w:rFonts w:hint="eastAsia"/>
          <w:bCs/>
          <w:sz w:val="28"/>
          <w:szCs w:val="28"/>
          <w:highlight w:val="none"/>
        </w:rPr>
        <w:t>发生不可抗力；</w:t>
      </w:r>
    </w:p>
    <w:p>
      <w:pPr>
        <w:numPr>
          <w:ilvl w:val="0"/>
          <w:numId w:val="159"/>
        </w:numPr>
        <w:spacing w:after="0" w:line="240" w:lineRule="auto"/>
        <w:ind w:right="144" w:rightChars="60" w:firstLine="560"/>
        <w:rPr>
          <w:bCs/>
          <w:sz w:val="28"/>
          <w:szCs w:val="28"/>
          <w:highlight w:val="none"/>
        </w:rPr>
      </w:pPr>
      <w:r>
        <w:rPr>
          <w:rFonts w:hint="eastAsia"/>
          <w:bCs/>
          <w:sz w:val="28"/>
          <w:szCs w:val="28"/>
          <w:highlight w:val="none"/>
        </w:rPr>
        <w:t>乙方在履行合同过程中明显地体现出无法按双方约定的主要技术要求完成本技术服务的；</w:t>
      </w:r>
    </w:p>
    <w:p>
      <w:pPr>
        <w:numPr>
          <w:ilvl w:val="0"/>
          <w:numId w:val="159"/>
        </w:numPr>
        <w:spacing w:after="0" w:line="240" w:lineRule="auto"/>
        <w:ind w:right="144" w:rightChars="60" w:firstLine="560"/>
        <w:rPr>
          <w:bCs/>
          <w:sz w:val="28"/>
          <w:szCs w:val="28"/>
          <w:highlight w:val="none"/>
        </w:rPr>
      </w:pPr>
      <w:r>
        <w:rPr>
          <w:rFonts w:hint="eastAsia"/>
          <w:bCs/>
          <w:sz w:val="28"/>
          <w:szCs w:val="28"/>
          <w:highlight w:val="none"/>
        </w:rPr>
        <w:t>经双方协商同意后解除，双方互不追究对方所有的合同责任。</w:t>
      </w:r>
    </w:p>
    <w:p>
      <w:pPr>
        <w:numPr>
          <w:ilvl w:val="0"/>
          <w:numId w:val="156"/>
        </w:numPr>
        <w:spacing w:after="0" w:line="240" w:lineRule="auto"/>
        <w:ind w:left="0" w:right="144" w:rightChars="60" w:firstLine="281" w:firstLineChars="100"/>
        <w:rPr>
          <w:b/>
          <w:sz w:val="28"/>
          <w:szCs w:val="28"/>
          <w:highlight w:val="none"/>
        </w:rPr>
      </w:pPr>
      <w:r>
        <w:rPr>
          <w:rFonts w:hint="eastAsia"/>
          <w:b/>
          <w:sz w:val="28"/>
          <w:szCs w:val="28"/>
          <w:highlight w:val="none"/>
        </w:rPr>
        <w:t>争议处理</w:t>
      </w:r>
    </w:p>
    <w:p>
      <w:pPr>
        <w:ind w:right="144" w:rightChars="60" w:firstLine="565" w:firstLineChars="202"/>
        <w:rPr>
          <w:b/>
          <w:sz w:val="28"/>
          <w:szCs w:val="28"/>
          <w:highlight w:val="none"/>
        </w:rPr>
      </w:pPr>
      <w:r>
        <w:rPr>
          <w:rFonts w:hint="eastAsia"/>
          <w:bCs/>
          <w:sz w:val="28"/>
          <w:szCs w:val="28"/>
          <w:highlight w:val="none"/>
        </w:rPr>
        <w:t>双方因履行本合同而发生的争议，双方应通过友好协商的方式解决。协商不成时，依法向甲方所在地人民法院起诉。</w:t>
      </w:r>
    </w:p>
    <w:p>
      <w:pPr>
        <w:numPr>
          <w:ilvl w:val="0"/>
          <w:numId w:val="156"/>
        </w:numPr>
        <w:spacing w:after="0" w:line="240" w:lineRule="auto"/>
        <w:ind w:left="0" w:right="144" w:rightChars="60" w:firstLine="281" w:firstLineChars="100"/>
        <w:rPr>
          <w:b/>
          <w:sz w:val="28"/>
          <w:szCs w:val="28"/>
          <w:highlight w:val="none"/>
        </w:rPr>
      </w:pPr>
      <w:r>
        <w:rPr>
          <w:rFonts w:hint="eastAsia"/>
          <w:b/>
          <w:sz w:val="28"/>
          <w:szCs w:val="28"/>
          <w:highlight w:val="none"/>
        </w:rPr>
        <w:t>通知与送达</w:t>
      </w:r>
    </w:p>
    <w:p>
      <w:pPr>
        <w:ind w:right="144" w:rightChars="60" w:firstLine="565" w:firstLineChars="202"/>
        <w:rPr>
          <w:b/>
          <w:sz w:val="28"/>
          <w:szCs w:val="28"/>
          <w:highlight w:val="none"/>
        </w:rPr>
      </w:pPr>
      <w:r>
        <w:rPr>
          <w:rFonts w:hint="eastAsia"/>
          <w:bCs/>
          <w:sz w:val="28"/>
          <w:szCs w:val="28"/>
          <w:highlight w:val="none"/>
        </w:rPr>
        <w:t>双方在本合同履行过程中相互发出或者提供的所有通知、文件、文书、资料等，均以本合同所列明的地址送达。一方如果迁址或者变更，应当书面通知对方，未履行通知义务的，另一方按原地址邮寄相关材料即视为已履行送达义务。当面交付上述材料的，在交付之时视为送达；以邮寄方式交付的，寄出或者投邮后即视为送达；通过传真方式的，传真发出时视为送达；通过微信方式的，微信到达时视为送达；</w:t>
      </w:r>
      <w:r>
        <w:rPr>
          <w:rFonts w:hint="eastAsia"/>
          <w:bCs/>
          <w:sz w:val="28"/>
          <w:szCs w:val="28"/>
          <w:highlight w:val="none"/>
          <w:u w:val="single"/>
        </w:rPr>
        <w:t>通过电子邮件的，电子邮件发出时视为送达。</w:t>
      </w:r>
    </w:p>
    <w:p>
      <w:pPr>
        <w:numPr>
          <w:ilvl w:val="0"/>
          <w:numId w:val="156"/>
        </w:numPr>
        <w:spacing w:after="0" w:line="240" w:lineRule="auto"/>
        <w:ind w:left="0" w:right="144" w:rightChars="60" w:firstLine="281" w:firstLineChars="100"/>
        <w:rPr>
          <w:b/>
          <w:sz w:val="28"/>
          <w:szCs w:val="28"/>
          <w:highlight w:val="none"/>
        </w:rPr>
      </w:pPr>
      <w:r>
        <w:rPr>
          <w:rFonts w:hint="eastAsia"/>
          <w:b/>
          <w:sz w:val="28"/>
          <w:szCs w:val="28"/>
          <w:highlight w:val="none"/>
        </w:rPr>
        <w:t>其他事项</w:t>
      </w:r>
    </w:p>
    <w:p>
      <w:pPr>
        <w:ind w:right="144" w:rightChars="60" w:firstLine="560" w:firstLineChars="200"/>
        <w:rPr>
          <w:sz w:val="28"/>
          <w:szCs w:val="28"/>
          <w:highlight w:val="none"/>
        </w:rPr>
      </w:pPr>
      <w:r>
        <w:rPr>
          <w:rFonts w:hint="eastAsia"/>
          <w:sz w:val="28"/>
          <w:szCs w:val="28"/>
          <w:highlight w:val="none"/>
        </w:rPr>
        <w:t>1.本合同一式</w:t>
      </w:r>
      <w:sdt>
        <w:sdtPr>
          <w:rPr>
            <w:rFonts w:hint="eastAsia"/>
            <w:sz w:val="28"/>
            <w:szCs w:val="28"/>
            <w:highlight w:val="none"/>
          </w:rPr>
          <w:tag w:val="tag103"/>
          <w:id w:val="103"/>
          <w15:appearance w15:val="hidden"/>
        </w:sdtPr>
        <w:sdtEndPr>
          <w:rPr>
            <w:rFonts w:hint="eastAsia"/>
            <w:sz w:val="28"/>
            <w:szCs w:val="28"/>
            <w:highlight w:val="none"/>
          </w:rPr>
        </w:sdtEndPr>
        <w:sdtContent>
          <w:r>
            <w:rPr>
              <w:rFonts w:hint="eastAsia"/>
              <w:sz w:val="28"/>
              <w:szCs w:val="28"/>
              <w:highlight w:val="none"/>
              <w:u w:val="single"/>
              <w:shd w:val="clear" w:color="auto" w:fill="FEF2CC" w:themeFill="accent4" w:themeFillTint="33"/>
            </w:rPr>
            <w:t>[    ]</w:t>
          </w:r>
        </w:sdtContent>
      </w:sdt>
      <w:r>
        <w:rPr>
          <w:rFonts w:hint="eastAsia"/>
          <w:sz w:val="28"/>
          <w:szCs w:val="28"/>
          <w:highlight w:val="none"/>
        </w:rPr>
        <w:t>份，其中甲方执</w:t>
      </w:r>
      <w:sdt>
        <w:sdtPr>
          <w:rPr>
            <w:rFonts w:hint="eastAsia"/>
            <w:sz w:val="28"/>
            <w:szCs w:val="28"/>
            <w:highlight w:val="none"/>
          </w:rPr>
          <w:tag w:val="tag104"/>
          <w:id w:val="104"/>
          <w15:appearance w15:val="hidden"/>
        </w:sdtPr>
        <w:sdtEndPr>
          <w:rPr>
            <w:rFonts w:hint="eastAsia"/>
            <w:sz w:val="28"/>
            <w:szCs w:val="28"/>
            <w:highlight w:val="none"/>
          </w:rPr>
        </w:sdtEndPr>
        <w:sdtContent>
          <w:sdt>
            <w:sdtPr>
              <w:rPr>
                <w:rFonts w:hint="eastAsia"/>
                <w:sz w:val="28"/>
                <w:szCs w:val="28"/>
                <w:highlight w:val="none"/>
              </w:rPr>
              <w:tag w:val="tag103"/>
              <w:id w:val="-354807960"/>
              <w15:appearance w15:val="hidden"/>
            </w:sdtPr>
            <w:sdtEndPr>
              <w:rPr>
                <w:rFonts w:hint="eastAsia"/>
                <w:sz w:val="28"/>
                <w:szCs w:val="28"/>
                <w:highlight w:val="none"/>
              </w:rPr>
            </w:sdtEndPr>
            <w:sdtContent>
              <w:r>
                <w:rPr>
                  <w:rFonts w:hint="eastAsia"/>
                  <w:sz w:val="28"/>
                  <w:szCs w:val="28"/>
                  <w:highlight w:val="none"/>
                  <w:u w:val="single"/>
                  <w:shd w:val="clear" w:color="auto" w:fill="FEF2CC" w:themeFill="accent4" w:themeFillTint="33"/>
                </w:rPr>
                <w:t>[    ]</w:t>
              </w:r>
            </w:sdtContent>
          </w:sdt>
        </w:sdtContent>
      </w:sdt>
      <w:r>
        <w:rPr>
          <w:rFonts w:hint="eastAsia"/>
          <w:sz w:val="28"/>
          <w:szCs w:val="28"/>
          <w:highlight w:val="none"/>
        </w:rPr>
        <w:t>份，乙方执</w:t>
      </w:r>
      <w:sdt>
        <w:sdtPr>
          <w:rPr>
            <w:rFonts w:hint="eastAsia"/>
            <w:sz w:val="28"/>
            <w:szCs w:val="28"/>
            <w:highlight w:val="none"/>
          </w:rPr>
          <w:tag w:val="tag105"/>
          <w:id w:val="105"/>
          <w15:appearance w15:val="hidden"/>
        </w:sdtPr>
        <w:sdtEndPr>
          <w:rPr>
            <w:rFonts w:hint="eastAsia"/>
            <w:sz w:val="28"/>
            <w:szCs w:val="28"/>
            <w:highlight w:val="none"/>
          </w:rPr>
        </w:sdtEndPr>
        <w:sdtContent>
          <w:sdt>
            <w:sdtPr>
              <w:rPr>
                <w:rFonts w:hint="eastAsia"/>
                <w:sz w:val="28"/>
                <w:szCs w:val="28"/>
                <w:highlight w:val="none"/>
              </w:rPr>
              <w:tag w:val="tag103"/>
              <w:id w:val="535007945"/>
              <w15:appearance w15:val="hidden"/>
            </w:sdtPr>
            <w:sdtEndPr>
              <w:rPr>
                <w:rFonts w:hint="eastAsia"/>
                <w:sz w:val="28"/>
                <w:szCs w:val="28"/>
                <w:highlight w:val="none"/>
              </w:rPr>
            </w:sdtEndPr>
            <w:sdtContent>
              <w:r>
                <w:rPr>
                  <w:rFonts w:hint="eastAsia"/>
                  <w:sz w:val="28"/>
                  <w:szCs w:val="28"/>
                  <w:highlight w:val="none"/>
                  <w:u w:val="single"/>
                  <w:shd w:val="clear" w:color="auto" w:fill="FEF2CC" w:themeFill="accent4" w:themeFillTint="33"/>
                </w:rPr>
                <w:t>[    ]</w:t>
              </w:r>
            </w:sdtContent>
          </w:sdt>
        </w:sdtContent>
      </w:sdt>
      <w:r>
        <w:rPr>
          <w:rFonts w:hint="eastAsia"/>
          <w:sz w:val="28"/>
          <w:szCs w:val="28"/>
          <w:highlight w:val="none"/>
        </w:rPr>
        <w:t>份，具有同等法律效力。</w:t>
      </w:r>
    </w:p>
    <w:p>
      <w:pPr>
        <w:ind w:right="144" w:rightChars="60" w:firstLine="560" w:firstLineChars="200"/>
        <w:rPr>
          <w:sz w:val="28"/>
          <w:szCs w:val="28"/>
          <w:highlight w:val="none"/>
        </w:rPr>
      </w:pPr>
      <w:r>
        <w:rPr>
          <w:rFonts w:hint="eastAsia"/>
          <w:sz w:val="28"/>
          <w:szCs w:val="28"/>
          <w:highlight w:val="none"/>
        </w:rPr>
        <w:t>2.本合同经双方签字盖章后生效。</w:t>
      </w:r>
    </w:p>
    <w:p>
      <w:pPr>
        <w:ind w:right="144" w:rightChars="60" w:firstLine="560" w:firstLineChars="200"/>
        <w:rPr>
          <w:sz w:val="28"/>
          <w:szCs w:val="28"/>
          <w:highlight w:val="none"/>
        </w:rPr>
      </w:pPr>
      <w:r>
        <w:rPr>
          <w:rFonts w:hint="eastAsia"/>
          <w:sz w:val="28"/>
          <w:szCs w:val="28"/>
          <w:highlight w:val="none"/>
        </w:rPr>
        <w:t>3.本合同附件：</w:t>
      </w:r>
    </w:p>
    <w:p>
      <w:pPr>
        <w:ind w:right="144" w:rightChars="60" w:firstLine="560" w:firstLineChars="200"/>
        <w:rPr>
          <w:sz w:val="28"/>
          <w:szCs w:val="28"/>
          <w:highlight w:val="none"/>
        </w:rPr>
      </w:pPr>
      <w:r>
        <w:rPr>
          <w:rFonts w:hint="eastAsia"/>
          <w:sz w:val="28"/>
          <w:szCs w:val="28"/>
          <w:highlight w:val="none"/>
        </w:rPr>
        <w:t>合同附件1：合同标的规格、型号、配置清单</w:t>
      </w:r>
    </w:p>
    <w:p>
      <w:pPr>
        <w:ind w:right="144" w:rightChars="60" w:firstLine="425" w:firstLineChars="152"/>
        <w:rPr>
          <w:sz w:val="28"/>
          <w:szCs w:val="28"/>
          <w:highlight w:val="none"/>
        </w:rPr>
      </w:pPr>
      <w:r>
        <w:rPr>
          <w:rFonts w:hint="eastAsia"/>
          <w:sz w:val="28"/>
          <w:szCs w:val="28"/>
          <w:highlight w:val="none"/>
        </w:rPr>
        <w:t xml:space="preserve"> 合同附件2：中山大学附属第一医院与生产、经销单位物资购销廉洁协议书</w:t>
      </w:r>
    </w:p>
    <w:p>
      <w:pPr>
        <w:ind w:right="144" w:rightChars="60" w:firstLine="565" w:firstLineChars="202"/>
        <w:rPr>
          <w:sz w:val="28"/>
          <w:szCs w:val="28"/>
          <w:highlight w:val="none"/>
        </w:rPr>
      </w:pPr>
      <w:r>
        <w:rPr>
          <w:rFonts w:hint="eastAsia"/>
          <w:sz w:val="28"/>
          <w:szCs w:val="28"/>
          <w:highlight w:val="none"/>
        </w:rPr>
        <w:t>合同附件3： 保密协议</w:t>
      </w:r>
    </w:p>
    <w:p>
      <w:pPr>
        <w:ind w:right="144" w:rightChars="60" w:firstLine="565" w:firstLineChars="202"/>
        <w:rPr>
          <w:sz w:val="28"/>
          <w:szCs w:val="28"/>
          <w:highlight w:val="none"/>
        </w:rPr>
      </w:pPr>
      <w:r>
        <w:rPr>
          <w:rFonts w:hint="eastAsia"/>
          <w:sz w:val="28"/>
          <w:szCs w:val="28"/>
          <w:highlight w:val="none"/>
        </w:rPr>
        <w:t>合同附件4：设备及软件的原厂商供货证明函和原厂保修售后服务承诺函</w:t>
      </w:r>
    </w:p>
    <w:p>
      <w:pPr>
        <w:numPr>
          <w:ilvl w:val="0"/>
          <w:numId w:val="160"/>
        </w:numPr>
        <w:spacing w:after="0" w:line="240" w:lineRule="auto"/>
        <w:ind w:left="0" w:right="0" w:firstLine="0"/>
        <w:rPr>
          <w:sz w:val="28"/>
          <w:szCs w:val="28"/>
          <w:highlight w:val="none"/>
        </w:rPr>
      </w:pPr>
      <w:r>
        <w:rPr>
          <w:rFonts w:hint="eastAsia"/>
          <w:sz w:val="28"/>
          <w:szCs w:val="28"/>
          <w:highlight w:val="none"/>
        </w:rPr>
        <w:t>本合同（含附件）合计</w:t>
      </w:r>
      <w:sdt>
        <w:sdtPr>
          <w:rPr>
            <w:rFonts w:hint="eastAsia"/>
            <w:sz w:val="28"/>
            <w:szCs w:val="28"/>
            <w:highlight w:val="none"/>
          </w:rPr>
          <w:tag w:val="tag104"/>
          <w:id w:val="-1445683478"/>
          <w15:appearance w15:val="hidden"/>
        </w:sdtPr>
        <w:sdtEndPr>
          <w:rPr>
            <w:rFonts w:hint="eastAsia"/>
            <w:sz w:val="28"/>
            <w:szCs w:val="28"/>
            <w:highlight w:val="none"/>
          </w:rPr>
        </w:sdtEndPr>
        <w:sdtContent>
          <w:sdt>
            <w:sdtPr>
              <w:rPr>
                <w:rFonts w:hint="eastAsia"/>
                <w:sz w:val="28"/>
                <w:szCs w:val="28"/>
                <w:highlight w:val="none"/>
              </w:rPr>
              <w:tag w:val="tag103"/>
              <w:id w:val="683859140"/>
              <w15:appearance w15:val="hidden"/>
            </w:sdtPr>
            <w:sdtEndPr>
              <w:rPr>
                <w:rFonts w:hint="eastAsia"/>
                <w:sz w:val="28"/>
                <w:szCs w:val="28"/>
                <w:highlight w:val="none"/>
              </w:rPr>
            </w:sdtEndPr>
            <w:sdtContent>
              <w:r>
                <w:rPr>
                  <w:rFonts w:hint="eastAsia"/>
                  <w:sz w:val="28"/>
                  <w:szCs w:val="28"/>
                  <w:highlight w:val="none"/>
                  <w:u w:val="single"/>
                  <w:shd w:val="clear" w:color="auto" w:fill="FEF2CC" w:themeFill="accent4" w:themeFillTint="33"/>
                </w:rPr>
                <w:t>[    ]</w:t>
              </w:r>
            </w:sdtContent>
          </w:sdt>
        </w:sdtContent>
      </w:sdt>
      <w:r>
        <w:rPr>
          <w:rFonts w:hint="eastAsia"/>
          <w:sz w:val="28"/>
          <w:szCs w:val="28"/>
          <w:highlight w:val="none"/>
        </w:rPr>
        <w:t>页A4纸张，缺页之合同为无效合同。</w:t>
      </w:r>
    </w:p>
    <w:p>
      <w:pPr>
        <w:rPr>
          <w:sz w:val="28"/>
          <w:szCs w:val="28"/>
          <w:highlight w:val="none"/>
        </w:rPr>
      </w:pPr>
    </w:p>
    <w:p>
      <w:pPr>
        <w:rPr>
          <w:sz w:val="28"/>
          <w:szCs w:val="28"/>
          <w:highlight w:val="none"/>
        </w:rPr>
      </w:pPr>
      <w:r>
        <w:rPr>
          <w:rFonts w:hint="eastAsia"/>
          <w:sz w:val="28"/>
          <w:szCs w:val="28"/>
          <w:highlight w:val="none"/>
        </w:rPr>
        <w:t>甲方：</w:t>
      </w:r>
      <w:r>
        <w:rPr>
          <w:rFonts w:hint="eastAsia"/>
          <w:sz w:val="28"/>
          <w:szCs w:val="28"/>
          <w:highlight w:val="none"/>
          <w:u w:val="single"/>
        </w:rPr>
        <w:t>中山大学第一附属医院</w:t>
      </w:r>
      <w:r>
        <w:rPr>
          <w:rFonts w:hint="eastAsia"/>
          <w:sz w:val="28"/>
          <w:szCs w:val="28"/>
          <w:highlight w:val="none"/>
        </w:rPr>
        <w:t>（盖章）  乙方：</w:t>
      </w:r>
      <w:r>
        <w:rPr>
          <w:rFonts w:hint="eastAsia"/>
          <w:sz w:val="28"/>
          <w:szCs w:val="28"/>
          <w:highlight w:val="none"/>
          <w:u w:val="single"/>
        </w:rPr>
        <w:t xml:space="preserve">          </w:t>
      </w:r>
      <w:r>
        <w:rPr>
          <w:rFonts w:hint="eastAsia"/>
          <w:sz w:val="28"/>
          <w:szCs w:val="28"/>
          <w:highlight w:val="none"/>
        </w:rPr>
        <w:t>（盖章）</w:t>
      </w:r>
    </w:p>
    <w:p>
      <w:pPr>
        <w:rPr>
          <w:sz w:val="28"/>
          <w:szCs w:val="28"/>
          <w:highlight w:val="none"/>
        </w:rPr>
      </w:pPr>
      <w:r>
        <w:rPr>
          <w:rFonts w:hint="eastAsia"/>
          <w:sz w:val="28"/>
          <w:szCs w:val="28"/>
          <w:highlight w:val="none"/>
        </w:rPr>
        <w:t>法定代表人/委托代理人：             法定代表人：</w:t>
      </w:r>
    </w:p>
    <w:p>
      <w:pPr>
        <w:rPr>
          <w:sz w:val="28"/>
          <w:szCs w:val="28"/>
          <w:highlight w:val="none"/>
        </w:rPr>
      </w:pPr>
      <w:r>
        <w:rPr>
          <w:rFonts w:hint="eastAsia"/>
          <w:sz w:val="28"/>
          <w:szCs w:val="28"/>
          <w:highlight w:val="none"/>
        </w:rPr>
        <w:t>项目联系人：                        项目联系人：</w:t>
      </w:r>
    </w:p>
    <w:p>
      <w:pPr>
        <w:rPr>
          <w:sz w:val="28"/>
          <w:szCs w:val="28"/>
          <w:highlight w:val="none"/>
        </w:rPr>
        <w:sectPr>
          <w:pgSz w:w="11906" w:h="16838"/>
          <w:pgMar w:top="1440" w:right="1800" w:bottom="1440" w:left="1800" w:header="851" w:footer="992" w:gutter="0"/>
          <w:cols w:space="425" w:num="1"/>
          <w:docGrid w:type="lines" w:linePitch="312" w:charSpace="0"/>
        </w:sectPr>
      </w:pPr>
      <w:r>
        <w:rPr>
          <w:rFonts w:hint="eastAsia"/>
          <w:sz w:val="28"/>
          <w:szCs w:val="28"/>
          <w:highlight w:val="none"/>
        </w:rPr>
        <w:t>日期：                              日期：</w:t>
      </w:r>
    </w:p>
    <w:p>
      <w:pPr>
        <w:pStyle w:val="2"/>
        <w:tabs>
          <w:tab w:val="center" w:pos="2141"/>
        </w:tabs>
        <w:spacing w:after="0" w:line="360" w:lineRule="auto"/>
        <w:ind w:left="0" w:right="0" w:firstLine="0"/>
        <w:rPr>
          <w:b/>
          <w:color w:val="auto"/>
          <w:sz w:val="30"/>
          <w:szCs w:val="30"/>
          <w:highlight w:val="none"/>
        </w:rPr>
      </w:pPr>
      <w:bookmarkStart w:id="411" w:name="_Toc4512"/>
      <w:bookmarkStart w:id="412" w:name="_Toc13090"/>
      <w:bookmarkStart w:id="413" w:name="_Toc25635"/>
      <w:bookmarkStart w:id="414" w:name="_Toc8587"/>
      <w:bookmarkStart w:id="415" w:name="_Toc14521"/>
      <w:bookmarkStart w:id="416" w:name="_Toc29468"/>
      <w:bookmarkStart w:id="417" w:name="_Toc46"/>
      <w:bookmarkStart w:id="418" w:name="_Toc4704"/>
      <w:bookmarkStart w:id="419" w:name="_Toc5650"/>
      <w:bookmarkStart w:id="420" w:name="_Toc8415"/>
      <w:bookmarkStart w:id="421" w:name="_Toc7506"/>
      <w:bookmarkStart w:id="422" w:name="_Toc29559"/>
      <w:bookmarkStart w:id="423" w:name="_Toc13766"/>
      <w:bookmarkStart w:id="424" w:name="_Toc20150"/>
      <w:r>
        <w:rPr>
          <w:rFonts w:hint="eastAsia"/>
          <w:b/>
          <w:color w:val="auto"/>
          <w:sz w:val="30"/>
          <w:szCs w:val="30"/>
          <w:highlight w:val="none"/>
        </w:rPr>
        <w:t>附件5：中山大学附属第一医院与生产、经销单位物资购销廉洁协议书</w:t>
      </w:r>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p>
    <w:p>
      <w:pPr>
        <w:rPr>
          <w:b/>
          <w:bCs/>
          <w:szCs w:val="24"/>
          <w:highlight w:val="none"/>
        </w:rPr>
      </w:pPr>
    </w:p>
    <w:p>
      <w:pPr>
        <w:ind w:right="-9"/>
        <w:jc w:val="center"/>
        <w:rPr>
          <w:b/>
          <w:bCs/>
          <w:spacing w:val="20"/>
          <w:szCs w:val="24"/>
          <w:highlight w:val="none"/>
        </w:rPr>
      </w:pPr>
      <w:r>
        <w:rPr>
          <w:rFonts w:hint="eastAsia"/>
          <w:b/>
          <w:bCs/>
          <w:szCs w:val="24"/>
          <w:highlight w:val="none"/>
        </w:rPr>
        <w:t>中山大学附属第一医院与生产、经销单位</w:t>
      </w:r>
      <w:r>
        <w:rPr>
          <w:rFonts w:hint="eastAsia"/>
          <w:b/>
          <w:bCs/>
          <w:spacing w:val="20"/>
          <w:szCs w:val="24"/>
          <w:highlight w:val="none"/>
        </w:rPr>
        <w:t>物资购销廉洁协议书</w:t>
      </w:r>
    </w:p>
    <w:p>
      <w:pPr>
        <w:jc w:val="center"/>
        <w:rPr>
          <w:b/>
          <w:bCs/>
          <w:spacing w:val="20"/>
          <w:szCs w:val="24"/>
          <w:highlight w:val="none"/>
        </w:rPr>
      </w:pPr>
    </w:p>
    <w:p>
      <w:pPr>
        <w:spacing w:line="360" w:lineRule="auto"/>
        <w:rPr>
          <w:b/>
          <w:bCs/>
          <w:szCs w:val="24"/>
          <w:highlight w:val="none"/>
        </w:rPr>
      </w:pPr>
      <w:r>
        <w:rPr>
          <w:rFonts w:hint="eastAsia"/>
          <w:b/>
          <w:bCs/>
          <w:szCs w:val="24"/>
          <w:highlight w:val="none"/>
        </w:rPr>
        <w:t>甲方：中山大学附属第一医院</w:t>
      </w:r>
    </w:p>
    <w:p>
      <w:pPr>
        <w:spacing w:line="360" w:lineRule="auto"/>
        <w:ind w:right="640"/>
        <w:rPr>
          <w:b/>
          <w:bCs/>
          <w:szCs w:val="24"/>
          <w:highlight w:val="none"/>
        </w:rPr>
      </w:pPr>
      <w:r>
        <w:rPr>
          <w:rFonts w:hint="eastAsia"/>
          <w:b/>
          <w:bCs/>
          <w:szCs w:val="24"/>
          <w:highlight w:val="none"/>
        </w:rPr>
        <w:t>乙方：</w:t>
      </w:r>
    </w:p>
    <w:p>
      <w:pPr>
        <w:snapToGrid w:val="0"/>
        <w:spacing w:line="360" w:lineRule="auto"/>
        <w:ind w:right="-9" w:firstLine="480" w:firstLineChars="200"/>
        <w:rPr>
          <w:szCs w:val="24"/>
          <w:highlight w:val="none"/>
        </w:rPr>
      </w:pPr>
      <w:r>
        <w:rPr>
          <w:rFonts w:hint="eastAsia"/>
          <w:szCs w:val="24"/>
          <w:highlight w:val="none"/>
        </w:rPr>
        <w:t>为了贯彻落实卫生部关于加强卫生行业作风建设的有关要求，切实纠正损害人民群众利益的不正之风，根据《中华人民共和国药品管理法》、《中华人民共和国执业医师法》、《刑法修正案（六）》、最高人民法院和最高人民检察院《关于办理受贿刑事案件适用法律若干问题的意见》、《广东省医疗卫生机构及其工作人员索要、收受“红包”、回扣责任追究暂行办法》及《广东省医药购销领域商业贿赂不良记录制度实施意见》，中山大学附属第一医院（以下简称甲方）与药品、试剂、医疗设备、医疗器械、医用耗材及其它相关物资生产、经销单位（以下简称乙方）达成以下购销廉洁协议：</w:t>
      </w:r>
    </w:p>
    <w:p>
      <w:pPr>
        <w:snapToGrid w:val="0"/>
        <w:spacing w:line="360" w:lineRule="auto"/>
        <w:ind w:right="-9" w:firstLine="360"/>
        <w:rPr>
          <w:szCs w:val="24"/>
          <w:highlight w:val="none"/>
        </w:rPr>
      </w:pPr>
      <w:r>
        <w:rPr>
          <w:rFonts w:hint="eastAsia"/>
          <w:szCs w:val="24"/>
          <w:highlight w:val="none"/>
        </w:rPr>
        <w:t>一、甲方严禁其工作人员接受乙方及其销售人员以任何名义、形式给予的商业贿赂，包括“红包”（含现金、有价证券、信用卡、购物卡或其它馈赠，下同）、回扣、提成、物品等不正当利益，以及安排的吃请和其它涉及乙方商业利益的活动邀请。</w:t>
      </w:r>
    </w:p>
    <w:p>
      <w:pPr>
        <w:snapToGrid w:val="0"/>
        <w:spacing w:line="360" w:lineRule="auto"/>
        <w:ind w:right="-9" w:firstLine="360"/>
        <w:rPr>
          <w:szCs w:val="24"/>
          <w:highlight w:val="none"/>
        </w:rPr>
      </w:pPr>
      <w:r>
        <w:rPr>
          <w:rFonts w:hint="eastAsia"/>
          <w:szCs w:val="24"/>
          <w:highlight w:val="none"/>
        </w:rPr>
        <w:t>二、乙方及其销售人员严格遵守甲方的有关规定，不以各种名义、形式给予甲方工作人员“红包”、回扣、提成、物品和其他形式等不正当利益或商业贿赂；不在甲方诊疗时间、诊疗区域进入甲方各医疗科室、诊室进行产品推介活动；不干扰甲方医务人员的医疗活动；未经甲方批准，不在甲方院内召开任何形式的产品宣传、推广活动，不在甲方院内张贴、派发涉及产品的宣传资料和赠品。</w:t>
      </w:r>
    </w:p>
    <w:p>
      <w:pPr>
        <w:snapToGrid w:val="0"/>
        <w:spacing w:line="360" w:lineRule="auto"/>
        <w:ind w:right="-9" w:firstLine="360"/>
        <w:rPr>
          <w:szCs w:val="24"/>
          <w:highlight w:val="none"/>
        </w:rPr>
      </w:pPr>
      <w:r>
        <w:rPr>
          <w:rFonts w:hint="eastAsia"/>
          <w:szCs w:val="24"/>
          <w:highlight w:val="none"/>
        </w:rPr>
        <w:t>三、乙方需要在甲方院内进行产品宣传、推广工作的，必须事先向甲方相关的职能科室提出书面申请；经审批后，由甲方有组织、有计划地予以安排。</w:t>
      </w:r>
    </w:p>
    <w:p>
      <w:pPr>
        <w:snapToGrid w:val="0"/>
        <w:spacing w:line="360" w:lineRule="auto"/>
        <w:ind w:right="-9" w:firstLine="360"/>
        <w:rPr>
          <w:szCs w:val="24"/>
          <w:highlight w:val="none"/>
        </w:rPr>
      </w:pPr>
      <w:r>
        <w:rPr>
          <w:rFonts w:hint="eastAsia"/>
          <w:szCs w:val="24"/>
          <w:highlight w:val="none"/>
        </w:rPr>
        <w:t>四、甲方与乙方共同遵守国家有关招标采购规定，严格执行合同。乙方不销售假冒伪劣以及无生产批准文号的药品、试剂、医疗设备、医疗器械和医用耗材，同时甲方不购买、不使用此类产品。乙方对提供给甲方发票的真实性负责。</w:t>
      </w:r>
    </w:p>
    <w:p>
      <w:pPr>
        <w:snapToGrid w:val="0"/>
        <w:spacing w:line="360" w:lineRule="auto"/>
        <w:ind w:right="-9" w:firstLine="360"/>
        <w:rPr>
          <w:szCs w:val="24"/>
          <w:highlight w:val="none"/>
        </w:rPr>
      </w:pPr>
      <w:r>
        <w:rPr>
          <w:rFonts w:hint="eastAsia"/>
          <w:szCs w:val="24"/>
          <w:highlight w:val="none"/>
        </w:rPr>
        <w:t>五、乙方属经销单位的，则有义务向相关生产厂家告之本协议的内容，并提醒生产厂家不得以任何不正当手段向甲方工作人员推销产品，以及给予甲方工作人员“红包”、回扣、提成、物品和其他形式等不正当利益。</w:t>
      </w:r>
    </w:p>
    <w:p>
      <w:pPr>
        <w:tabs>
          <w:tab w:val="left" w:pos="5670"/>
        </w:tabs>
        <w:snapToGrid w:val="0"/>
        <w:spacing w:line="360" w:lineRule="auto"/>
        <w:ind w:right="-9" w:firstLine="360"/>
        <w:rPr>
          <w:szCs w:val="24"/>
          <w:highlight w:val="none"/>
        </w:rPr>
      </w:pPr>
      <w:r>
        <w:rPr>
          <w:rFonts w:hint="eastAsia"/>
          <w:szCs w:val="24"/>
          <w:highlight w:val="none"/>
        </w:rPr>
        <w:t>六、若违反本协议，乙方自愿接受甲方以下处理：甲方将乙方违规行为予以曝光；停用乙方相关产品，情节严重的断绝与乙方经济往来；取消乙方参加甲方招标采购资格二年；同时上报上级主管部门依据有关规定在系统内通报、公布乙方违法违规情况及处理结果。乙方向甲方提供假发票的，甲方取消乙方的供货资格；甲方有权解除相关合同，乙方除返还甲方已支付的全部款项外，还应向甲方支付相关合同总金额的10%的违约金。</w:t>
      </w:r>
    </w:p>
    <w:p>
      <w:pPr>
        <w:snapToGrid w:val="0"/>
        <w:spacing w:line="360" w:lineRule="auto"/>
        <w:ind w:right="-9" w:firstLine="360"/>
        <w:rPr>
          <w:szCs w:val="24"/>
          <w:highlight w:val="none"/>
        </w:rPr>
      </w:pPr>
      <w:r>
        <w:rPr>
          <w:rFonts w:hint="eastAsia"/>
          <w:szCs w:val="24"/>
          <w:highlight w:val="none"/>
        </w:rPr>
        <w:t>七、乙方及其销售人员如发现甲方工作人员有索取、收受“红包”、回扣、提成、物品及其他形式等不正当利益行为的，可以向纪检监察部门举报，纪检监察部门将对违纪行为进行查处。</w:t>
      </w:r>
    </w:p>
    <w:p>
      <w:pPr>
        <w:ind w:right="-9"/>
        <w:rPr>
          <w:szCs w:val="24"/>
          <w:highlight w:val="none"/>
        </w:rPr>
      </w:pPr>
      <w:r>
        <w:rPr>
          <w:rFonts w:hint="eastAsia"/>
          <w:szCs w:val="24"/>
          <w:highlight w:val="none"/>
        </w:rPr>
        <w:t>八、双方对上述条款均无异议，愿意共同遵守。</w:t>
      </w:r>
    </w:p>
    <w:p>
      <w:pPr>
        <w:rPr>
          <w:szCs w:val="24"/>
          <w:highlight w:val="none"/>
        </w:rPr>
      </w:pPr>
    </w:p>
    <w:p>
      <w:pPr>
        <w:tabs>
          <w:tab w:val="left" w:pos="735"/>
        </w:tabs>
        <w:spacing w:line="480" w:lineRule="auto"/>
        <w:rPr>
          <w:b/>
          <w:szCs w:val="24"/>
          <w:highlight w:val="none"/>
        </w:rPr>
      </w:pPr>
      <w:r>
        <w:rPr>
          <w:rFonts w:hint="eastAsia"/>
          <w:b/>
          <w:szCs w:val="24"/>
          <w:highlight w:val="none"/>
        </w:rPr>
        <w:t>甲方：</w:t>
      </w:r>
      <w:r>
        <w:rPr>
          <w:rFonts w:hint="eastAsia"/>
          <w:b/>
          <w:szCs w:val="24"/>
          <w:highlight w:val="none"/>
          <w:u w:val="single"/>
        </w:rPr>
        <w:t>中山大学附属第一医院</w:t>
      </w:r>
      <w:r>
        <w:rPr>
          <w:rFonts w:hint="eastAsia"/>
          <w:b/>
          <w:szCs w:val="24"/>
          <w:highlight w:val="none"/>
        </w:rPr>
        <w:t>（盖章）    乙方：</w:t>
      </w:r>
      <w:r>
        <w:rPr>
          <w:rFonts w:hint="eastAsia"/>
          <w:b/>
          <w:szCs w:val="24"/>
          <w:highlight w:val="none"/>
          <w:u w:val="single"/>
        </w:rPr>
        <w:t xml:space="preserve">                   </w:t>
      </w:r>
      <w:r>
        <w:rPr>
          <w:rFonts w:hint="eastAsia"/>
          <w:b/>
          <w:szCs w:val="24"/>
          <w:highlight w:val="none"/>
        </w:rPr>
        <w:t xml:space="preserve">（盖章） </w:t>
      </w:r>
    </w:p>
    <w:p>
      <w:pPr>
        <w:tabs>
          <w:tab w:val="left" w:pos="735"/>
        </w:tabs>
        <w:spacing w:line="480" w:lineRule="auto"/>
        <w:rPr>
          <w:b/>
          <w:szCs w:val="24"/>
          <w:highlight w:val="none"/>
        </w:rPr>
      </w:pPr>
      <w:r>
        <w:rPr>
          <w:rFonts w:hint="eastAsia"/>
          <w:b/>
          <w:szCs w:val="24"/>
          <w:highlight w:val="none"/>
        </w:rPr>
        <w:t>采购科室负责人：                     单位负责人：</w:t>
      </w:r>
    </w:p>
    <w:p>
      <w:pPr>
        <w:rPr>
          <w:color w:val="auto"/>
          <w:highlight w:val="none"/>
        </w:rPr>
      </w:pPr>
      <w:r>
        <w:rPr>
          <w:rFonts w:hint="eastAsia"/>
          <w:color w:val="auto"/>
          <w:highlight w:val="none"/>
        </w:rPr>
        <w:br w:type="page"/>
      </w:r>
    </w:p>
    <w:p>
      <w:pPr>
        <w:pStyle w:val="2"/>
        <w:tabs>
          <w:tab w:val="center" w:pos="2141"/>
        </w:tabs>
        <w:spacing w:after="0" w:line="360" w:lineRule="auto"/>
        <w:ind w:left="0" w:right="0" w:firstLine="0"/>
        <w:rPr>
          <w:b/>
          <w:color w:val="auto"/>
          <w:sz w:val="30"/>
          <w:szCs w:val="30"/>
          <w:highlight w:val="none"/>
        </w:rPr>
      </w:pPr>
      <w:bookmarkStart w:id="425" w:name="_Toc18549"/>
      <w:bookmarkStart w:id="426" w:name="_Toc9134"/>
      <w:bookmarkStart w:id="427" w:name="_Toc16704"/>
      <w:bookmarkStart w:id="428" w:name="_Toc31299"/>
      <w:bookmarkStart w:id="429" w:name="_Toc26269"/>
      <w:bookmarkStart w:id="430" w:name="_Toc8717"/>
      <w:bookmarkStart w:id="431" w:name="_Toc18038"/>
      <w:bookmarkStart w:id="432" w:name="_Toc15325"/>
      <w:bookmarkStart w:id="433" w:name="_Toc25968"/>
      <w:bookmarkStart w:id="434" w:name="_Toc23640"/>
      <w:bookmarkStart w:id="435" w:name="_Toc31146"/>
      <w:bookmarkStart w:id="436" w:name="_Toc21757"/>
      <w:bookmarkStart w:id="437" w:name="_Toc23107"/>
      <w:bookmarkStart w:id="438" w:name="_Toc28968"/>
      <w:r>
        <w:rPr>
          <w:rFonts w:hint="eastAsia"/>
          <w:b/>
          <w:color w:val="auto"/>
          <w:sz w:val="30"/>
          <w:szCs w:val="30"/>
          <w:highlight w:val="none"/>
        </w:rPr>
        <w:t>附件6：保密协议</w:t>
      </w:r>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p>
    <w:p>
      <w:pPr>
        <w:spacing w:line="360" w:lineRule="auto"/>
        <w:jc w:val="center"/>
        <w:rPr>
          <w:b/>
          <w:szCs w:val="24"/>
          <w:highlight w:val="none"/>
        </w:rPr>
      </w:pPr>
      <w:r>
        <w:rPr>
          <w:rFonts w:hint="eastAsia"/>
          <w:b/>
          <w:szCs w:val="24"/>
          <w:highlight w:val="none"/>
        </w:rPr>
        <w:t>保密协议</w:t>
      </w:r>
    </w:p>
    <w:p>
      <w:pPr>
        <w:spacing w:line="360" w:lineRule="auto"/>
        <w:rPr>
          <w:b/>
          <w:szCs w:val="24"/>
          <w:highlight w:val="none"/>
        </w:rPr>
      </w:pPr>
      <w:r>
        <w:rPr>
          <w:rFonts w:hint="eastAsia"/>
          <w:b/>
          <w:szCs w:val="24"/>
          <w:highlight w:val="none"/>
        </w:rPr>
        <w:t xml:space="preserve">甲方：中山大学附属第一医院 </w:t>
      </w:r>
    </w:p>
    <w:p>
      <w:pPr>
        <w:spacing w:line="360" w:lineRule="auto"/>
        <w:rPr>
          <w:b/>
          <w:szCs w:val="24"/>
          <w:highlight w:val="none"/>
        </w:rPr>
      </w:pPr>
      <w:r>
        <w:rPr>
          <w:rFonts w:hint="eastAsia"/>
          <w:b/>
          <w:szCs w:val="24"/>
          <w:highlight w:val="none"/>
        </w:rPr>
        <w:t>乙方：</w:t>
      </w:r>
    </w:p>
    <w:p>
      <w:pPr>
        <w:spacing w:line="360" w:lineRule="auto"/>
        <w:ind w:right="-9" w:firstLine="480" w:firstLineChars="200"/>
        <w:rPr>
          <w:szCs w:val="24"/>
          <w:highlight w:val="none"/>
        </w:rPr>
      </w:pPr>
      <w:r>
        <w:rPr>
          <w:rFonts w:hint="eastAsia"/>
          <w:szCs w:val="24"/>
          <w:highlight w:val="none"/>
        </w:rPr>
        <w:t>乙方同意与甲方的业务合作，已经（或将要）知悉甲方的商业秘密、技术秘密等信息。为了明确甲乙双方的保密义务，根据有关法律、法规、规章的规定，甲、乙双方本着平等、自愿、公平和诚实信用的原则，拟定本保密协议。双方确认在签署本协议前已经详细审阅过协议的内容，并完全了解协议各条款的法律效益。具体条款如下：</w:t>
      </w:r>
    </w:p>
    <w:p>
      <w:pPr>
        <w:spacing w:line="360" w:lineRule="auto"/>
        <w:ind w:right="-9" w:firstLine="480"/>
        <w:rPr>
          <w:b/>
          <w:szCs w:val="24"/>
          <w:highlight w:val="none"/>
        </w:rPr>
      </w:pPr>
      <w:r>
        <w:rPr>
          <w:rFonts w:hint="eastAsia"/>
          <w:b/>
          <w:szCs w:val="24"/>
          <w:highlight w:val="none"/>
        </w:rPr>
        <w:t>一、保密信息范围</w:t>
      </w:r>
    </w:p>
    <w:p>
      <w:pPr>
        <w:spacing w:line="360" w:lineRule="auto"/>
        <w:ind w:right="-9" w:firstLine="480"/>
        <w:rPr>
          <w:szCs w:val="24"/>
          <w:highlight w:val="none"/>
        </w:rPr>
      </w:pPr>
      <w:r>
        <w:rPr>
          <w:rFonts w:hint="eastAsia"/>
          <w:szCs w:val="24"/>
          <w:highlight w:val="none"/>
        </w:rPr>
        <w:t>1、乙方在完成甲方所要求提供之服务的过程中获得的甲方各种文件、资料、财务报告、技术资料和数据、经营信息和商业秘密等信息；</w:t>
      </w:r>
    </w:p>
    <w:p>
      <w:pPr>
        <w:widowControl w:val="0"/>
        <w:spacing w:after="0" w:line="360" w:lineRule="auto"/>
        <w:ind w:left="480" w:right="-9" w:firstLine="0"/>
        <w:jc w:val="both"/>
        <w:rPr>
          <w:szCs w:val="24"/>
          <w:highlight w:val="none"/>
        </w:rPr>
      </w:pPr>
      <w:r>
        <w:rPr>
          <w:rFonts w:hint="eastAsia"/>
          <w:szCs w:val="24"/>
          <w:highlight w:val="none"/>
        </w:rPr>
        <w:t>2、协议双方进行的所有会务内容、会议纪要、传真、电话交流、电报、口头情况介绍等信息。</w:t>
      </w:r>
    </w:p>
    <w:p>
      <w:pPr>
        <w:pStyle w:val="48"/>
        <w:spacing w:line="360" w:lineRule="auto"/>
        <w:ind w:right="-9" w:firstLine="480"/>
        <w:rPr>
          <w:rFonts w:ascii="宋体" w:hAnsi="宋体" w:eastAsia="宋体" w:cs="宋体"/>
          <w:sz w:val="24"/>
          <w:szCs w:val="24"/>
          <w:highlight w:val="none"/>
        </w:rPr>
      </w:pPr>
      <w:r>
        <w:rPr>
          <w:rFonts w:hint="eastAsia" w:ascii="宋体" w:hAnsi="宋体" w:eastAsia="宋体" w:cs="宋体"/>
          <w:sz w:val="24"/>
          <w:szCs w:val="24"/>
          <w:highlight w:val="none"/>
        </w:rPr>
        <w:t>3、保密范围不包括协议双方通过双方已主动公开，官方机构查询的渠道查询获知的信息。</w:t>
      </w:r>
    </w:p>
    <w:p>
      <w:pPr>
        <w:spacing w:line="360" w:lineRule="auto"/>
        <w:ind w:right="-9" w:firstLine="480"/>
        <w:rPr>
          <w:b/>
          <w:szCs w:val="24"/>
          <w:highlight w:val="none"/>
        </w:rPr>
      </w:pPr>
      <w:r>
        <w:rPr>
          <w:rFonts w:hint="eastAsia"/>
          <w:b/>
          <w:szCs w:val="24"/>
          <w:highlight w:val="none"/>
        </w:rPr>
        <w:t>二、保密义务</w:t>
      </w:r>
    </w:p>
    <w:p>
      <w:pPr>
        <w:spacing w:line="360" w:lineRule="auto"/>
        <w:ind w:right="-9" w:firstLine="480"/>
        <w:rPr>
          <w:szCs w:val="24"/>
          <w:highlight w:val="none"/>
        </w:rPr>
      </w:pPr>
      <w:r>
        <w:rPr>
          <w:rFonts w:hint="eastAsia"/>
          <w:szCs w:val="24"/>
          <w:highlight w:val="none"/>
        </w:rPr>
        <w:t>1、乙方对于上述保密范围内的信息应该妥善保管，并且只能用于甲方的工作项目和任务中。</w:t>
      </w:r>
    </w:p>
    <w:p>
      <w:pPr>
        <w:spacing w:line="360" w:lineRule="auto"/>
        <w:ind w:right="-9" w:firstLine="480"/>
        <w:rPr>
          <w:szCs w:val="24"/>
          <w:highlight w:val="none"/>
        </w:rPr>
      </w:pPr>
      <w:r>
        <w:rPr>
          <w:rFonts w:hint="eastAsia"/>
          <w:szCs w:val="24"/>
          <w:highlight w:val="none"/>
        </w:rPr>
        <w:t>2、在未取得甲方书面同意的情况下，乙方不得公开、复印、复制或以任何其它方式让任何第三方（包括但不限于乙方未从事此项目的乙方职员、乙方的上下级公司、其他自然人、公司、企业或单位实体）获知上述保密信息，并且不得赠予或者转让上述保密信息。</w:t>
      </w:r>
    </w:p>
    <w:p>
      <w:pPr>
        <w:spacing w:line="360" w:lineRule="auto"/>
        <w:ind w:right="-9" w:firstLine="480"/>
        <w:rPr>
          <w:szCs w:val="24"/>
          <w:highlight w:val="none"/>
        </w:rPr>
      </w:pPr>
      <w:r>
        <w:rPr>
          <w:rFonts w:hint="eastAsia"/>
          <w:szCs w:val="24"/>
          <w:highlight w:val="none"/>
        </w:rPr>
        <w:t>3、如果由于任何原因甲方和乙方终止合作，甲方可以随时要求乙方退还其所获得的甲方资料和数据，或者销毁其自有的备份和从相关的储存装置中删除所有的保密信息，且不得继续使用此类保密信息。乙方并不因为退还资料而终止其保密责任。</w:t>
      </w:r>
    </w:p>
    <w:p>
      <w:pPr>
        <w:spacing w:line="360" w:lineRule="auto"/>
        <w:ind w:right="231" w:firstLine="480"/>
        <w:rPr>
          <w:bCs/>
          <w:szCs w:val="24"/>
          <w:highlight w:val="none"/>
        </w:rPr>
      </w:pPr>
      <w:r>
        <w:rPr>
          <w:rFonts w:hint="eastAsia"/>
          <w:szCs w:val="24"/>
          <w:highlight w:val="none"/>
        </w:rPr>
        <w:t>4、乙</w:t>
      </w:r>
      <w:r>
        <w:rPr>
          <w:rFonts w:hint="eastAsia"/>
          <w:bCs/>
          <w:szCs w:val="24"/>
          <w:highlight w:val="none"/>
        </w:rPr>
        <w:t>方承诺：只有从事此项目的</w:t>
      </w:r>
      <w:r>
        <w:rPr>
          <w:rFonts w:hint="eastAsia"/>
          <w:szCs w:val="24"/>
          <w:highlight w:val="none"/>
        </w:rPr>
        <w:t>乙</w:t>
      </w:r>
      <w:r>
        <w:rPr>
          <w:rFonts w:hint="eastAsia"/>
          <w:bCs/>
          <w:szCs w:val="24"/>
          <w:highlight w:val="none"/>
        </w:rPr>
        <w:t>方职员才能接触上述保密信息，乙方将指示和设法保证其所有相关职员遵守本协议。如乙方任何职员违反了本协议，均属乙方违反本协议。乙方保证其职员以书面形式同意接受本协议条款的约束，确保其职员承担保密责任的程度不低于本协议规定的程度。</w:t>
      </w:r>
    </w:p>
    <w:p>
      <w:pPr>
        <w:spacing w:line="360" w:lineRule="auto"/>
        <w:ind w:right="-9" w:firstLine="480"/>
        <w:rPr>
          <w:bCs/>
          <w:szCs w:val="24"/>
          <w:highlight w:val="none"/>
        </w:rPr>
      </w:pPr>
      <w:r>
        <w:rPr>
          <w:rFonts w:hint="eastAsia"/>
          <w:szCs w:val="24"/>
          <w:highlight w:val="none"/>
        </w:rPr>
        <w:t>5、本协议对乙方能接触到甲方全部或部分保密信息的乙方员工或代理人或其安排的其他人员都具同等约束力。乙方代理人、由乙方或乙方职员或乙方代理人安排的任何其他人员泄露了甲方的保密信息，均属乙方泄露甲方保密信息，乙方应对此承担违约责任。</w:t>
      </w:r>
    </w:p>
    <w:p>
      <w:pPr>
        <w:spacing w:line="360" w:lineRule="auto"/>
        <w:ind w:right="-9" w:firstLine="480" w:firstLineChars="200"/>
        <w:rPr>
          <w:szCs w:val="24"/>
          <w:highlight w:val="none"/>
        </w:rPr>
      </w:pPr>
      <w:r>
        <w:rPr>
          <w:rFonts w:hint="eastAsia"/>
          <w:szCs w:val="24"/>
          <w:highlight w:val="none"/>
        </w:rPr>
        <w:t>6、本协议对乙方及其受让人均有约束力，乙方受让人承担乙方全部责任。乙方曾知悉甲方保密信息人员的任何职位变动，不影响乙方保密义务的承担。</w:t>
      </w:r>
    </w:p>
    <w:p>
      <w:pPr>
        <w:spacing w:line="360" w:lineRule="auto"/>
        <w:ind w:right="-9" w:firstLine="480"/>
        <w:rPr>
          <w:b/>
          <w:szCs w:val="24"/>
          <w:highlight w:val="none"/>
        </w:rPr>
      </w:pPr>
      <w:r>
        <w:rPr>
          <w:rFonts w:hint="eastAsia"/>
          <w:b/>
          <w:szCs w:val="24"/>
          <w:highlight w:val="none"/>
        </w:rPr>
        <w:t>三、违约责任</w:t>
      </w:r>
    </w:p>
    <w:p>
      <w:pPr>
        <w:spacing w:line="360" w:lineRule="auto"/>
        <w:ind w:right="-9" w:firstLine="480"/>
        <w:rPr>
          <w:szCs w:val="24"/>
          <w:highlight w:val="none"/>
        </w:rPr>
      </w:pPr>
      <w:r>
        <w:rPr>
          <w:rFonts w:hint="eastAsia"/>
          <w:szCs w:val="24"/>
          <w:highlight w:val="none"/>
        </w:rPr>
        <w:t>1、若乙方或其受让人违反本协议约定而使自身获利的或者给甲方造成损失的，乙方或其受让人须承担相关法律责任及赔偿责任。赔偿数额应按照乙方或其受让人获取的利益或者甲方遭受到的损失计算（两者以较高者为准），甲方遭受的损失包括但不限于直接的经济损失、名誉损失等。</w:t>
      </w:r>
    </w:p>
    <w:p>
      <w:pPr>
        <w:spacing w:line="360" w:lineRule="auto"/>
        <w:ind w:right="-9" w:firstLine="480"/>
        <w:rPr>
          <w:szCs w:val="24"/>
          <w:highlight w:val="none"/>
        </w:rPr>
      </w:pPr>
      <w:r>
        <w:rPr>
          <w:rFonts w:hint="eastAsia"/>
          <w:szCs w:val="24"/>
          <w:highlight w:val="none"/>
        </w:rPr>
        <w:t>2、若乙方及其职员、代理人、由乙方或其职员或其代理人安排的任何其他人员违反本协议，甲方除追究乙方责任外，还可直接追究乙方职员或代理人的责任。</w:t>
      </w:r>
    </w:p>
    <w:p>
      <w:pPr>
        <w:spacing w:line="360" w:lineRule="auto"/>
        <w:ind w:right="-9" w:firstLine="480"/>
        <w:rPr>
          <w:szCs w:val="24"/>
          <w:highlight w:val="none"/>
        </w:rPr>
      </w:pPr>
      <w:r>
        <w:rPr>
          <w:rFonts w:hint="eastAsia"/>
          <w:szCs w:val="24"/>
          <w:highlight w:val="none"/>
        </w:rPr>
        <w:t>3、乙方若造成甲方重大医药资源流失和国家科学技术秘密泄露，情节严重，构成犯罪的，依法追究乙方刑事责任。</w:t>
      </w:r>
    </w:p>
    <w:p>
      <w:pPr>
        <w:spacing w:line="360" w:lineRule="auto"/>
        <w:ind w:right="-9" w:firstLine="480"/>
        <w:rPr>
          <w:szCs w:val="24"/>
          <w:highlight w:val="none"/>
        </w:rPr>
      </w:pPr>
      <w:r>
        <w:rPr>
          <w:rFonts w:hint="eastAsia"/>
          <w:szCs w:val="24"/>
          <w:highlight w:val="none"/>
        </w:rPr>
        <w:t>4、乙方违反本协议约定的，甲方有权解除相关合同，乙方除返还甲方已支付的全部款项外，还应向甲方支付相关合同总金额的10%的违约金。</w:t>
      </w:r>
    </w:p>
    <w:p>
      <w:pPr>
        <w:spacing w:line="360" w:lineRule="auto"/>
        <w:ind w:right="-9" w:firstLine="480"/>
        <w:rPr>
          <w:b/>
          <w:szCs w:val="24"/>
          <w:highlight w:val="none"/>
        </w:rPr>
      </w:pPr>
      <w:r>
        <w:rPr>
          <w:rFonts w:hint="eastAsia"/>
          <w:b/>
          <w:szCs w:val="24"/>
          <w:highlight w:val="none"/>
        </w:rPr>
        <w:t>四、本协议的补充</w:t>
      </w:r>
    </w:p>
    <w:p>
      <w:pPr>
        <w:spacing w:line="360" w:lineRule="auto"/>
        <w:ind w:right="-9" w:firstLine="480"/>
        <w:rPr>
          <w:szCs w:val="24"/>
          <w:highlight w:val="none"/>
        </w:rPr>
      </w:pPr>
      <w:r>
        <w:rPr>
          <w:rFonts w:hint="eastAsia"/>
          <w:szCs w:val="24"/>
          <w:highlight w:val="none"/>
        </w:rPr>
        <w:t>双方可以就本协议的有关约定事项进行修改或补充，可以对保密内容进行具体的约定。</w:t>
      </w:r>
    </w:p>
    <w:p>
      <w:pPr>
        <w:spacing w:line="360" w:lineRule="auto"/>
        <w:ind w:right="-9" w:firstLine="480"/>
        <w:rPr>
          <w:b/>
          <w:szCs w:val="24"/>
          <w:highlight w:val="none"/>
        </w:rPr>
      </w:pPr>
      <w:r>
        <w:rPr>
          <w:rFonts w:hint="eastAsia"/>
          <w:b/>
          <w:szCs w:val="24"/>
          <w:highlight w:val="none"/>
        </w:rPr>
        <w:t>五、保密责任的期限</w:t>
      </w:r>
    </w:p>
    <w:p>
      <w:pPr>
        <w:spacing w:line="360" w:lineRule="auto"/>
        <w:ind w:right="-9" w:firstLine="480"/>
        <w:rPr>
          <w:szCs w:val="24"/>
          <w:highlight w:val="none"/>
        </w:rPr>
      </w:pPr>
      <w:r>
        <w:rPr>
          <w:rFonts w:hint="eastAsia"/>
          <w:szCs w:val="24"/>
          <w:highlight w:val="none"/>
        </w:rPr>
        <w:t>本协议所述的保密责任并不因本协议的无效、终止、解除而终止。</w:t>
      </w:r>
    </w:p>
    <w:p>
      <w:pPr>
        <w:spacing w:line="360" w:lineRule="auto"/>
        <w:ind w:firstLine="480"/>
        <w:rPr>
          <w:b/>
          <w:szCs w:val="24"/>
          <w:highlight w:val="none"/>
        </w:rPr>
      </w:pPr>
      <w:r>
        <w:rPr>
          <w:rFonts w:hint="eastAsia"/>
          <w:b/>
          <w:szCs w:val="24"/>
          <w:highlight w:val="none"/>
        </w:rPr>
        <w:t>六、争议的解决</w:t>
      </w:r>
    </w:p>
    <w:p>
      <w:pPr>
        <w:tabs>
          <w:tab w:val="left" w:pos="2880"/>
        </w:tabs>
        <w:adjustRightInd w:val="0"/>
        <w:snapToGrid w:val="0"/>
        <w:spacing w:line="360" w:lineRule="auto"/>
        <w:ind w:left="1" w:right="-9" w:firstLine="480" w:firstLineChars="200"/>
        <w:rPr>
          <w:szCs w:val="24"/>
          <w:highlight w:val="none"/>
        </w:rPr>
      </w:pPr>
      <w:r>
        <w:rPr>
          <w:rFonts w:hint="eastAsia"/>
          <w:szCs w:val="24"/>
          <w:highlight w:val="none"/>
        </w:rPr>
        <w:t>凡因本协议引起的或与本协议有关的任何争议，各方应友好协商解决；如协商不成，任何一方均有权向甲方所在地有管辖权的地人民法院提起诉讼。</w:t>
      </w:r>
    </w:p>
    <w:p>
      <w:pPr>
        <w:tabs>
          <w:tab w:val="left" w:pos="2880"/>
        </w:tabs>
        <w:adjustRightInd w:val="0"/>
        <w:snapToGrid w:val="0"/>
        <w:spacing w:line="360" w:lineRule="auto"/>
        <w:ind w:left="1" w:firstLine="480" w:firstLineChars="200"/>
        <w:rPr>
          <w:szCs w:val="24"/>
          <w:highlight w:val="none"/>
        </w:rPr>
      </w:pPr>
    </w:p>
    <w:p>
      <w:pPr>
        <w:tabs>
          <w:tab w:val="left" w:pos="735"/>
        </w:tabs>
        <w:spacing w:line="480" w:lineRule="auto"/>
        <w:ind w:right="-9"/>
        <w:rPr>
          <w:b/>
          <w:szCs w:val="24"/>
          <w:highlight w:val="none"/>
        </w:rPr>
      </w:pPr>
      <w:r>
        <w:rPr>
          <w:rFonts w:hint="eastAsia"/>
          <w:b/>
          <w:szCs w:val="24"/>
          <w:highlight w:val="none"/>
        </w:rPr>
        <w:t>甲方：</w:t>
      </w:r>
      <w:r>
        <w:rPr>
          <w:rFonts w:hint="eastAsia"/>
          <w:b/>
          <w:szCs w:val="24"/>
          <w:highlight w:val="none"/>
          <w:u w:val="single"/>
        </w:rPr>
        <w:t>中山大学附属第一医院</w:t>
      </w:r>
      <w:r>
        <w:rPr>
          <w:rFonts w:hint="eastAsia"/>
          <w:b/>
          <w:szCs w:val="24"/>
          <w:highlight w:val="none"/>
        </w:rPr>
        <w:t>（盖章）    乙方：</w:t>
      </w:r>
      <w:r>
        <w:rPr>
          <w:rFonts w:hint="eastAsia"/>
          <w:b/>
          <w:szCs w:val="24"/>
          <w:highlight w:val="none"/>
          <w:u w:val="single"/>
        </w:rPr>
        <w:t xml:space="preserve">                  </w:t>
      </w:r>
      <w:r>
        <w:rPr>
          <w:rFonts w:hint="eastAsia"/>
          <w:b/>
          <w:szCs w:val="24"/>
          <w:highlight w:val="none"/>
        </w:rPr>
        <w:t>（盖章）</w:t>
      </w:r>
    </w:p>
    <w:p>
      <w:pPr>
        <w:spacing w:line="480" w:lineRule="auto"/>
        <w:ind w:right="-9"/>
        <w:rPr>
          <w:b/>
          <w:szCs w:val="24"/>
          <w:highlight w:val="none"/>
        </w:rPr>
      </w:pPr>
      <w:r>
        <w:rPr>
          <w:rFonts w:hint="eastAsia"/>
          <w:b/>
          <w:szCs w:val="24"/>
          <w:highlight w:val="none"/>
        </w:rPr>
        <w:t>使用科室负责人：                      单位负责人：</w:t>
      </w:r>
    </w:p>
    <w:p>
      <w:pPr>
        <w:spacing w:line="480" w:lineRule="auto"/>
        <w:ind w:right="-9"/>
        <w:rPr>
          <w:b/>
          <w:szCs w:val="24"/>
          <w:highlight w:val="none"/>
        </w:rPr>
      </w:pPr>
      <w:r>
        <w:rPr>
          <w:rFonts w:hint="eastAsia"/>
          <w:b/>
          <w:szCs w:val="24"/>
          <w:highlight w:val="none"/>
        </w:rPr>
        <w:t>签约日期：      年    月    日         签约日期：      年    月     日</w:t>
      </w:r>
    </w:p>
    <w:p>
      <w:pPr>
        <w:rPr>
          <w:b/>
          <w:szCs w:val="24"/>
          <w:highlight w:val="none"/>
        </w:rPr>
      </w:pPr>
      <w:r>
        <w:rPr>
          <w:rFonts w:hint="eastAsia"/>
          <w:b/>
          <w:szCs w:val="24"/>
          <w:highlight w:val="none"/>
        </w:rPr>
        <w:br w:type="page"/>
      </w:r>
    </w:p>
    <w:p>
      <w:pPr>
        <w:pStyle w:val="2"/>
        <w:tabs>
          <w:tab w:val="center" w:pos="2141"/>
        </w:tabs>
        <w:spacing w:after="0" w:line="360" w:lineRule="auto"/>
        <w:ind w:left="0" w:right="0" w:firstLine="0"/>
        <w:rPr>
          <w:b/>
          <w:color w:val="auto"/>
          <w:sz w:val="30"/>
          <w:szCs w:val="30"/>
          <w:highlight w:val="none"/>
        </w:rPr>
      </w:pPr>
      <w:bookmarkStart w:id="439" w:name="_Toc10407"/>
      <w:bookmarkStart w:id="440" w:name="_Toc24665"/>
      <w:bookmarkStart w:id="441" w:name="_Toc4534"/>
      <w:bookmarkStart w:id="442" w:name="_Toc2238"/>
      <w:bookmarkStart w:id="443" w:name="_Toc32672"/>
      <w:bookmarkStart w:id="444" w:name="_Toc7776"/>
      <w:bookmarkStart w:id="445" w:name="_Toc6281"/>
      <w:bookmarkStart w:id="446" w:name="_Toc1272"/>
      <w:bookmarkStart w:id="447" w:name="_Toc24015"/>
      <w:bookmarkStart w:id="448" w:name="_Toc3173"/>
      <w:bookmarkStart w:id="449" w:name="_Toc12296"/>
      <w:bookmarkStart w:id="450" w:name="_Toc32431"/>
      <w:bookmarkStart w:id="451" w:name="_Toc20831"/>
      <w:r>
        <w:rPr>
          <w:rFonts w:hint="eastAsia"/>
          <w:b/>
          <w:color w:val="auto"/>
          <w:sz w:val="30"/>
          <w:szCs w:val="30"/>
          <w:highlight w:val="none"/>
        </w:rPr>
        <w:t>附件7：中国质量认证中心认证技术规范（CQC 1325-2018）</w:t>
      </w:r>
      <w:bookmarkEnd w:id="439"/>
      <w:bookmarkEnd w:id="440"/>
      <w:bookmarkEnd w:id="441"/>
      <w:bookmarkEnd w:id="442"/>
      <w:bookmarkEnd w:id="443"/>
      <w:bookmarkEnd w:id="444"/>
      <w:bookmarkEnd w:id="445"/>
      <w:bookmarkEnd w:id="446"/>
      <w:bookmarkEnd w:id="447"/>
      <w:bookmarkEnd w:id="448"/>
      <w:bookmarkEnd w:id="449"/>
      <w:bookmarkEnd w:id="450"/>
      <w:bookmarkEnd w:id="451"/>
    </w:p>
    <w:p>
      <w:pPr>
        <w:spacing w:line="480" w:lineRule="auto"/>
        <w:ind w:right="-9"/>
        <w:rPr>
          <w:b/>
          <w:szCs w:val="24"/>
          <w:highlight w:val="none"/>
        </w:rPr>
      </w:pPr>
      <w:r>
        <w:rPr>
          <w:highlight w:val="none"/>
        </w:rPr>
        <w:drawing>
          <wp:inline distT="0" distB="0" distL="114300" distR="114300">
            <wp:extent cx="5784850" cy="8369300"/>
            <wp:effectExtent l="0" t="0" r="6350" b="12700"/>
            <wp:docPr id="2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
                    <pic:cNvPicPr>
                      <a:picLocks noChangeAspect="1"/>
                    </pic:cNvPicPr>
                  </pic:nvPicPr>
                  <pic:blipFill>
                    <a:blip r:embed="rId31"/>
                    <a:stretch>
                      <a:fillRect/>
                    </a:stretch>
                  </pic:blipFill>
                  <pic:spPr>
                    <a:xfrm>
                      <a:off x="0" y="0"/>
                      <a:ext cx="5784850" cy="8369300"/>
                    </a:xfrm>
                    <a:prstGeom prst="rect">
                      <a:avLst/>
                    </a:prstGeom>
                    <a:noFill/>
                    <a:ln>
                      <a:noFill/>
                    </a:ln>
                  </pic:spPr>
                </pic:pic>
              </a:graphicData>
            </a:graphic>
          </wp:inline>
        </w:drawing>
      </w:r>
    </w:p>
    <w:p>
      <w:pPr>
        <w:rPr>
          <w:color w:val="auto"/>
          <w:highlight w:val="none"/>
        </w:rPr>
      </w:pPr>
      <w:r>
        <w:rPr>
          <w:highlight w:val="none"/>
        </w:rPr>
        <w:drawing>
          <wp:inline distT="0" distB="0" distL="114300" distR="114300">
            <wp:extent cx="5782310" cy="8378825"/>
            <wp:effectExtent l="0" t="0" r="8890" b="3175"/>
            <wp:docPr id="2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3"/>
                    <pic:cNvPicPr>
                      <a:picLocks noChangeAspect="1"/>
                    </pic:cNvPicPr>
                  </pic:nvPicPr>
                  <pic:blipFill>
                    <a:blip r:embed="rId32"/>
                    <a:stretch>
                      <a:fillRect/>
                    </a:stretch>
                  </pic:blipFill>
                  <pic:spPr>
                    <a:xfrm>
                      <a:off x="0" y="0"/>
                      <a:ext cx="5782310" cy="8378825"/>
                    </a:xfrm>
                    <a:prstGeom prst="rect">
                      <a:avLst/>
                    </a:prstGeom>
                    <a:noFill/>
                    <a:ln>
                      <a:noFill/>
                    </a:ln>
                  </pic:spPr>
                </pic:pic>
              </a:graphicData>
            </a:graphic>
          </wp:inline>
        </w:drawing>
      </w:r>
    </w:p>
    <w:p>
      <w:pPr>
        <w:rPr>
          <w:color w:val="auto"/>
          <w:highlight w:val="none"/>
        </w:rPr>
      </w:pPr>
    </w:p>
    <w:p>
      <w:pPr>
        <w:pStyle w:val="35"/>
        <w:ind w:left="397" w:firstLine="0"/>
        <w:rPr>
          <w:highlight w:val="none"/>
        </w:rPr>
      </w:pPr>
      <w:r>
        <w:rPr>
          <w:highlight w:val="none"/>
        </w:rPr>
        <w:drawing>
          <wp:inline distT="0" distB="0" distL="114300" distR="114300">
            <wp:extent cx="5782945" cy="8362315"/>
            <wp:effectExtent l="0" t="0" r="8255" b="635"/>
            <wp:docPr id="2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4"/>
                    <pic:cNvPicPr>
                      <a:picLocks noChangeAspect="1"/>
                    </pic:cNvPicPr>
                  </pic:nvPicPr>
                  <pic:blipFill>
                    <a:blip r:embed="rId33"/>
                    <a:stretch>
                      <a:fillRect/>
                    </a:stretch>
                  </pic:blipFill>
                  <pic:spPr>
                    <a:xfrm>
                      <a:off x="0" y="0"/>
                      <a:ext cx="5782945" cy="8362315"/>
                    </a:xfrm>
                    <a:prstGeom prst="rect">
                      <a:avLst/>
                    </a:prstGeom>
                    <a:noFill/>
                    <a:ln>
                      <a:noFill/>
                    </a:ln>
                  </pic:spPr>
                </pic:pic>
              </a:graphicData>
            </a:graphic>
          </wp:inline>
        </w:drawing>
      </w:r>
      <w:r>
        <w:rPr>
          <w:highlight w:val="none"/>
        </w:rPr>
        <w:drawing>
          <wp:inline distT="0" distB="0" distL="114300" distR="114300">
            <wp:extent cx="5781040" cy="8380730"/>
            <wp:effectExtent l="0" t="0" r="10160" b="1270"/>
            <wp:docPr id="2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5"/>
                    <pic:cNvPicPr>
                      <a:picLocks noChangeAspect="1"/>
                    </pic:cNvPicPr>
                  </pic:nvPicPr>
                  <pic:blipFill>
                    <a:blip r:embed="rId34"/>
                    <a:stretch>
                      <a:fillRect/>
                    </a:stretch>
                  </pic:blipFill>
                  <pic:spPr>
                    <a:xfrm>
                      <a:off x="0" y="0"/>
                      <a:ext cx="5781040" cy="8380730"/>
                    </a:xfrm>
                    <a:prstGeom prst="rect">
                      <a:avLst/>
                    </a:prstGeom>
                    <a:noFill/>
                    <a:ln>
                      <a:noFill/>
                    </a:ln>
                  </pic:spPr>
                </pic:pic>
              </a:graphicData>
            </a:graphic>
          </wp:inline>
        </w:drawing>
      </w:r>
      <w:r>
        <w:rPr>
          <w:highlight w:val="none"/>
        </w:rPr>
        <w:drawing>
          <wp:inline distT="0" distB="0" distL="114300" distR="114300">
            <wp:extent cx="5784215" cy="8398510"/>
            <wp:effectExtent l="0" t="0" r="6985" b="2540"/>
            <wp:docPr id="3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6"/>
                    <pic:cNvPicPr>
                      <a:picLocks noChangeAspect="1"/>
                    </pic:cNvPicPr>
                  </pic:nvPicPr>
                  <pic:blipFill>
                    <a:blip r:embed="rId35"/>
                    <a:stretch>
                      <a:fillRect/>
                    </a:stretch>
                  </pic:blipFill>
                  <pic:spPr>
                    <a:xfrm>
                      <a:off x="0" y="0"/>
                      <a:ext cx="5784215" cy="8398510"/>
                    </a:xfrm>
                    <a:prstGeom prst="rect">
                      <a:avLst/>
                    </a:prstGeom>
                    <a:noFill/>
                    <a:ln>
                      <a:noFill/>
                    </a:ln>
                  </pic:spPr>
                </pic:pic>
              </a:graphicData>
            </a:graphic>
          </wp:inline>
        </w:drawing>
      </w:r>
      <w:r>
        <w:rPr>
          <w:highlight w:val="none"/>
        </w:rPr>
        <w:drawing>
          <wp:inline distT="0" distB="0" distL="114300" distR="114300">
            <wp:extent cx="5784215" cy="8398510"/>
            <wp:effectExtent l="0" t="0" r="6985" b="2540"/>
            <wp:docPr id="3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7"/>
                    <pic:cNvPicPr>
                      <a:picLocks noChangeAspect="1"/>
                    </pic:cNvPicPr>
                  </pic:nvPicPr>
                  <pic:blipFill>
                    <a:blip r:embed="rId35"/>
                    <a:stretch>
                      <a:fillRect/>
                    </a:stretch>
                  </pic:blipFill>
                  <pic:spPr>
                    <a:xfrm>
                      <a:off x="0" y="0"/>
                      <a:ext cx="5784215" cy="8398510"/>
                    </a:xfrm>
                    <a:prstGeom prst="rect">
                      <a:avLst/>
                    </a:prstGeom>
                    <a:noFill/>
                    <a:ln>
                      <a:noFill/>
                    </a:ln>
                  </pic:spPr>
                </pic:pic>
              </a:graphicData>
            </a:graphic>
          </wp:inline>
        </w:drawing>
      </w:r>
      <w:r>
        <w:rPr>
          <w:highlight w:val="none"/>
        </w:rPr>
        <w:drawing>
          <wp:inline distT="0" distB="0" distL="114300" distR="114300">
            <wp:extent cx="5784215" cy="8442960"/>
            <wp:effectExtent l="0" t="0" r="6985" b="15240"/>
            <wp:docPr id="3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8"/>
                    <pic:cNvPicPr>
                      <a:picLocks noChangeAspect="1"/>
                    </pic:cNvPicPr>
                  </pic:nvPicPr>
                  <pic:blipFill>
                    <a:blip r:embed="rId36"/>
                    <a:stretch>
                      <a:fillRect/>
                    </a:stretch>
                  </pic:blipFill>
                  <pic:spPr>
                    <a:xfrm>
                      <a:off x="0" y="0"/>
                      <a:ext cx="5784215" cy="8442960"/>
                    </a:xfrm>
                    <a:prstGeom prst="rect">
                      <a:avLst/>
                    </a:prstGeom>
                    <a:noFill/>
                    <a:ln>
                      <a:noFill/>
                    </a:ln>
                  </pic:spPr>
                </pic:pic>
              </a:graphicData>
            </a:graphic>
          </wp:inline>
        </w:drawing>
      </w:r>
      <w:r>
        <w:rPr>
          <w:highlight w:val="none"/>
        </w:rPr>
        <w:drawing>
          <wp:inline distT="0" distB="0" distL="114300" distR="114300">
            <wp:extent cx="5783580" cy="8344535"/>
            <wp:effectExtent l="0" t="0" r="7620" b="18415"/>
            <wp:docPr id="3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9"/>
                    <pic:cNvPicPr>
                      <a:picLocks noChangeAspect="1"/>
                    </pic:cNvPicPr>
                  </pic:nvPicPr>
                  <pic:blipFill>
                    <a:blip r:embed="rId37"/>
                    <a:stretch>
                      <a:fillRect/>
                    </a:stretch>
                  </pic:blipFill>
                  <pic:spPr>
                    <a:xfrm>
                      <a:off x="0" y="0"/>
                      <a:ext cx="5783580" cy="8344535"/>
                    </a:xfrm>
                    <a:prstGeom prst="rect">
                      <a:avLst/>
                    </a:prstGeom>
                    <a:noFill/>
                    <a:ln>
                      <a:noFill/>
                    </a:ln>
                  </pic:spPr>
                </pic:pic>
              </a:graphicData>
            </a:graphic>
          </wp:inline>
        </w:drawing>
      </w:r>
      <w:r>
        <w:rPr>
          <w:highlight w:val="none"/>
        </w:rPr>
        <w:drawing>
          <wp:inline distT="0" distB="0" distL="114300" distR="114300">
            <wp:extent cx="5779770" cy="8326120"/>
            <wp:effectExtent l="0" t="0" r="11430" b="17780"/>
            <wp:docPr id="3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0"/>
                    <pic:cNvPicPr>
                      <a:picLocks noChangeAspect="1"/>
                    </pic:cNvPicPr>
                  </pic:nvPicPr>
                  <pic:blipFill>
                    <a:blip r:embed="rId38"/>
                    <a:stretch>
                      <a:fillRect/>
                    </a:stretch>
                  </pic:blipFill>
                  <pic:spPr>
                    <a:xfrm>
                      <a:off x="0" y="0"/>
                      <a:ext cx="5779770" cy="8326120"/>
                    </a:xfrm>
                    <a:prstGeom prst="rect">
                      <a:avLst/>
                    </a:prstGeom>
                    <a:noFill/>
                    <a:ln>
                      <a:noFill/>
                    </a:ln>
                  </pic:spPr>
                </pic:pic>
              </a:graphicData>
            </a:graphic>
          </wp:inline>
        </w:drawing>
      </w:r>
      <w:r>
        <w:rPr>
          <w:highlight w:val="none"/>
        </w:rPr>
        <w:drawing>
          <wp:inline distT="0" distB="0" distL="114300" distR="114300">
            <wp:extent cx="5780405" cy="8460740"/>
            <wp:effectExtent l="0" t="0" r="10795" b="16510"/>
            <wp:docPr id="3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1"/>
                    <pic:cNvPicPr>
                      <a:picLocks noChangeAspect="1"/>
                    </pic:cNvPicPr>
                  </pic:nvPicPr>
                  <pic:blipFill>
                    <a:blip r:embed="rId39"/>
                    <a:stretch>
                      <a:fillRect/>
                    </a:stretch>
                  </pic:blipFill>
                  <pic:spPr>
                    <a:xfrm>
                      <a:off x="0" y="0"/>
                      <a:ext cx="5780405" cy="8460740"/>
                    </a:xfrm>
                    <a:prstGeom prst="rect">
                      <a:avLst/>
                    </a:prstGeom>
                    <a:noFill/>
                    <a:ln>
                      <a:noFill/>
                    </a:ln>
                  </pic:spPr>
                </pic:pic>
              </a:graphicData>
            </a:graphic>
          </wp:inline>
        </w:drawing>
      </w:r>
      <w:r>
        <w:rPr>
          <w:highlight w:val="none"/>
        </w:rPr>
        <w:drawing>
          <wp:inline distT="0" distB="0" distL="114300" distR="114300">
            <wp:extent cx="5784850" cy="8378190"/>
            <wp:effectExtent l="0" t="0" r="6350" b="3810"/>
            <wp:docPr id="3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12"/>
                    <pic:cNvPicPr>
                      <a:picLocks noChangeAspect="1"/>
                    </pic:cNvPicPr>
                  </pic:nvPicPr>
                  <pic:blipFill>
                    <a:blip r:embed="rId40"/>
                    <a:stretch>
                      <a:fillRect/>
                    </a:stretch>
                  </pic:blipFill>
                  <pic:spPr>
                    <a:xfrm>
                      <a:off x="0" y="0"/>
                      <a:ext cx="5784850" cy="8378190"/>
                    </a:xfrm>
                    <a:prstGeom prst="rect">
                      <a:avLst/>
                    </a:prstGeom>
                    <a:noFill/>
                    <a:ln>
                      <a:noFill/>
                    </a:ln>
                  </pic:spPr>
                </pic:pic>
              </a:graphicData>
            </a:graphic>
          </wp:inline>
        </w:drawing>
      </w:r>
      <w:r>
        <w:rPr>
          <w:highlight w:val="none"/>
        </w:rPr>
        <w:drawing>
          <wp:inline distT="0" distB="0" distL="114300" distR="114300">
            <wp:extent cx="5784850" cy="8299450"/>
            <wp:effectExtent l="0" t="0" r="6350" b="6350"/>
            <wp:docPr id="37"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3"/>
                    <pic:cNvPicPr>
                      <a:picLocks noChangeAspect="1"/>
                    </pic:cNvPicPr>
                  </pic:nvPicPr>
                  <pic:blipFill>
                    <a:blip r:embed="rId41"/>
                    <a:stretch>
                      <a:fillRect/>
                    </a:stretch>
                  </pic:blipFill>
                  <pic:spPr>
                    <a:xfrm>
                      <a:off x="0" y="0"/>
                      <a:ext cx="5784850" cy="8299450"/>
                    </a:xfrm>
                    <a:prstGeom prst="rect">
                      <a:avLst/>
                    </a:prstGeom>
                    <a:noFill/>
                    <a:ln>
                      <a:noFill/>
                    </a:ln>
                  </pic:spPr>
                </pic:pic>
              </a:graphicData>
            </a:graphic>
          </wp:inline>
        </w:drawing>
      </w:r>
      <w:r>
        <w:rPr>
          <w:rFonts w:hint="eastAsia"/>
          <w:highlight w:val="none"/>
        </w:rPr>
        <w:drawing>
          <wp:inline distT="0" distB="0" distL="114300" distR="114300">
            <wp:extent cx="5654675" cy="8354060"/>
            <wp:effectExtent l="0" t="0" r="3175" b="8890"/>
            <wp:docPr id="39" name="图片 39" descr="1659774262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1659774262395"/>
                    <pic:cNvPicPr>
                      <a:picLocks noChangeAspect="1"/>
                    </pic:cNvPicPr>
                  </pic:nvPicPr>
                  <pic:blipFill>
                    <a:blip r:embed="rId42"/>
                    <a:stretch>
                      <a:fillRect/>
                    </a:stretch>
                  </pic:blipFill>
                  <pic:spPr>
                    <a:xfrm>
                      <a:off x="0" y="0"/>
                      <a:ext cx="5654675" cy="8354060"/>
                    </a:xfrm>
                    <a:prstGeom prst="rect">
                      <a:avLst/>
                    </a:prstGeom>
                  </pic:spPr>
                </pic:pic>
              </a:graphicData>
            </a:graphic>
          </wp:inline>
        </w:drawing>
      </w:r>
      <w:r>
        <w:rPr>
          <w:rFonts w:hint="eastAsia"/>
          <w:highlight w:val="none"/>
        </w:rPr>
        <w:drawing>
          <wp:inline distT="0" distB="0" distL="114300" distR="114300">
            <wp:extent cx="5781040" cy="7907020"/>
            <wp:effectExtent l="0" t="0" r="10160" b="17780"/>
            <wp:docPr id="40" name="图片 40" descr="1659774303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1659774303020"/>
                    <pic:cNvPicPr>
                      <a:picLocks noChangeAspect="1"/>
                    </pic:cNvPicPr>
                  </pic:nvPicPr>
                  <pic:blipFill>
                    <a:blip r:embed="rId43"/>
                    <a:stretch>
                      <a:fillRect/>
                    </a:stretch>
                  </pic:blipFill>
                  <pic:spPr>
                    <a:xfrm>
                      <a:off x="0" y="0"/>
                      <a:ext cx="5781040" cy="7907020"/>
                    </a:xfrm>
                    <a:prstGeom prst="rect">
                      <a:avLst/>
                    </a:prstGeom>
                  </pic:spPr>
                </pic:pic>
              </a:graphicData>
            </a:graphic>
          </wp:inline>
        </w:drawing>
      </w:r>
      <w:r>
        <w:rPr>
          <w:highlight w:val="none"/>
        </w:rPr>
        <w:drawing>
          <wp:inline distT="0" distB="0" distL="114300" distR="114300">
            <wp:extent cx="5779770" cy="8361045"/>
            <wp:effectExtent l="0" t="0" r="11430" b="1905"/>
            <wp:docPr id="4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15"/>
                    <pic:cNvPicPr>
                      <a:picLocks noChangeAspect="1"/>
                    </pic:cNvPicPr>
                  </pic:nvPicPr>
                  <pic:blipFill>
                    <a:blip r:embed="rId44"/>
                    <a:stretch>
                      <a:fillRect/>
                    </a:stretch>
                  </pic:blipFill>
                  <pic:spPr>
                    <a:xfrm>
                      <a:off x="0" y="0"/>
                      <a:ext cx="5779770" cy="8361045"/>
                    </a:xfrm>
                    <a:prstGeom prst="rect">
                      <a:avLst/>
                    </a:prstGeom>
                    <a:noFill/>
                    <a:ln>
                      <a:noFill/>
                    </a:ln>
                  </pic:spPr>
                </pic:pic>
              </a:graphicData>
            </a:graphic>
          </wp:inline>
        </w:drawing>
      </w:r>
      <w:r>
        <w:rPr>
          <w:highlight w:val="none"/>
        </w:rPr>
        <w:drawing>
          <wp:inline distT="0" distB="0" distL="114300" distR="114300">
            <wp:extent cx="5782310" cy="8290560"/>
            <wp:effectExtent l="0" t="0" r="8890" b="15240"/>
            <wp:docPr id="4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16"/>
                    <pic:cNvPicPr>
                      <a:picLocks noChangeAspect="1"/>
                    </pic:cNvPicPr>
                  </pic:nvPicPr>
                  <pic:blipFill>
                    <a:blip r:embed="rId45"/>
                    <a:stretch>
                      <a:fillRect/>
                    </a:stretch>
                  </pic:blipFill>
                  <pic:spPr>
                    <a:xfrm>
                      <a:off x="0" y="0"/>
                      <a:ext cx="5782310" cy="8290560"/>
                    </a:xfrm>
                    <a:prstGeom prst="rect">
                      <a:avLst/>
                    </a:prstGeom>
                    <a:noFill/>
                    <a:ln>
                      <a:noFill/>
                    </a:ln>
                  </pic:spPr>
                </pic:pic>
              </a:graphicData>
            </a:graphic>
          </wp:inline>
        </w:drawing>
      </w:r>
      <w:r>
        <w:rPr>
          <w:highlight w:val="none"/>
        </w:rPr>
        <w:drawing>
          <wp:inline distT="0" distB="0" distL="114300" distR="114300">
            <wp:extent cx="5779770" cy="8326120"/>
            <wp:effectExtent l="0" t="0" r="11430" b="17780"/>
            <wp:docPr id="43"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17"/>
                    <pic:cNvPicPr>
                      <a:picLocks noChangeAspect="1"/>
                    </pic:cNvPicPr>
                  </pic:nvPicPr>
                  <pic:blipFill>
                    <a:blip r:embed="rId46"/>
                    <a:stretch>
                      <a:fillRect/>
                    </a:stretch>
                  </pic:blipFill>
                  <pic:spPr>
                    <a:xfrm>
                      <a:off x="0" y="0"/>
                      <a:ext cx="5779770" cy="8326120"/>
                    </a:xfrm>
                    <a:prstGeom prst="rect">
                      <a:avLst/>
                    </a:prstGeom>
                    <a:noFill/>
                    <a:ln>
                      <a:noFill/>
                    </a:ln>
                  </pic:spPr>
                </pic:pic>
              </a:graphicData>
            </a:graphic>
          </wp:inline>
        </w:drawing>
      </w:r>
      <w:r>
        <w:rPr>
          <w:highlight w:val="none"/>
        </w:rPr>
        <w:drawing>
          <wp:inline distT="0" distB="0" distL="114300" distR="114300">
            <wp:extent cx="5784850" cy="8404860"/>
            <wp:effectExtent l="0" t="0" r="6350" b="15240"/>
            <wp:docPr id="44"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18"/>
                    <pic:cNvPicPr>
                      <a:picLocks noChangeAspect="1"/>
                    </pic:cNvPicPr>
                  </pic:nvPicPr>
                  <pic:blipFill>
                    <a:blip r:embed="rId47"/>
                    <a:stretch>
                      <a:fillRect/>
                    </a:stretch>
                  </pic:blipFill>
                  <pic:spPr>
                    <a:xfrm>
                      <a:off x="0" y="0"/>
                      <a:ext cx="5784850" cy="8404860"/>
                    </a:xfrm>
                    <a:prstGeom prst="rect">
                      <a:avLst/>
                    </a:prstGeom>
                    <a:noFill/>
                    <a:ln>
                      <a:noFill/>
                    </a:ln>
                  </pic:spPr>
                </pic:pic>
              </a:graphicData>
            </a:graphic>
          </wp:inline>
        </w:drawing>
      </w:r>
    </w:p>
    <w:p>
      <w:pPr>
        <w:pStyle w:val="35"/>
        <w:ind w:left="397" w:firstLine="0"/>
        <w:rPr>
          <w:highlight w:val="none"/>
        </w:rPr>
      </w:pPr>
      <w:r>
        <w:rPr>
          <w:highlight w:val="none"/>
        </w:rPr>
        <w:drawing>
          <wp:inline distT="0" distB="0" distL="114300" distR="114300">
            <wp:extent cx="5782945" cy="8226425"/>
            <wp:effectExtent l="0" t="0" r="8255" b="3175"/>
            <wp:docPr id="45"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19"/>
                    <pic:cNvPicPr>
                      <a:picLocks noChangeAspect="1"/>
                    </pic:cNvPicPr>
                  </pic:nvPicPr>
                  <pic:blipFill>
                    <a:blip r:embed="rId48"/>
                    <a:stretch>
                      <a:fillRect/>
                    </a:stretch>
                  </pic:blipFill>
                  <pic:spPr>
                    <a:xfrm>
                      <a:off x="0" y="0"/>
                      <a:ext cx="5782945" cy="8226425"/>
                    </a:xfrm>
                    <a:prstGeom prst="rect">
                      <a:avLst/>
                    </a:prstGeom>
                    <a:noFill/>
                    <a:ln>
                      <a:noFill/>
                    </a:ln>
                  </pic:spPr>
                </pic:pic>
              </a:graphicData>
            </a:graphic>
          </wp:inline>
        </w:drawing>
      </w:r>
      <w:r>
        <w:rPr>
          <w:highlight w:val="none"/>
        </w:rPr>
        <w:drawing>
          <wp:inline distT="0" distB="0" distL="114300" distR="114300">
            <wp:extent cx="5781675" cy="8129270"/>
            <wp:effectExtent l="0" t="0" r="9525" b="5080"/>
            <wp:docPr id="46"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20"/>
                    <pic:cNvPicPr>
                      <a:picLocks noChangeAspect="1"/>
                    </pic:cNvPicPr>
                  </pic:nvPicPr>
                  <pic:blipFill>
                    <a:blip r:embed="rId49"/>
                    <a:stretch>
                      <a:fillRect/>
                    </a:stretch>
                  </pic:blipFill>
                  <pic:spPr>
                    <a:xfrm>
                      <a:off x="0" y="0"/>
                      <a:ext cx="5781675" cy="8129270"/>
                    </a:xfrm>
                    <a:prstGeom prst="rect">
                      <a:avLst/>
                    </a:prstGeom>
                    <a:noFill/>
                    <a:ln>
                      <a:noFill/>
                    </a:ln>
                  </pic:spPr>
                </pic:pic>
              </a:graphicData>
            </a:graphic>
          </wp:inline>
        </w:drawing>
      </w:r>
      <w:r>
        <w:rPr>
          <w:highlight w:val="none"/>
        </w:rPr>
        <w:drawing>
          <wp:inline distT="0" distB="0" distL="114300" distR="114300">
            <wp:extent cx="5779770" cy="8030210"/>
            <wp:effectExtent l="0" t="0" r="11430" b="8890"/>
            <wp:docPr id="47"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21"/>
                    <pic:cNvPicPr>
                      <a:picLocks noChangeAspect="1"/>
                    </pic:cNvPicPr>
                  </pic:nvPicPr>
                  <pic:blipFill>
                    <a:blip r:embed="rId50"/>
                    <a:stretch>
                      <a:fillRect/>
                    </a:stretch>
                  </pic:blipFill>
                  <pic:spPr>
                    <a:xfrm>
                      <a:off x="0" y="0"/>
                      <a:ext cx="5779770" cy="8030210"/>
                    </a:xfrm>
                    <a:prstGeom prst="rect">
                      <a:avLst/>
                    </a:prstGeom>
                    <a:noFill/>
                    <a:ln>
                      <a:noFill/>
                    </a:ln>
                  </pic:spPr>
                </pic:pic>
              </a:graphicData>
            </a:graphic>
          </wp:inline>
        </w:drawing>
      </w:r>
      <w:r>
        <w:rPr>
          <w:highlight w:val="none"/>
        </w:rPr>
        <w:drawing>
          <wp:inline distT="0" distB="0" distL="114300" distR="114300">
            <wp:extent cx="5779770" cy="8174355"/>
            <wp:effectExtent l="0" t="0" r="11430" b="17145"/>
            <wp:docPr id="48"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22"/>
                    <pic:cNvPicPr>
                      <a:picLocks noChangeAspect="1"/>
                    </pic:cNvPicPr>
                  </pic:nvPicPr>
                  <pic:blipFill>
                    <a:blip r:embed="rId51"/>
                    <a:stretch>
                      <a:fillRect/>
                    </a:stretch>
                  </pic:blipFill>
                  <pic:spPr>
                    <a:xfrm>
                      <a:off x="0" y="0"/>
                      <a:ext cx="5779770" cy="8174355"/>
                    </a:xfrm>
                    <a:prstGeom prst="rect">
                      <a:avLst/>
                    </a:prstGeom>
                    <a:noFill/>
                    <a:ln>
                      <a:noFill/>
                    </a:ln>
                  </pic:spPr>
                </pic:pic>
              </a:graphicData>
            </a:graphic>
          </wp:inline>
        </w:drawing>
      </w:r>
      <w:r>
        <w:rPr>
          <w:highlight w:val="none"/>
        </w:rPr>
        <w:drawing>
          <wp:inline distT="0" distB="0" distL="114300" distR="114300">
            <wp:extent cx="5783580" cy="8377555"/>
            <wp:effectExtent l="0" t="0" r="7620" b="4445"/>
            <wp:docPr id="49"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23"/>
                    <pic:cNvPicPr>
                      <a:picLocks noChangeAspect="1"/>
                    </pic:cNvPicPr>
                  </pic:nvPicPr>
                  <pic:blipFill>
                    <a:blip r:embed="rId52"/>
                    <a:stretch>
                      <a:fillRect/>
                    </a:stretch>
                  </pic:blipFill>
                  <pic:spPr>
                    <a:xfrm>
                      <a:off x="0" y="0"/>
                      <a:ext cx="5783580" cy="8377555"/>
                    </a:xfrm>
                    <a:prstGeom prst="rect">
                      <a:avLst/>
                    </a:prstGeom>
                    <a:noFill/>
                    <a:ln>
                      <a:noFill/>
                    </a:ln>
                  </pic:spPr>
                </pic:pic>
              </a:graphicData>
            </a:graphic>
          </wp:inline>
        </w:drawing>
      </w:r>
      <w:r>
        <w:rPr>
          <w:highlight w:val="none"/>
        </w:rPr>
        <w:drawing>
          <wp:inline distT="0" distB="0" distL="114300" distR="114300">
            <wp:extent cx="5779770" cy="8100695"/>
            <wp:effectExtent l="0" t="0" r="11430" b="14605"/>
            <wp:docPr id="50"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24"/>
                    <pic:cNvPicPr>
                      <a:picLocks noChangeAspect="1"/>
                    </pic:cNvPicPr>
                  </pic:nvPicPr>
                  <pic:blipFill>
                    <a:blip r:embed="rId53"/>
                    <a:stretch>
                      <a:fillRect/>
                    </a:stretch>
                  </pic:blipFill>
                  <pic:spPr>
                    <a:xfrm>
                      <a:off x="0" y="0"/>
                      <a:ext cx="5779770" cy="8100695"/>
                    </a:xfrm>
                    <a:prstGeom prst="rect">
                      <a:avLst/>
                    </a:prstGeom>
                    <a:noFill/>
                    <a:ln>
                      <a:noFill/>
                    </a:ln>
                  </pic:spPr>
                </pic:pic>
              </a:graphicData>
            </a:graphic>
          </wp:inline>
        </w:drawing>
      </w:r>
      <w:r>
        <w:rPr>
          <w:highlight w:val="none"/>
        </w:rPr>
        <w:drawing>
          <wp:inline distT="0" distB="0" distL="114300" distR="114300">
            <wp:extent cx="5782945" cy="8841740"/>
            <wp:effectExtent l="0" t="0" r="8255" b="16510"/>
            <wp:docPr id="51"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25"/>
                    <pic:cNvPicPr>
                      <a:picLocks noChangeAspect="1"/>
                    </pic:cNvPicPr>
                  </pic:nvPicPr>
                  <pic:blipFill>
                    <a:blip r:embed="rId54"/>
                    <a:stretch>
                      <a:fillRect/>
                    </a:stretch>
                  </pic:blipFill>
                  <pic:spPr>
                    <a:xfrm>
                      <a:off x="0" y="0"/>
                      <a:ext cx="5782945" cy="8841740"/>
                    </a:xfrm>
                    <a:prstGeom prst="rect">
                      <a:avLst/>
                    </a:prstGeom>
                    <a:noFill/>
                    <a:ln>
                      <a:noFill/>
                    </a:ln>
                  </pic:spPr>
                </pic:pic>
              </a:graphicData>
            </a:graphic>
          </wp:inline>
        </w:drawing>
      </w:r>
      <w:r>
        <w:rPr>
          <w:highlight w:val="none"/>
        </w:rPr>
        <w:drawing>
          <wp:inline distT="0" distB="0" distL="114300" distR="114300">
            <wp:extent cx="5784850" cy="8448675"/>
            <wp:effectExtent l="0" t="0" r="6350" b="9525"/>
            <wp:docPr id="52"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26"/>
                    <pic:cNvPicPr>
                      <a:picLocks noChangeAspect="1"/>
                    </pic:cNvPicPr>
                  </pic:nvPicPr>
                  <pic:blipFill>
                    <a:blip r:embed="rId55"/>
                    <a:stretch>
                      <a:fillRect/>
                    </a:stretch>
                  </pic:blipFill>
                  <pic:spPr>
                    <a:xfrm>
                      <a:off x="0" y="0"/>
                      <a:ext cx="5784850" cy="8448675"/>
                    </a:xfrm>
                    <a:prstGeom prst="rect">
                      <a:avLst/>
                    </a:prstGeom>
                    <a:noFill/>
                    <a:ln>
                      <a:noFill/>
                    </a:ln>
                  </pic:spPr>
                </pic:pic>
              </a:graphicData>
            </a:graphic>
          </wp:inline>
        </w:drawing>
      </w:r>
      <w:r>
        <w:rPr>
          <w:highlight w:val="none"/>
        </w:rPr>
        <w:drawing>
          <wp:inline distT="0" distB="0" distL="114300" distR="114300">
            <wp:extent cx="5782310" cy="8368030"/>
            <wp:effectExtent l="0" t="0" r="8890" b="13970"/>
            <wp:docPr id="53"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27"/>
                    <pic:cNvPicPr>
                      <a:picLocks noChangeAspect="1"/>
                    </pic:cNvPicPr>
                  </pic:nvPicPr>
                  <pic:blipFill>
                    <a:blip r:embed="rId56"/>
                    <a:stretch>
                      <a:fillRect/>
                    </a:stretch>
                  </pic:blipFill>
                  <pic:spPr>
                    <a:xfrm>
                      <a:off x="0" y="0"/>
                      <a:ext cx="5782310" cy="8368030"/>
                    </a:xfrm>
                    <a:prstGeom prst="rect">
                      <a:avLst/>
                    </a:prstGeom>
                    <a:noFill/>
                    <a:ln>
                      <a:noFill/>
                    </a:ln>
                  </pic:spPr>
                </pic:pic>
              </a:graphicData>
            </a:graphic>
          </wp:inline>
        </w:drawing>
      </w:r>
    </w:p>
    <w:sectPr>
      <w:pgSz w:w="11909" w:h="16834"/>
      <w:pgMar w:top="1445" w:right="1358" w:bottom="1450" w:left="1440" w:header="568" w:footer="343" w:gutter="0"/>
      <w:cols w:space="720" w:num="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等线 Light">
    <w:panose1 w:val="02010600030101010101"/>
    <w:charset w:val="86"/>
    <w:family w:val="auto"/>
    <w:pitch w:val="default"/>
    <w:sig w:usb0="A00002BF" w:usb1="38CF7CFA" w:usb2="00000016" w:usb3="00000000" w:csb0="0004000F" w:csb1="00000000"/>
  </w:font>
  <w:font w:name="华文细黑">
    <w:panose1 w:val="02010600040101010101"/>
    <w:charset w:val="86"/>
    <w:family w:val="auto"/>
    <w:pitch w:val="default"/>
    <w:sig w:usb0="00000287" w:usb1="080F0000" w:usb2="00000000" w:usb3="00000000" w:csb0="0004009F" w:csb1="DFD70000"/>
  </w:font>
  <w:font w:name="Verdana">
    <w:panose1 w:val="020B0604030504040204"/>
    <w:charset w:val="00"/>
    <w:family w:val="swiss"/>
    <w:pitch w:val="default"/>
    <w:sig w:usb0="A00006FF" w:usb1="4000205B" w:usb2="00000010" w:usb3="00000000" w:csb0="2000019F" w:csb1="00000000"/>
  </w:font>
  <w:font w:name="TimesNewRomanPSMT">
    <w:altName w:val="Times New Roman"/>
    <w:panose1 w:val="00000000000000000000"/>
    <w:charset w:val="00"/>
    <w:family w:val="roman"/>
    <w:pitch w:val="default"/>
    <w:sig w:usb0="00000000" w:usb1="00000000" w:usb2="00000000" w:usb3="00000000" w:csb0="00000000" w:csb1="00000000"/>
  </w:font>
  <w:font w:name="仿宋">
    <w:panose1 w:val="02010609060101010101"/>
    <w:charset w:val="86"/>
    <w:family w:val="modern"/>
    <w:pitch w:val="default"/>
    <w:sig w:usb0="800002BF" w:usb1="38CF7CFA" w:usb2="00000016" w:usb3="00000000" w:csb0="00040001" w:csb1="00000000"/>
  </w:font>
  <w:font w:name="等线">
    <w:panose1 w:val="02010600030101010101"/>
    <w:charset w:val="86"/>
    <w:family w:val="auto"/>
    <w:pitch w:val="default"/>
    <w:sig w:usb0="A00002BF" w:usb1="38CF7CFA" w:usb2="00000016" w:usb3="00000000" w:csb0="0004000F" w:csb1="00000000"/>
  </w:font>
  <w:font w:name="微软雅黑">
    <w:panose1 w:val="020B0503020204020204"/>
    <w:charset w:val="86"/>
    <w:family w:val="swiss"/>
    <w:pitch w:val="default"/>
    <w:sig w:usb0="80000287" w:usb1="2ACF3C50" w:usb2="00000016" w:usb3="00000000" w:csb0="0004001F" w:csb1="00000000"/>
  </w:font>
  <w:font w:name="Arial Unicode MS">
    <w:altName w:val="宋体"/>
    <w:panose1 w:val="020B0604020202020204"/>
    <w:charset w:val="86"/>
    <w:family w:val="swiss"/>
    <w:pitch w:val="default"/>
    <w:sig w:usb0="00000000" w:usb1="00000000" w:usb2="0000003F" w:usb3="00000000" w:csb0="003F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spacing w:line="14" w:lineRule="auto"/>
      <w:rPr>
        <w:sz w:val="20"/>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after="0" w:line="262" w:lineRule="auto"/>
      <w:ind w:left="0" w:right="45" w:firstLine="0"/>
      <w:rPr>
        <w:rFonts w:ascii="Times New Roman" w:hAnsi="Times New Roman" w:eastAsia="Times New Roman" w:cs="Times New Roman"/>
        <w:sz w:val="18"/>
      </w:rPr>
    </w:pPr>
    <w:r>
      <w:rPr>
        <w:sz w:val="18"/>
      </w:rPr>
      <mc:AlternateContent>
        <mc:Choice Requires="wpg">
          <w:drawing>
            <wp:anchor distT="0" distB="0" distL="114300" distR="114300" simplePos="0" relativeHeight="251660288" behindDoc="0" locked="0" layoutInCell="1" allowOverlap="1">
              <wp:simplePos x="0" y="0"/>
              <wp:positionH relativeFrom="margin">
                <wp:align>right</wp:align>
              </wp:positionH>
              <wp:positionV relativeFrom="page">
                <wp:posOffset>10005695</wp:posOffset>
              </wp:positionV>
              <wp:extent cx="5772150" cy="6350"/>
              <wp:effectExtent l="0" t="0" r="0" b="12700"/>
              <wp:wrapSquare wrapText="bothSides"/>
              <wp:docPr id="16" name="Group 44876"/>
              <wp:cNvGraphicFramePr/>
              <a:graphic xmlns:a="http://schemas.openxmlformats.org/drawingml/2006/main">
                <a:graphicData uri="http://schemas.microsoft.com/office/word/2010/wordprocessingGroup">
                  <wpg:wgp>
                    <wpg:cNvGrpSpPr/>
                    <wpg:grpSpPr>
                      <a:xfrm>
                        <a:off x="0" y="0"/>
                        <a:ext cx="5772150" cy="6350"/>
                        <a:chOff x="0" y="0"/>
                        <a:chExt cx="5771896" cy="6096"/>
                      </a:xfrm>
                    </wpg:grpSpPr>
                    <wps:wsp>
                      <wps:cNvPr id="17" name="Shape 46679"/>
                      <wps:cNvSpPr/>
                      <wps:spPr>
                        <a:xfrm>
                          <a:off x="0" y="0"/>
                          <a:ext cx="5771896" cy="9144"/>
                        </a:xfrm>
                        <a:custGeom>
                          <a:avLst/>
                          <a:gdLst/>
                          <a:ahLst/>
                          <a:cxnLst/>
                          <a:rect l="0" t="0" r="0" b="0"/>
                          <a:pathLst>
                            <a:path w="5771896" h="9144">
                              <a:moveTo>
                                <a:pt x="0" y="0"/>
                              </a:moveTo>
                              <a:lnTo>
                                <a:pt x="5771896" y="0"/>
                              </a:lnTo>
                              <a:lnTo>
                                <a:pt x="5771896"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w:pict>
            <v:group id="Group 44876" o:spid="_x0000_s1026" o:spt="203" style="position:absolute;left:0pt;margin-top:787.85pt;height:0.5pt;width:454.5pt;mso-position-horizontal:right;mso-position-horizontal-relative:margin;mso-position-vertical-relative:page;mso-wrap-distance-bottom:0pt;mso-wrap-distance-left:9pt;mso-wrap-distance-right:9pt;mso-wrap-distance-top:0pt;z-index:251660288;mso-width-relative:page;mso-height-relative:page;" coordsize="5771896,6096" o:gfxdata="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">
              <o:lock v:ext="edit" aspectratio="f"/>
              <v:shape id="Shape 46679" o:spid="_x0000_s1026" o:spt="100" style="position:absolute;left:0;top:0;height:9144;width:5771896;" fillcolor="#000000" filled="t" stroked="f" coordsize="5771896,9144" o:gfxdata="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h7Xom8AAAA&#10;2wAAAA8AAAAAAAAAAQAgAAAAIgAAAGRycy9kb3ducmV2LnhtbFBLAQIUABQAAAAIAIdO4kAzLwWe&#10;OwAAADkAAAAQAAAAAAAAAAEAIAAAAAsBAABkcnMvc2hhcGV4bWwueG1sUEsFBgAAAAAGAAYAWwEA&#10;ALUDAAAAAA==&#10;" path="m0,0l5771896,0,5771896,9144,0,9144,0,0e">
                <v:fill on="t" focussize="0,0"/>
                <v:stroke on="f" weight="0pt" miterlimit="1" joinstyle="miter"/>
                <v:imagedata o:title=""/>
                <o:lock v:ext="edit" aspectratio="f"/>
              </v:shape>
              <w10:wrap type="square"/>
            </v:group>
          </w:pict>
        </mc:Fallback>
      </mc:AlternateContent>
    </w:r>
    <w:r>
      <w:rPr>
        <w:sz w:val="18"/>
      </w:rPr>
      <w:t>智能化系统</w:t>
    </w:r>
    <w:r>
      <w:rPr>
        <w:rFonts w:ascii="Times New Roman" w:hAnsi="Times New Roman" w:eastAsia="Times New Roman" w:cs="Times New Roman"/>
        <w:sz w:val="18"/>
      </w:rPr>
      <w:t xml:space="preserve"> </w:t>
    </w:r>
    <w:r>
      <w:rPr>
        <w:rFonts w:ascii="Times New Roman" w:hAnsi="Times New Roman" w:eastAsia="Times New Roman" w:cs="Times New Roman"/>
        <w:sz w:val="18"/>
      </w:rPr>
      <w:tab/>
    </w:r>
    <w:r>
      <w:rPr>
        <w:rFonts w:ascii="Times New Roman" w:hAnsi="Times New Roman" w:eastAsia="Times New Roman" w:cs="Times New Roman"/>
        <w:sz w:val="18"/>
      </w:rPr>
      <w:tab/>
    </w:r>
    <w:r>
      <w:rPr>
        <w:rFonts w:ascii="Times New Roman" w:hAnsi="Times New Roman" w:eastAsia="Times New Roman" w:cs="Times New Roman"/>
        <w:sz w:val="18"/>
      </w:rPr>
      <w:t xml:space="preserve">                              </w:t>
    </w:r>
    <w:r>
      <w:rPr>
        <w:sz w:val="18"/>
      </w:rPr>
      <w:t xml:space="preserve">  </w:t>
    </w:r>
    <w:r>
      <w:rPr>
        <w:rFonts w:ascii="Times New Roman" w:hAnsi="Times New Roman" w:eastAsia="Times New Roman" w:cs="Times New Roman"/>
        <w:sz w:val="18"/>
      </w:rPr>
      <w:t xml:space="preserve"> </w:t>
    </w:r>
    <w:r>
      <w:rPr>
        <w:rFonts w:ascii="Times New Roman" w:hAnsi="Times New Roman" w:eastAsia="Times New Roman" w:cs="Times New Roman"/>
        <w:sz w:val="18"/>
      </w:rPr>
      <w:tab/>
    </w:r>
    <w:r>
      <w:rPr>
        <w:rFonts w:ascii="Times New Roman" w:hAnsi="Times New Roman" w:eastAsia="Times New Roman" w:cs="Times New Roman"/>
        <w:sz w:val="18"/>
      </w:rPr>
      <w:t xml:space="preserve">                              </w:t>
    </w:r>
    <w:r>
      <w:rPr>
        <w:sz w:val="18"/>
      </w:rPr>
      <w:t xml:space="preserve">           </w:t>
    </w:r>
    <w:r>
      <w:rPr>
        <w:rFonts w:ascii="Times New Roman" w:hAnsi="Times New Roman" w:eastAsia="Times New Roman" w:cs="Times New Roman"/>
        <w:sz w:val="18"/>
      </w:rPr>
      <w:t xml:space="preserve"> </w:t>
    </w:r>
    <w:r>
      <w:rPr>
        <w:rFonts w:ascii="Times New Roman" w:hAnsi="Times New Roman" w:eastAsia="Times New Roman" w:cs="Times New Roman"/>
        <w:sz w:val="18"/>
      </w:rPr>
      <w:tab/>
    </w:r>
    <w:r>
      <w:rPr>
        <w:rFonts w:ascii="Times New Roman" w:hAnsi="Times New Roman" w:eastAsia="Times New Roman" w:cs="Times New Roman"/>
        <w:sz w:val="18"/>
      </w:rPr>
      <w:t xml:space="preserve">                              </w:t>
    </w:r>
    <w:r>
      <w:rPr>
        <w:sz w:val="18"/>
      </w:rPr>
      <w:t xml:space="preserve">           第</w:t>
    </w:r>
    <w:r>
      <w:rPr>
        <w:rFonts w:hint="eastAsia"/>
        <w:sz w:val="18"/>
      </w:rPr>
      <w:t xml:space="preserve"> </w:t>
    </w:r>
    <w:r>
      <w:rPr>
        <w:sz w:val="18"/>
      </w:rPr>
      <w:fldChar w:fldCharType="begin"/>
    </w:r>
    <w:r>
      <w:rPr>
        <w:sz w:val="18"/>
      </w:rPr>
      <w:instrText xml:space="preserve"> PAGE   \* MERGEFORMAT </w:instrText>
    </w:r>
    <w:r>
      <w:rPr>
        <w:sz w:val="18"/>
      </w:rPr>
      <w:fldChar w:fldCharType="separate"/>
    </w:r>
    <w:r>
      <w:rPr>
        <w:sz w:val="18"/>
      </w:rPr>
      <w:t>4</w:t>
    </w:r>
    <w:r>
      <w:rPr>
        <w:sz w:val="18"/>
      </w:rPr>
      <w:fldChar w:fldCharType="end"/>
    </w:r>
    <w:r>
      <w:rPr>
        <w:sz w:val="18"/>
      </w:rPr>
      <w:t xml:space="preserve"> 页</w:t>
    </w:r>
  </w:p>
  <w:p>
    <w:pPr>
      <w:spacing w:after="0" w:line="262" w:lineRule="auto"/>
      <w:ind w:left="0" w:right="914" w:firstLine="0"/>
    </w:pPr>
    <w:r>
      <w:rPr>
        <w:sz w:val="18"/>
      </w:rPr>
      <w:t>技术规格说明书</w:t>
    </w:r>
    <w:r>
      <w:rPr>
        <w:rFonts w:ascii="Times New Roman" w:hAnsi="Times New Roman" w:eastAsia="Times New Roman" w:cs="Times New Roman"/>
        <w:sz w:val="18"/>
      </w:rPr>
      <w:t>(</w:t>
    </w:r>
    <w:r>
      <w:rPr>
        <w:sz w:val="18"/>
      </w:rPr>
      <w:t>第</w:t>
    </w:r>
    <w:r>
      <w:rPr>
        <w:rFonts w:hint="eastAsia"/>
        <w:sz w:val="18"/>
      </w:rPr>
      <w:t>四</w:t>
    </w:r>
    <w:r>
      <w:rPr>
        <w:sz w:val="18"/>
      </w:rPr>
      <w:t>部分</w:t>
    </w:r>
    <w:r>
      <w:rPr>
        <w:rFonts w:ascii="Times New Roman" w:hAnsi="Times New Roman" w:eastAsia="Times New Roman" w:cs="Times New Roman"/>
        <w:sz w:val="18"/>
      </w:rPr>
      <w:t xml:space="preserve">)  </w:t>
    </w:r>
  </w:p>
  <w:p>
    <w:pPr>
      <w:pStyle w:val="11"/>
      <w:spacing w:line="14" w:lineRule="auto"/>
      <w:rPr>
        <w:sz w:val="20"/>
        <w:lang w:eastAsia="zh-CN"/>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after="0" w:line="262" w:lineRule="auto"/>
      <w:ind w:left="0" w:right="45" w:firstLine="0"/>
      <w:rPr>
        <w:rFonts w:ascii="Times New Roman" w:hAnsi="Times New Roman" w:eastAsia="Times New Roman" w:cs="Times New Roman"/>
        <w:sz w:val="18"/>
      </w:rPr>
    </w:pPr>
    <w:r>
      <w:rPr>
        <w:sz w:val="18"/>
      </w:rPr>
      <mc:AlternateContent>
        <mc:Choice Requires="wpg">
          <w:drawing>
            <wp:anchor distT="0" distB="0" distL="114300" distR="114300" simplePos="0" relativeHeight="251659264" behindDoc="0" locked="0" layoutInCell="1" allowOverlap="1">
              <wp:simplePos x="0" y="0"/>
              <wp:positionH relativeFrom="margin">
                <wp:posOffset>50800</wp:posOffset>
              </wp:positionH>
              <wp:positionV relativeFrom="page">
                <wp:posOffset>9806940</wp:posOffset>
              </wp:positionV>
              <wp:extent cx="5772150" cy="8890"/>
              <wp:effectExtent l="0" t="0" r="0" b="0"/>
              <wp:wrapSquare wrapText="bothSides"/>
              <wp:docPr id="14" name="Group 44876"/>
              <wp:cNvGraphicFramePr/>
              <a:graphic xmlns:a="http://schemas.openxmlformats.org/drawingml/2006/main">
                <a:graphicData uri="http://schemas.microsoft.com/office/word/2010/wordprocessingGroup">
                  <wpg:wgp>
                    <wpg:cNvGrpSpPr/>
                    <wpg:grpSpPr>
                      <a:xfrm>
                        <a:off x="0" y="0"/>
                        <a:ext cx="5771896" cy="9144"/>
                        <a:chOff x="0" y="180754"/>
                        <a:chExt cx="5771896" cy="9144"/>
                      </a:xfrm>
                    </wpg:grpSpPr>
                    <wps:wsp>
                      <wps:cNvPr id="15" name="Shape 46679"/>
                      <wps:cNvSpPr/>
                      <wps:spPr>
                        <a:xfrm>
                          <a:off x="0" y="180754"/>
                          <a:ext cx="5771896" cy="9144"/>
                        </a:xfrm>
                        <a:custGeom>
                          <a:avLst/>
                          <a:gdLst/>
                          <a:ahLst/>
                          <a:cxnLst/>
                          <a:rect l="0" t="0" r="0" b="0"/>
                          <a:pathLst>
                            <a:path w="5771896" h="9144">
                              <a:moveTo>
                                <a:pt x="0" y="0"/>
                              </a:moveTo>
                              <a:lnTo>
                                <a:pt x="5771896" y="0"/>
                              </a:lnTo>
                              <a:lnTo>
                                <a:pt x="5771896"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w:pict>
            <v:group id="Group 44876" o:spid="_x0000_s1026" o:spt="203" style="position:absolute;left:0pt;margin-left:4pt;margin-top:772.2pt;height:0.7pt;width:454.5pt;mso-position-horizontal-relative:margin;mso-position-vertical-relative:page;mso-wrap-distance-bottom:0pt;mso-wrap-distance-left:9pt;mso-wrap-distance-right:9pt;mso-wrap-distance-top:0pt;z-index:251659264;mso-width-relative:page;mso-height-relative:page;" coordorigin="0,180754" coordsize="5771896,9144" o:gfxdata="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">
              <o:lock v:ext="edit" aspectratio="f"/>
              <v:shape id="Shape 46679" o:spid="_x0000_s1026" o:spt="100" style="position:absolute;left:0;top:180754;height:9144;width:5771896;" fillcolor="#000000" filled="t" stroked="f" coordsize="5771896,9144" o:gfxdata="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flZWW8AAAA&#10;2wAAAA8AAAAAAAAAAQAgAAAAIgAAAGRycy9kb3ducmV2LnhtbFBLAQIUABQAAAAIAIdO4kAzLwWe&#10;OwAAADkAAAAQAAAAAAAAAAEAIAAAAAsBAABkcnMvc2hhcGV4bWwueG1sUEsFBgAAAAAGAAYAWwEA&#10;ALUDAAAAAA==&#10;" path="m0,0l5771896,0,5771896,9144,0,9144,0,0e">
                <v:fill on="t" focussize="0,0"/>
                <v:stroke on="f" weight="0pt" miterlimit="1" joinstyle="miter"/>
                <v:imagedata o:title=""/>
                <o:lock v:ext="edit" aspectratio="f"/>
              </v:shape>
              <w10:wrap type="square"/>
            </v:group>
          </w:pict>
        </mc:Fallback>
      </mc:AlternateContent>
    </w:r>
    <w:r>
      <w:rPr>
        <w:sz w:val="18"/>
      </w:rPr>
      <w:t>智能化系统</w:t>
    </w:r>
    <w:r>
      <w:rPr>
        <w:rFonts w:ascii="Times New Roman" w:hAnsi="Times New Roman" w:eastAsia="Times New Roman" w:cs="Times New Roman"/>
        <w:sz w:val="18"/>
      </w:rPr>
      <w:t xml:space="preserve"> </w:t>
    </w:r>
    <w:r>
      <w:rPr>
        <w:rFonts w:ascii="Times New Roman" w:hAnsi="Times New Roman" w:eastAsia="Times New Roman" w:cs="Times New Roman"/>
        <w:sz w:val="18"/>
      </w:rPr>
      <w:tab/>
    </w:r>
    <w:r>
      <w:rPr>
        <w:rFonts w:ascii="Times New Roman" w:hAnsi="Times New Roman" w:eastAsia="Times New Roman" w:cs="Times New Roman"/>
        <w:sz w:val="18"/>
      </w:rPr>
      <w:tab/>
    </w:r>
    <w:r>
      <w:rPr>
        <w:rFonts w:ascii="Times New Roman" w:hAnsi="Times New Roman" w:eastAsia="Times New Roman" w:cs="Times New Roman"/>
        <w:sz w:val="18"/>
      </w:rPr>
      <w:t xml:space="preserve">                              </w:t>
    </w:r>
    <w:r>
      <w:rPr>
        <w:sz w:val="18"/>
      </w:rPr>
      <w:t xml:space="preserve">  </w:t>
    </w:r>
    <w:r>
      <w:rPr>
        <w:rFonts w:ascii="Times New Roman" w:hAnsi="Times New Roman" w:eastAsia="Times New Roman" w:cs="Times New Roman"/>
        <w:sz w:val="18"/>
      </w:rPr>
      <w:t xml:space="preserve"> </w:t>
    </w:r>
    <w:r>
      <w:rPr>
        <w:rFonts w:ascii="Times New Roman" w:hAnsi="Times New Roman" w:eastAsia="Times New Roman" w:cs="Times New Roman"/>
        <w:sz w:val="18"/>
      </w:rPr>
      <w:tab/>
    </w:r>
    <w:r>
      <w:rPr>
        <w:rFonts w:ascii="Times New Roman" w:hAnsi="Times New Roman" w:eastAsia="Times New Roman" w:cs="Times New Roman"/>
        <w:sz w:val="18"/>
      </w:rPr>
      <w:t xml:space="preserve">                              </w:t>
    </w:r>
    <w:r>
      <w:rPr>
        <w:sz w:val="18"/>
      </w:rPr>
      <w:t xml:space="preserve">           </w:t>
    </w:r>
    <w:r>
      <w:rPr>
        <w:rFonts w:ascii="Times New Roman" w:hAnsi="Times New Roman" w:eastAsia="Times New Roman" w:cs="Times New Roman"/>
        <w:sz w:val="18"/>
      </w:rPr>
      <w:t xml:space="preserve"> </w:t>
    </w:r>
    <w:r>
      <w:rPr>
        <w:rFonts w:ascii="Times New Roman" w:hAnsi="Times New Roman" w:eastAsia="Times New Roman" w:cs="Times New Roman"/>
        <w:sz w:val="18"/>
      </w:rPr>
      <w:tab/>
    </w:r>
    <w:r>
      <w:rPr>
        <w:rFonts w:ascii="Times New Roman" w:hAnsi="Times New Roman" w:eastAsia="Times New Roman" w:cs="Times New Roman"/>
        <w:sz w:val="18"/>
      </w:rPr>
      <w:t xml:space="preserve">                              </w:t>
    </w:r>
    <w:r>
      <w:rPr>
        <w:sz w:val="18"/>
      </w:rPr>
      <w:t xml:space="preserve"> 第</w:t>
    </w:r>
    <w:r>
      <w:rPr>
        <w:rFonts w:hint="eastAsia"/>
        <w:sz w:val="18"/>
      </w:rPr>
      <w:t xml:space="preserve"> </w:t>
    </w:r>
    <w:r>
      <w:rPr>
        <w:sz w:val="18"/>
      </w:rPr>
      <w:fldChar w:fldCharType="begin"/>
    </w:r>
    <w:r>
      <w:rPr>
        <w:sz w:val="18"/>
      </w:rPr>
      <w:instrText xml:space="preserve"> PAGE   \* MERGEFORMAT </w:instrText>
    </w:r>
    <w:r>
      <w:rPr>
        <w:sz w:val="18"/>
      </w:rPr>
      <w:fldChar w:fldCharType="separate"/>
    </w:r>
    <w:r>
      <w:rPr>
        <w:sz w:val="18"/>
      </w:rPr>
      <w:t>51</w:t>
    </w:r>
    <w:r>
      <w:rPr>
        <w:sz w:val="18"/>
      </w:rPr>
      <w:fldChar w:fldCharType="end"/>
    </w:r>
    <w:r>
      <w:rPr>
        <w:sz w:val="18"/>
      </w:rPr>
      <w:t xml:space="preserve"> 页</w:t>
    </w:r>
  </w:p>
  <w:p>
    <w:pPr>
      <w:spacing w:after="0" w:line="262" w:lineRule="auto"/>
      <w:ind w:left="0" w:right="914" w:firstLine="0"/>
    </w:pPr>
    <w:r>
      <w:rPr>
        <w:sz w:val="18"/>
      </w:rPr>
      <w:t>技术规格说明书</w:t>
    </w:r>
    <w:r>
      <w:rPr>
        <w:rFonts w:ascii="Times New Roman" w:hAnsi="Times New Roman" w:eastAsia="Times New Roman" w:cs="Times New Roman"/>
        <w:sz w:val="18"/>
      </w:rPr>
      <w:t>(</w:t>
    </w:r>
    <w:r>
      <w:rPr>
        <w:sz w:val="18"/>
      </w:rPr>
      <w:t>第</w:t>
    </w:r>
    <w:r>
      <w:rPr>
        <w:rFonts w:hint="eastAsia"/>
        <w:sz w:val="18"/>
      </w:rPr>
      <w:t>四</w:t>
    </w:r>
    <w:r>
      <w:rPr>
        <w:sz w:val="18"/>
      </w:rPr>
      <w:t>部分</w:t>
    </w:r>
    <w:r>
      <w:rPr>
        <w:rFonts w:ascii="Times New Roman" w:hAnsi="Times New Roman" w:eastAsia="Times New Roman" w:cs="Times New Roman"/>
        <w:sz w:val="18"/>
      </w:rPr>
      <w:t xml:space="preserve">)  </w:t>
    </w:r>
  </w:p>
  <w:p>
    <w:pPr>
      <w:pStyle w:val="11"/>
      <w:spacing w:line="14" w:lineRule="auto"/>
      <w:rPr>
        <w:sz w:val="20"/>
        <w:lang w:eastAsia="zh-CN"/>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58" w:lineRule="auto"/>
      </w:pPr>
      <w:r>
        <w:separator/>
      </w:r>
    </w:p>
  </w:footnote>
  <w:footnote w:type="continuationSeparator" w:id="1">
    <w:p>
      <w:pPr>
        <w:spacing w:before="0" w:after="0" w:line="258"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after="45" w:line="262" w:lineRule="auto"/>
      <w:ind w:left="0" w:right="0" w:firstLine="0"/>
      <w:rPr>
        <w:rFonts w:ascii="微软雅黑" w:hAnsi="微软雅黑" w:eastAsia="微软雅黑" w:cs="微软雅黑"/>
        <w:sz w:val="18"/>
      </w:rPr>
    </w:pPr>
    <w:r>
      <w:rPr>
        <w:rFonts w:hint="eastAsia"/>
        <w:sz w:val="18"/>
      </w:rPr>
      <w:t>深圳市建筑设计研究总院有限公司</w:t>
    </w:r>
    <w:r>
      <w:rPr>
        <w:sz w:val="18"/>
      </w:rPr>
      <w:t xml:space="preserve"> </w:t>
    </w:r>
    <w:r>
      <w:rPr>
        <w:rFonts w:ascii="微软雅黑" w:hAnsi="微软雅黑" w:eastAsia="微软雅黑" w:cs="微软雅黑"/>
        <w:sz w:val="18"/>
      </w:rPr>
      <w:tab/>
    </w:r>
    <w:r>
      <w:rPr>
        <w:rFonts w:ascii="微软雅黑" w:hAnsi="微软雅黑" w:eastAsia="微软雅黑" w:cs="微软雅黑"/>
        <w:sz w:val="18"/>
      </w:rPr>
      <w:t xml:space="preserve"> </w:t>
    </w:r>
  </w:p>
  <w:p>
    <w:pPr>
      <w:pStyle w:val="15"/>
      <w:pBdr>
        <w:bottom w:val="none" w:color="auto" w:sz="0" w:space="0"/>
      </w:pBdr>
      <w:ind w:left="0" w:firstLine="0"/>
      <w:jc w:val="both"/>
    </w:pPr>
    <w:r>
      <w:rPr>
        <w:rFonts w:hint="eastAsia"/>
      </w:rPr>
      <w:t>中山大学附属第一医院数据中心及配套建设工程</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after="45" w:line="262" w:lineRule="auto"/>
      <w:ind w:left="272" w:right="0" w:firstLine="0"/>
      <w:rPr>
        <w:rFonts w:ascii="微软雅黑" w:hAnsi="微软雅黑" w:eastAsia="微软雅黑" w:cs="微软雅黑"/>
        <w:sz w:val="18"/>
      </w:rPr>
    </w:pPr>
    <w:r>
      <w:rPr>
        <w:rFonts w:hint="eastAsia"/>
        <w:sz w:val="18"/>
      </w:rPr>
      <w:t>深圳市建筑设计研究总院有限公司</w:t>
    </w:r>
    <w:r>
      <w:rPr>
        <w:sz w:val="18"/>
      </w:rPr>
      <w:t xml:space="preserve"> </w:t>
    </w:r>
    <w:r>
      <w:rPr>
        <w:rFonts w:ascii="微软雅黑" w:hAnsi="微软雅黑" w:eastAsia="微软雅黑" w:cs="微软雅黑"/>
        <w:sz w:val="18"/>
      </w:rPr>
      <w:tab/>
    </w:r>
    <w:r>
      <w:rPr>
        <w:rFonts w:ascii="微软雅黑" w:hAnsi="微软雅黑" w:eastAsia="微软雅黑" w:cs="微软雅黑"/>
        <w:sz w:val="18"/>
      </w:rPr>
      <w:t xml:space="preserve"> </w:t>
    </w:r>
  </w:p>
  <w:p>
    <w:pPr>
      <w:spacing w:after="45" w:line="262" w:lineRule="auto"/>
      <w:ind w:left="272" w:right="0" w:firstLine="0"/>
    </w:pPr>
    <w:r>
      <w:rPr>
        <w:sz w:val="18"/>
      </w:rPr>
      <mc:AlternateContent>
        <mc:Choice Requires="wpg">
          <w:drawing>
            <wp:anchor distT="0" distB="0" distL="114300" distR="114300" simplePos="0" relativeHeight="251661312" behindDoc="0" locked="0" layoutInCell="1" allowOverlap="1">
              <wp:simplePos x="0" y="0"/>
              <wp:positionH relativeFrom="page">
                <wp:posOffset>989965</wp:posOffset>
              </wp:positionH>
              <wp:positionV relativeFrom="page">
                <wp:posOffset>861060</wp:posOffset>
              </wp:positionV>
              <wp:extent cx="5772150" cy="6350"/>
              <wp:effectExtent l="0" t="0" r="0" b="0"/>
              <wp:wrapSquare wrapText="bothSides"/>
              <wp:docPr id="54" name="Group 44876"/>
              <wp:cNvGraphicFramePr/>
              <a:graphic xmlns:a="http://schemas.openxmlformats.org/drawingml/2006/main">
                <a:graphicData uri="http://schemas.microsoft.com/office/word/2010/wordprocessingGroup">
                  <wpg:wgp>
                    <wpg:cNvGrpSpPr/>
                    <wpg:grpSpPr>
                      <a:xfrm>
                        <a:off x="0" y="0"/>
                        <a:ext cx="5771896" cy="6096"/>
                        <a:chOff x="0" y="0"/>
                        <a:chExt cx="5771896" cy="6096"/>
                      </a:xfrm>
                    </wpg:grpSpPr>
                    <wps:wsp>
                      <wps:cNvPr id="55" name="Shape 46679"/>
                      <wps:cNvSpPr/>
                      <wps:spPr>
                        <a:xfrm>
                          <a:off x="0" y="0"/>
                          <a:ext cx="5771896" cy="9144"/>
                        </a:xfrm>
                        <a:custGeom>
                          <a:avLst/>
                          <a:gdLst/>
                          <a:ahLst/>
                          <a:cxnLst/>
                          <a:rect l="0" t="0" r="0" b="0"/>
                          <a:pathLst>
                            <a:path w="5771896" h="9144">
                              <a:moveTo>
                                <a:pt x="0" y="0"/>
                              </a:moveTo>
                              <a:lnTo>
                                <a:pt x="5771896" y="0"/>
                              </a:lnTo>
                              <a:lnTo>
                                <a:pt x="5771896"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w:pict>
            <v:group id="Group 44876" o:spid="_x0000_s1026" o:spt="203" style="position:absolute;left:0pt;margin-left:77.95pt;margin-top:67.8pt;height:0.5pt;width:454.5pt;mso-position-horizontal-relative:page;mso-position-vertical-relative:page;mso-wrap-distance-bottom:0pt;mso-wrap-distance-left:9pt;mso-wrap-distance-right:9pt;mso-wrap-distance-top:0pt;z-index:251661312;mso-width-relative:page;mso-height-relative:page;" coordsize="5771896,6096" o:gfxdata="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">
              <o:lock v:ext="edit" aspectratio="f"/>
              <v:shape id="Shape 46679" o:spid="_x0000_s1026" o:spt="100" style="position:absolute;left:0;top:0;height:9144;width:5771896;" fillcolor="#000000" filled="t" stroked="f" coordsize="5771896,9144" o:gfxdata="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GP3KW/&#10;AAAA2wAAAA8AAAAAAAAAAQAgAAAAIgAAAGRycy9kb3ducmV2LnhtbFBLAQIUABQAAAAIAIdO4kAz&#10;LwWeOwAAADkAAAAQAAAAAAAAAAEAIAAAAA4BAABkcnMvc2hhcGV4bWwueG1sUEsFBgAAAAAGAAYA&#10;WwEAALgDAAAAAA==&#10;" path="m0,0l5771896,0,5771896,9144,0,9144,0,0e">
                <v:fill on="t" focussize="0,0"/>
                <v:stroke on="f" weight="0pt" miterlimit="1" joinstyle="miter"/>
                <v:imagedata o:title=""/>
                <o:lock v:ext="edit" aspectratio="f"/>
              </v:shape>
              <w10:wrap type="square"/>
            </v:group>
          </w:pict>
        </mc:Fallback>
      </mc:AlternateContent>
    </w:r>
    <w:r>
      <w:rPr>
        <w:rFonts w:hint="eastAsia"/>
        <w:sz w:val="18"/>
      </w:rPr>
      <w:t>中山大学附属第一医院数据中心及配套建设工程</w:t>
    </w:r>
  </w:p>
  <w:p>
    <w:pPr>
      <w:spacing w:after="45" w:line="262" w:lineRule="auto"/>
      <w:ind w:left="272" w:right="0" w:firstLine="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8AE1AF3"/>
    <w:multiLevelType w:val="singleLevel"/>
    <w:tmpl w:val="88AE1AF3"/>
    <w:lvl w:ilvl="0" w:tentative="0">
      <w:start w:val="1"/>
      <w:numFmt w:val="decimal"/>
      <w:lvlText w:val="(%1)"/>
      <w:lvlJc w:val="left"/>
      <w:pPr>
        <w:ind w:left="425" w:hanging="425"/>
      </w:pPr>
      <w:rPr>
        <w:rFonts w:hint="default"/>
      </w:rPr>
    </w:lvl>
  </w:abstractNum>
  <w:abstractNum w:abstractNumId="1">
    <w:nsid w:val="9170D9AD"/>
    <w:multiLevelType w:val="multilevel"/>
    <w:tmpl w:val="9170D9AD"/>
    <w:lvl w:ilvl="0" w:tentative="0">
      <w:start w:val="1"/>
      <w:numFmt w:val="decimal"/>
      <w:lvlText w:val="%1."/>
      <w:lvlJc w:val="left"/>
      <w:pPr>
        <w:ind w:left="2145"/>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1" w:tentative="0">
      <w:start w:val="1"/>
      <w:numFmt w:val="lowerLetter"/>
      <w:lvlText w:val="%2"/>
      <w:lvlJc w:val="left"/>
      <w:pPr>
        <w:ind w:left="252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2" w:tentative="0">
      <w:start w:val="1"/>
      <w:numFmt w:val="lowerRoman"/>
      <w:lvlText w:val="%3"/>
      <w:lvlJc w:val="left"/>
      <w:pPr>
        <w:ind w:left="324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3" w:tentative="0">
      <w:start w:val="1"/>
      <w:numFmt w:val="decimal"/>
      <w:lvlText w:val="%4"/>
      <w:lvlJc w:val="left"/>
      <w:pPr>
        <w:ind w:left="396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4" w:tentative="0">
      <w:start w:val="1"/>
      <w:numFmt w:val="lowerLetter"/>
      <w:lvlText w:val="%5"/>
      <w:lvlJc w:val="left"/>
      <w:pPr>
        <w:ind w:left="468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5" w:tentative="0">
      <w:start w:val="1"/>
      <w:numFmt w:val="lowerRoman"/>
      <w:lvlText w:val="%6"/>
      <w:lvlJc w:val="left"/>
      <w:pPr>
        <w:ind w:left="540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6" w:tentative="0">
      <w:start w:val="1"/>
      <w:numFmt w:val="decimal"/>
      <w:lvlText w:val="%7"/>
      <w:lvlJc w:val="left"/>
      <w:pPr>
        <w:ind w:left="612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7" w:tentative="0">
      <w:start w:val="1"/>
      <w:numFmt w:val="lowerLetter"/>
      <w:lvlText w:val="%8"/>
      <w:lvlJc w:val="left"/>
      <w:pPr>
        <w:ind w:left="684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8" w:tentative="0">
      <w:start w:val="1"/>
      <w:numFmt w:val="lowerRoman"/>
      <w:lvlText w:val="%9"/>
      <w:lvlJc w:val="left"/>
      <w:pPr>
        <w:ind w:left="756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abstractNum>
  <w:abstractNum w:abstractNumId="2">
    <w:nsid w:val="98EA3CD4"/>
    <w:multiLevelType w:val="singleLevel"/>
    <w:tmpl w:val="98EA3CD4"/>
    <w:lvl w:ilvl="0" w:tentative="0">
      <w:start w:val="1"/>
      <w:numFmt w:val="decimal"/>
      <w:lvlText w:val="%1."/>
      <w:lvlJc w:val="left"/>
      <w:pPr>
        <w:ind w:left="425" w:hanging="425"/>
      </w:pPr>
      <w:rPr>
        <w:rFonts w:hint="default"/>
      </w:rPr>
    </w:lvl>
  </w:abstractNum>
  <w:abstractNum w:abstractNumId="3">
    <w:nsid w:val="A06CB2E5"/>
    <w:multiLevelType w:val="singleLevel"/>
    <w:tmpl w:val="A06CB2E5"/>
    <w:lvl w:ilvl="0" w:tentative="0">
      <w:start w:val="1"/>
      <w:numFmt w:val="decimal"/>
      <w:lvlText w:val="%1."/>
      <w:lvlJc w:val="left"/>
      <w:pPr>
        <w:tabs>
          <w:tab w:val="left" w:pos="312"/>
        </w:tabs>
      </w:pPr>
    </w:lvl>
  </w:abstractNum>
  <w:abstractNum w:abstractNumId="4">
    <w:nsid w:val="B4009AC9"/>
    <w:multiLevelType w:val="singleLevel"/>
    <w:tmpl w:val="B4009AC9"/>
    <w:lvl w:ilvl="0" w:tentative="0">
      <w:start w:val="1"/>
      <w:numFmt w:val="decimal"/>
      <w:lvlText w:val="(%1)"/>
      <w:lvlJc w:val="left"/>
      <w:pPr>
        <w:ind w:left="425" w:hanging="425"/>
      </w:pPr>
      <w:rPr>
        <w:rFonts w:hint="default"/>
      </w:rPr>
    </w:lvl>
  </w:abstractNum>
  <w:abstractNum w:abstractNumId="5">
    <w:nsid w:val="B7353807"/>
    <w:multiLevelType w:val="singleLevel"/>
    <w:tmpl w:val="B7353807"/>
    <w:lvl w:ilvl="0" w:tentative="0">
      <w:start w:val="1"/>
      <w:numFmt w:val="decimal"/>
      <w:lvlText w:val="%1."/>
      <w:lvlJc w:val="left"/>
      <w:pPr>
        <w:ind w:left="425" w:hanging="425"/>
      </w:pPr>
      <w:rPr>
        <w:rFonts w:hint="default"/>
      </w:rPr>
    </w:lvl>
  </w:abstractNum>
  <w:abstractNum w:abstractNumId="6">
    <w:nsid w:val="C8CF1829"/>
    <w:multiLevelType w:val="singleLevel"/>
    <w:tmpl w:val="C8CF1829"/>
    <w:lvl w:ilvl="0" w:tentative="0">
      <w:start w:val="1"/>
      <w:numFmt w:val="decimal"/>
      <w:lvlText w:val="%1."/>
      <w:lvlJc w:val="left"/>
      <w:pPr>
        <w:ind w:left="425" w:hanging="425"/>
      </w:pPr>
      <w:rPr>
        <w:rFonts w:hint="default"/>
      </w:rPr>
    </w:lvl>
  </w:abstractNum>
  <w:abstractNum w:abstractNumId="7">
    <w:nsid w:val="CC831674"/>
    <w:multiLevelType w:val="singleLevel"/>
    <w:tmpl w:val="CC831674"/>
    <w:lvl w:ilvl="0" w:tentative="0">
      <w:start w:val="1"/>
      <w:numFmt w:val="decimal"/>
      <w:suff w:val="nothing"/>
      <w:lvlText w:val="%1．"/>
      <w:lvlJc w:val="left"/>
      <w:pPr>
        <w:ind w:left="0" w:firstLine="400"/>
      </w:pPr>
      <w:rPr>
        <w:rFonts w:hint="default"/>
      </w:rPr>
    </w:lvl>
  </w:abstractNum>
  <w:abstractNum w:abstractNumId="8">
    <w:nsid w:val="CED49B05"/>
    <w:multiLevelType w:val="singleLevel"/>
    <w:tmpl w:val="CED49B05"/>
    <w:lvl w:ilvl="0" w:tentative="0">
      <w:start w:val="1"/>
      <w:numFmt w:val="decimal"/>
      <w:lvlText w:val="%1)"/>
      <w:lvlJc w:val="left"/>
      <w:pPr>
        <w:ind w:left="425" w:hanging="425"/>
      </w:pPr>
      <w:rPr>
        <w:rFonts w:hint="default"/>
      </w:rPr>
    </w:lvl>
  </w:abstractNum>
  <w:abstractNum w:abstractNumId="9">
    <w:nsid w:val="DAC1306C"/>
    <w:multiLevelType w:val="singleLevel"/>
    <w:tmpl w:val="DAC1306C"/>
    <w:lvl w:ilvl="0" w:tentative="0">
      <w:start w:val="1"/>
      <w:numFmt w:val="decimal"/>
      <w:lvlText w:val="%1."/>
      <w:lvlJc w:val="left"/>
      <w:pPr>
        <w:ind w:left="425" w:hanging="425"/>
      </w:pPr>
      <w:rPr>
        <w:rFonts w:hint="default"/>
      </w:rPr>
    </w:lvl>
  </w:abstractNum>
  <w:abstractNum w:abstractNumId="10">
    <w:nsid w:val="EB6E1452"/>
    <w:multiLevelType w:val="multilevel"/>
    <w:tmpl w:val="EB6E1452"/>
    <w:lvl w:ilvl="0" w:tentative="0">
      <w:start w:val="1"/>
      <w:numFmt w:val="decimal"/>
      <w:lvlText w:val="%1."/>
      <w:lvlJc w:val="left"/>
      <w:pPr>
        <w:ind w:left="1177" w:hanging="420"/>
      </w:pPr>
    </w:lvl>
    <w:lvl w:ilvl="1" w:tentative="0">
      <w:start w:val="1"/>
      <w:numFmt w:val="lowerLetter"/>
      <w:lvlText w:val="%2)"/>
      <w:lvlJc w:val="left"/>
      <w:pPr>
        <w:ind w:left="1597" w:hanging="420"/>
      </w:pPr>
    </w:lvl>
    <w:lvl w:ilvl="2" w:tentative="0">
      <w:start w:val="1"/>
      <w:numFmt w:val="lowerRoman"/>
      <w:lvlText w:val="%3."/>
      <w:lvlJc w:val="right"/>
      <w:pPr>
        <w:ind w:left="2017" w:hanging="420"/>
      </w:pPr>
    </w:lvl>
    <w:lvl w:ilvl="3" w:tentative="0">
      <w:start w:val="1"/>
      <w:numFmt w:val="decimal"/>
      <w:lvlText w:val="%4."/>
      <w:lvlJc w:val="left"/>
      <w:pPr>
        <w:ind w:left="2437" w:hanging="420"/>
      </w:pPr>
    </w:lvl>
    <w:lvl w:ilvl="4" w:tentative="0">
      <w:start w:val="1"/>
      <w:numFmt w:val="lowerLetter"/>
      <w:lvlText w:val="%5)"/>
      <w:lvlJc w:val="left"/>
      <w:pPr>
        <w:ind w:left="2857" w:hanging="420"/>
      </w:pPr>
    </w:lvl>
    <w:lvl w:ilvl="5" w:tentative="0">
      <w:start w:val="1"/>
      <w:numFmt w:val="lowerRoman"/>
      <w:lvlText w:val="%6."/>
      <w:lvlJc w:val="right"/>
      <w:pPr>
        <w:ind w:left="3277" w:hanging="420"/>
      </w:pPr>
    </w:lvl>
    <w:lvl w:ilvl="6" w:tentative="0">
      <w:start w:val="1"/>
      <w:numFmt w:val="decimal"/>
      <w:lvlText w:val="%7."/>
      <w:lvlJc w:val="left"/>
      <w:pPr>
        <w:ind w:left="3697" w:hanging="420"/>
      </w:pPr>
    </w:lvl>
    <w:lvl w:ilvl="7" w:tentative="0">
      <w:start w:val="1"/>
      <w:numFmt w:val="lowerLetter"/>
      <w:lvlText w:val="%8)"/>
      <w:lvlJc w:val="left"/>
      <w:pPr>
        <w:ind w:left="4117" w:hanging="420"/>
      </w:pPr>
    </w:lvl>
    <w:lvl w:ilvl="8" w:tentative="0">
      <w:start w:val="1"/>
      <w:numFmt w:val="lowerRoman"/>
      <w:lvlText w:val="%9."/>
      <w:lvlJc w:val="right"/>
      <w:pPr>
        <w:ind w:left="4537" w:hanging="420"/>
      </w:pPr>
    </w:lvl>
  </w:abstractNum>
  <w:abstractNum w:abstractNumId="11">
    <w:nsid w:val="ECFE5EAD"/>
    <w:multiLevelType w:val="multilevel"/>
    <w:tmpl w:val="ECFE5EAD"/>
    <w:lvl w:ilvl="0" w:tentative="0">
      <w:start w:val="1"/>
      <w:numFmt w:val="decimal"/>
      <w:lvlText w:val="%1."/>
      <w:lvlJc w:val="left"/>
      <w:pPr>
        <w:ind w:left="2145"/>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1" w:tentative="0">
      <w:start w:val="1"/>
      <w:numFmt w:val="lowerLetter"/>
      <w:lvlText w:val="%2"/>
      <w:lvlJc w:val="left"/>
      <w:pPr>
        <w:ind w:left="252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2" w:tentative="0">
      <w:start w:val="1"/>
      <w:numFmt w:val="lowerRoman"/>
      <w:lvlText w:val="%3"/>
      <w:lvlJc w:val="left"/>
      <w:pPr>
        <w:ind w:left="324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3" w:tentative="0">
      <w:start w:val="1"/>
      <w:numFmt w:val="decimal"/>
      <w:lvlText w:val="%4"/>
      <w:lvlJc w:val="left"/>
      <w:pPr>
        <w:ind w:left="396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4" w:tentative="0">
      <w:start w:val="1"/>
      <w:numFmt w:val="lowerLetter"/>
      <w:lvlText w:val="%5"/>
      <w:lvlJc w:val="left"/>
      <w:pPr>
        <w:ind w:left="468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5" w:tentative="0">
      <w:start w:val="1"/>
      <w:numFmt w:val="lowerRoman"/>
      <w:lvlText w:val="%6"/>
      <w:lvlJc w:val="left"/>
      <w:pPr>
        <w:ind w:left="540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6" w:tentative="0">
      <w:start w:val="1"/>
      <w:numFmt w:val="decimal"/>
      <w:lvlText w:val="%7"/>
      <w:lvlJc w:val="left"/>
      <w:pPr>
        <w:ind w:left="612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7" w:tentative="0">
      <w:start w:val="1"/>
      <w:numFmt w:val="lowerLetter"/>
      <w:lvlText w:val="%8"/>
      <w:lvlJc w:val="left"/>
      <w:pPr>
        <w:ind w:left="684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8" w:tentative="0">
      <w:start w:val="1"/>
      <w:numFmt w:val="lowerRoman"/>
      <w:lvlText w:val="%9"/>
      <w:lvlJc w:val="left"/>
      <w:pPr>
        <w:ind w:left="756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abstractNum>
  <w:abstractNum w:abstractNumId="12">
    <w:nsid w:val="ED44F14B"/>
    <w:multiLevelType w:val="singleLevel"/>
    <w:tmpl w:val="ED44F14B"/>
    <w:lvl w:ilvl="0" w:tentative="0">
      <w:start w:val="1"/>
      <w:numFmt w:val="decimal"/>
      <w:lvlText w:val="%1."/>
      <w:lvlJc w:val="left"/>
      <w:pPr>
        <w:ind w:left="425" w:hanging="425"/>
      </w:pPr>
      <w:rPr>
        <w:rFonts w:hint="default"/>
      </w:rPr>
    </w:lvl>
  </w:abstractNum>
  <w:abstractNum w:abstractNumId="13">
    <w:nsid w:val="FF1255EF"/>
    <w:multiLevelType w:val="singleLevel"/>
    <w:tmpl w:val="FF1255EF"/>
    <w:lvl w:ilvl="0" w:tentative="0">
      <w:start w:val="1"/>
      <w:numFmt w:val="decimal"/>
      <w:lvlText w:val="(%1)"/>
      <w:lvlJc w:val="left"/>
      <w:pPr>
        <w:ind w:left="425" w:hanging="425"/>
      </w:pPr>
      <w:rPr>
        <w:rFonts w:hint="default"/>
      </w:rPr>
    </w:lvl>
  </w:abstractNum>
  <w:abstractNum w:abstractNumId="14">
    <w:nsid w:val="00C000DF"/>
    <w:multiLevelType w:val="multilevel"/>
    <w:tmpl w:val="00C000DF"/>
    <w:lvl w:ilvl="0" w:tentative="0">
      <w:start w:val="1"/>
      <w:numFmt w:val="decimal"/>
      <w:lvlText w:val="%1."/>
      <w:lvlJc w:val="left"/>
      <w:pPr>
        <w:ind w:left="870" w:hanging="420"/>
      </w:pPr>
      <w:rPr>
        <w:rFonts w:hint="eastAsia"/>
      </w:rPr>
    </w:lvl>
    <w:lvl w:ilvl="1" w:tentative="0">
      <w:start w:val="1"/>
      <w:numFmt w:val="lowerLetter"/>
      <w:lvlText w:val="%2)"/>
      <w:lvlJc w:val="left"/>
      <w:pPr>
        <w:ind w:left="1290" w:hanging="420"/>
      </w:pPr>
    </w:lvl>
    <w:lvl w:ilvl="2" w:tentative="0">
      <w:start w:val="1"/>
      <w:numFmt w:val="lowerRoman"/>
      <w:lvlText w:val="%3."/>
      <w:lvlJc w:val="right"/>
      <w:pPr>
        <w:ind w:left="1710" w:hanging="420"/>
      </w:pPr>
    </w:lvl>
    <w:lvl w:ilvl="3" w:tentative="0">
      <w:start w:val="1"/>
      <w:numFmt w:val="decimal"/>
      <w:lvlText w:val="%4."/>
      <w:lvlJc w:val="left"/>
      <w:pPr>
        <w:ind w:left="2130" w:hanging="420"/>
      </w:pPr>
    </w:lvl>
    <w:lvl w:ilvl="4" w:tentative="0">
      <w:start w:val="1"/>
      <w:numFmt w:val="lowerLetter"/>
      <w:lvlText w:val="%5)"/>
      <w:lvlJc w:val="left"/>
      <w:pPr>
        <w:ind w:left="2550" w:hanging="420"/>
      </w:pPr>
    </w:lvl>
    <w:lvl w:ilvl="5" w:tentative="0">
      <w:start w:val="1"/>
      <w:numFmt w:val="lowerRoman"/>
      <w:lvlText w:val="%6."/>
      <w:lvlJc w:val="right"/>
      <w:pPr>
        <w:ind w:left="2970" w:hanging="420"/>
      </w:pPr>
    </w:lvl>
    <w:lvl w:ilvl="6" w:tentative="0">
      <w:start w:val="1"/>
      <w:numFmt w:val="decimal"/>
      <w:lvlText w:val="%7."/>
      <w:lvlJc w:val="left"/>
      <w:pPr>
        <w:ind w:left="3390" w:hanging="420"/>
      </w:pPr>
    </w:lvl>
    <w:lvl w:ilvl="7" w:tentative="0">
      <w:start w:val="1"/>
      <w:numFmt w:val="lowerLetter"/>
      <w:lvlText w:val="%8)"/>
      <w:lvlJc w:val="left"/>
      <w:pPr>
        <w:ind w:left="3810" w:hanging="420"/>
      </w:pPr>
    </w:lvl>
    <w:lvl w:ilvl="8" w:tentative="0">
      <w:start w:val="1"/>
      <w:numFmt w:val="lowerRoman"/>
      <w:lvlText w:val="%9."/>
      <w:lvlJc w:val="right"/>
      <w:pPr>
        <w:ind w:left="4230" w:hanging="420"/>
      </w:pPr>
    </w:lvl>
  </w:abstractNum>
  <w:abstractNum w:abstractNumId="15">
    <w:nsid w:val="01344D4D"/>
    <w:multiLevelType w:val="multilevel"/>
    <w:tmpl w:val="01344D4D"/>
    <w:lvl w:ilvl="0" w:tentative="0">
      <w:start w:val="1"/>
      <w:numFmt w:val="bullet"/>
      <w:lvlText w:val=""/>
      <w:lvlJc w:val="left"/>
      <w:pPr>
        <w:ind w:left="900" w:hanging="420"/>
      </w:pPr>
      <w:rPr>
        <w:rFonts w:hint="default" w:ascii="Wingdings" w:hAnsi="Wingdings"/>
      </w:rPr>
    </w:lvl>
    <w:lvl w:ilvl="1" w:tentative="0">
      <w:start w:val="1"/>
      <w:numFmt w:val="bullet"/>
      <w:lvlText w:val=""/>
      <w:lvlJc w:val="left"/>
      <w:pPr>
        <w:ind w:left="1320" w:hanging="420"/>
      </w:pPr>
      <w:rPr>
        <w:rFonts w:hint="default" w:ascii="Wingdings" w:hAnsi="Wingdings"/>
      </w:rPr>
    </w:lvl>
    <w:lvl w:ilvl="2" w:tentative="0">
      <w:start w:val="1"/>
      <w:numFmt w:val="bullet"/>
      <w:lvlText w:val=""/>
      <w:lvlJc w:val="left"/>
      <w:pPr>
        <w:ind w:left="1740" w:hanging="420"/>
      </w:pPr>
      <w:rPr>
        <w:rFonts w:hint="default" w:ascii="Wingdings" w:hAnsi="Wingdings"/>
      </w:rPr>
    </w:lvl>
    <w:lvl w:ilvl="3" w:tentative="0">
      <w:start w:val="1"/>
      <w:numFmt w:val="bullet"/>
      <w:lvlText w:val=""/>
      <w:lvlJc w:val="left"/>
      <w:pPr>
        <w:ind w:left="2160" w:hanging="420"/>
      </w:pPr>
      <w:rPr>
        <w:rFonts w:hint="default" w:ascii="Wingdings" w:hAnsi="Wingdings"/>
      </w:rPr>
    </w:lvl>
    <w:lvl w:ilvl="4" w:tentative="0">
      <w:start w:val="1"/>
      <w:numFmt w:val="bullet"/>
      <w:lvlText w:val=""/>
      <w:lvlJc w:val="left"/>
      <w:pPr>
        <w:ind w:left="2580" w:hanging="420"/>
      </w:pPr>
      <w:rPr>
        <w:rFonts w:hint="default" w:ascii="Wingdings" w:hAnsi="Wingdings"/>
      </w:rPr>
    </w:lvl>
    <w:lvl w:ilvl="5" w:tentative="0">
      <w:start w:val="1"/>
      <w:numFmt w:val="bullet"/>
      <w:lvlText w:val=""/>
      <w:lvlJc w:val="left"/>
      <w:pPr>
        <w:ind w:left="3000" w:hanging="420"/>
      </w:pPr>
      <w:rPr>
        <w:rFonts w:hint="default" w:ascii="Wingdings" w:hAnsi="Wingdings"/>
      </w:rPr>
    </w:lvl>
    <w:lvl w:ilvl="6" w:tentative="0">
      <w:start w:val="1"/>
      <w:numFmt w:val="bullet"/>
      <w:lvlText w:val=""/>
      <w:lvlJc w:val="left"/>
      <w:pPr>
        <w:ind w:left="3420" w:hanging="420"/>
      </w:pPr>
      <w:rPr>
        <w:rFonts w:hint="default" w:ascii="Wingdings" w:hAnsi="Wingdings"/>
      </w:rPr>
    </w:lvl>
    <w:lvl w:ilvl="7" w:tentative="0">
      <w:start w:val="1"/>
      <w:numFmt w:val="bullet"/>
      <w:lvlText w:val=""/>
      <w:lvlJc w:val="left"/>
      <w:pPr>
        <w:ind w:left="3840" w:hanging="420"/>
      </w:pPr>
      <w:rPr>
        <w:rFonts w:hint="default" w:ascii="Wingdings" w:hAnsi="Wingdings"/>
      </w:rPr>
    </w:lvl>
    <w:lvl w:ilvl="8" w:tentative="0">
      <w:start w:val="1"/>
      <w:numFmt w:val="bullet"/>
      <w:lvlText w:val=""/>
      <w:lvlJc w:val="left"/>
      <w:pPr>
        <w:ind w:left="4260" w:hanging="420"/>
      </w:pPr>
      <w:rPr>
        <w:rFonts w:hint="default" w:ascii="Wingdings" w:hAnsi="Wingdings"/>
      </w:rPr>
    </w:lvl>
  </w:abstractNum>
  <w:abstractNum w:abstractNumId="16">
    <w:nsid w:val="014F71E2"/>
    <w:multiLevelType w:val="multilevel"/>
    <w:tmpl w:val="014F71E2"/>
    <w:lvl w:ilvl="0" w:tentative="0">
      <w:start w:val="1"/>
      <w:numFmt w:val="decimal"/>
      <w:lvlText w:val="%1."/>
      <w:lvlJc w:val="left"/>
      <w:pPr>
        <w:ind w:left="870" w:hanging="420"/>
      </w:pPr>
      <w:rPr>
        <w:rFonts w:hint="eastAsia"/>
      </w:rPr>
    </w:lvl>
    <w:lvl w:ilvl="1" w:tentative="0">
      <w:start w:val="1"/>
      <w:numFmt w:val="lowerLetter"/>
      <w:lvlText w:val="%2)"/>
      <w:lvlJc w:val="left"/>
      <w:pPr>
        <w:ind w:left="1290" w:hanging="420"/>
      </w:pPr>
    </w:lvl>
    <w:lvl w:ilvl="2" w:tentative="0">
      <w:start w:val="1"/>
      <w:numFmt w:val="lowerRoman"/>
      <w:lvlText w:val="%3."/>
      <w:lvlJc w:val="right"/>
      <w:pPr>
        <w:ind w:left="1710" w:hanging="420"/>
      </w:pPr>
    </w:lvl>
    <w:lvl w:ilvl="3" w:tentative="0">
      <w:start w:val="1"/>
      <w:numFmt w:val="decimal"/>
      <w:lvlText w:val="%4."/>
      <w:lvlJc w:val="left"/>
      <w:pPr>
        <w:ind w:left="2130" w:hanging="420"/>
      </w:pPr>
    </w:lvl>
    <w:lvl w:ilvl="4" w:tentative="0">
      <w:start w:val="1"/>
      <w:numFmt w:val="lowerLetter"/>
      <w:lvlText w:val="%5)"/>
      <w:lvlJc w:val="left"/>
      <w:pPr>
        <w:ind w:left="2550" w:hanging="420"/>
      </w:pPr>
    </w:lvl>
    <w:lvl w:ilvl="5" w:tentative="0">
      <w:start w:val="1"/>
      <w:numFmt w:val="lowerRoman"/>
      <w:lvlText w:val="%6."/>
      <w:lvlJc w:val="right"/>
      <w:pPr>
        <w:ind w:left="2970" w:hanging="420"/>
      </w:pPr>
    </w:lvl>
    <w:lvl w:ilvl="6" w:tentative="0">
      <w:start w:val="1"/>
      <w:numFmt w:val="decimal"/>
      <w:lvlText w:val="%7."/>
      <w:lvlJc w:val="left"/>
      <w:pPr>
        <w:ind w:left="3390" w:hanging="420"/>
      </w:pPr>
    </w:lvl>
    <w:lvl w:ilvl="7" w:tentative="0">
      <w:start w:val="1"/>
      <w:numFmt w:val="lowerLetter"/>
      <w:lvlText w:val="%8)"/>
      <w:lvlJc w:val="left"/>
      <w:pPr>
        <w:ind w:left="3810" w:hanging="420"/>
      </w:pPr>
    </w:lvl>
    <w:lvl w:ilvl="8" w:tentative="0">
      <w:start w:val="1"/>
      <w:numFmt w:val="lowerRoman"/>
      <w:lvlText w:val="%9."/>
      <w:lvlJc w:val="right"/>
      <w:pPr>
        <w:ind w:left="4230" w:hanging="420"/>
      </w:pPr>
    </w:lvl>
  </w:abstractNum>
  <w:abstractNum w:abstractNumId="17">
    <w:nsid w:val="01781A5A"/>
    <w:multiLevelType w:val="multilevel"/>
    <w:tmpl w:val="01781A5A"/>
    <w:lvl w:ilvl="0" w:tentative="0">
      <w:start w:val="1"/>
      <w:numFmt w:val="decimal"/>
      <w:lvlText w:val="%1."/>
      <w:lvlJc w:val="left"/>
      <w:pPr>
        <w:ind w:left="910" w:hanging="420"/>
      </w:pPr>
      <w:rPr>
        <w:rFonts w:hint="eastAsia"/>
      </w:rPr>
    </w:lvl>
    <w:lvl w:ilvl="1" w:tentative="0">
      <w:start w:val="1"/>
      <w:numFmt w:val="lowerLetter"/>
      <w:lvlText w:val="%2)"/>
      <w:lvlJc w:val="left"/>
      <w:pPr>
        <w:ind w:left="1330" w:hanging="420"/>
      </w:pPr>
    </w:lvl>
    <w:lvl w:ilvl="2" w:tentative="0">
      <w:start w:val="1"/>
      <w:numFmt w:val="lowerRoman"/>
      <w:lvlText w:val="%3."/>
      <w:lvlJc w:val="right"/>
      <w:pPr>
        <w:ind w:left="1750" w:hanging="420"/>
      </w:pPr>
    </w:lvl>
    <w:lvl w:ilvl="3" w:tentative="0">
      <w:start w:val="1"/>
      <w:numFmt w:val="decimal"/>
      <w:lvlText w:val="%4."/>
      <w:lvlJc w:val="left"/>
      <w:pPr>
        <w:ind w:left="2170" w:hanging="420"/>
      </w:pPr>
    </w:lvl>
    <w:lvl w:ilvl="4" w:tentative="0">
      <w:start w:val="1"/>
      <w:numFmt w:val="lowerLetter"/>
      <w:lvlText w:val="%5)"/>
      <w:lvlJc w:val="left"/>
      <w:pPr>
        <w:ind w:left="2590" w:hanging="420"/>
      </w:pPr>
    </w:lvl>
    <w:lvl w:ilvl="5" w:tentative="0">
      <w:start w:val="1"/>
      <w:numFmt w:val="lowerRoman"/>
      <w:lvlText w:val="%6."/>
      <w:lvlJc w:val="right"/>
      <w:pPr>
        <w:ind w:left="3010" w:hanging="420"/>
      </w:pPr>
    </w:lvl>
    <w:lvl w:ilvl="6" w:tentative="0">
      <w:start w:val="1"/>
      <w:numFmt w:val="decimal"/>
      <w:lvlText w:val="%7."/>
      <w:lvlJc w:val="left"/>
      <w:pPr>
        <w:ind w:left="3430" w:hanging="420"/>
      </w:pPr>
    </w:lvl>
    <w:lvl w:ilvl="7" w:tentative="0">
      <w:start w:val="1"/>
      <w:numFmt w:val="lowerLetter"/>
      <w:lvlText w:val="%8)"/>
      <w:lvlJc w:val="left"/>
      <w:pPr>
        <w:ind w:left="3850" w:hanging="420"/>
      </w:pPr>
    </w:lvl>
    <w:lvl w:ilvl="8" w:tentative="0">
      <w:start w:val="1"/>
      <w:numFmt w:val="lowerRoman"/>
      <w:lvlText w:val="%9."/>
      <w:lvlJc w:val="right"/>
      <w:pPr>
        <w:ind w:left="4270" w:hanging="420"/>
      </w:pPr>
    </w:lvl>
  </w:abstractNum>
  <w:abstractNum w:abstractNumId="18">
    <w:nsid w:val="03114AC8"/>
    <w:multiLevelType w:val="multilevel"/>
    <w:tmpl w:val="03114AC8"/>
    <w:lvl w:ilvl="0" w:tentative="0">
      <w:start w:val="1"/>
      <w:numFmt w:val="decimal"/>
      <w:lvlText w:val="%1."/>
      <w:lvlJc w:val="left"/>
      <w:pPr>
        <w:ind w:left="1177" w:hanging="420"/>
      </w:pPr>
    </w:lvl>
    <w:lvl w:ilvl="1" w:tentative="0">
      <w:start w:val="1"/>
      <w:numFmt w:val="lowerLetter"/>
      <w:lvlText w:val="%2)"/>
      <w:lvlJc w:val="left"/>
      <w:pPr>
        <w:ind w:left="1597" w:hanging="420"/>
      </w:pPr>
    </w:lvl>
    <w:lvl w:ilvl="2" w:tentative="0">
      <w:start w:val="1"/>
      <w:numFmt w:val="lowerRoman"/>
      <w:lvlText w:val="%3."/>
      <w:lvlJc w:val="right"/>
      <w:pPr>
        <w:ind w:left="2017" w:hanging="420"/>
      </w:pPr>
    </w:lvl>
    <w:lvl w:ilvl="3" w:tentative="0">
      <w:start w:val="1"/>
      <w:numFmt w:val="decimal"/>
      <w:lvlText w:val="%4."/>
      <w:lvlJc w:val="left"/>
      <w:pPr>
        <w:ind w:left="2437" w:hanging="420"/>
      </w:pPr>
    </w:lvl>
    <w:lvl w:ilvl="4" w:tentative="0">
      <w:start w:val="1"/>
      <w:numFmt w:val="lowerLetter"/>
      <w:lvlText w:val="%5)"/>
      <w:lvlJc w:val="left"/>
      <w:pPr>
        <w:ind w:left="2857" w:hanging="420"/>
      </w:pPr>
    </w:lvl>
    <w:lvl w:ilvl="5" w:tentative="0">
      <w:start w:val="1"/>
      <w:numFmt w:val="lowerRoman"/>
      <w:lvlText w:val="%6."/>
      <w:lvlJc w:val="right"/>
      <w:pPr>
        <w:ind w:left="3277" w:hanging="420"/>
      </w:pPr>
    </w:lvl>
    <w:lvl w:ilvl="6" w:tentative="0">
      <w:start w:val="1"/>
      <w:numFmt w:val="decimal"/>
      <w:lvlText w:val="%7."/>
      <w:lvlJc w:val="left"/>
      <w:pPr>
        <w:ind w:left="3697" w:hanging="420"/>
      </w:pPr>
    </w:lvl>
    <w:lvl w:ilvl="7" w:tentative="0">
      <w:start w:val="1"/>
      <w:numFmt w:val="lowerLetter"/>
      <w:lvlText w:val="%8)"/>
      <w:lvlJc w:val="left"/>
      <w:pPr>
        <w:ind w:left="4117" w:hanging="420"/>
      </w:pPr>
    </w:lvl>
    <w:lvl w:ilvl="8" w:tentative="0">
      <w:start w:val="1"/>
      <w:numFmt w:val="lowerRoman"/>
      <w:lvlText w:val="%9."/>
      <w:lvlJc w:val="right"/>
      <w:pPr>
        <w:ind w:left="4537" w:hanging="420"/>
      </w:pPr>
    </w:lvl>
  </w:abstractNum>
  <w:abstractNum w:abstractNumId="19">
    <w:nsid w:val="038D6320"/>
    <w:multiLevelType w:val="multilevel"/>
    <w:tmpl w:val="038D6320"/>
    <w:lvl w:ilvl="0" w:tentative="0">
      <w:start w:val="1"/>
      <w:numFmt w:val="decimal"/>
      <w:lvlText w:val="5.3.%1"/>
      <w:lvlJc w:val="left"/>
      <w:pPr>
        <w:ind w:left="430" w:hanging="420"/>
      </w:pPr>
      <w:rPr>
        <w:rFonts w:hint="eastAsia"/>
      </w:rPr>
    </w:lvl>
    <w:lvl w:ilvl="1" w:tentative="0">
      <w:start w:val="1"/>
      <w:numFmt w:val="lowerLetter"/>
      <w:lvlText w:val="%2)"/>
      <w:lvlJc w:val="left"/>
      <w:pPr>
        <w:ind w:left="850" w:hanging="420"/>
      </w:pPr>
    </w:lvl>
    <w:lvl w:ilvl="2" w:tentative="0">
      <w:start w:val="1"/>
      <w:numFmt w:val="lowerRoman"/>
      <w:lvlText w:val="%3."/>
      <w:lvlJc w:val="right"/>
      <w:pPr>
        <w:ind w:left="1270" w:hanging="420"/>
      </w:pPr>
    </w:lvl>
    <w:lvl w:ilvl="3" w:tentative="0">
      <w:start w:val="1"/>
      <w:numFmt w:val="decimal"/>
      <w:lvlText w:val="%4."/>
      <w:lvlJc w:val="left"/>
      <w:pPr>
        <w:ind w:left="1690" w:hanging="420"/>
      </w:pPr>
    </w:lvl>
    <w:lvl w:ilvl="4" w:tentative="0">
      <w:start w:val="1"/>
      <w:numFmt w:val="lowerLetter"/>
      <w:lvlText w:val="%5)"/>
      <w:lvlJc w:val="left"/>
      <w:pPr>
        <w:ind w:left="2110" w:hanging="420"/>
      </w:pPr>
    </w:lvl>
    <w:lvl w:ilvl="5" w:tentative="0">
      <w:start w:val="1"/>
      <w:numFmt w:val="lowerRoman"/>
      <w:lvlText w:val="%6."/>
      <w:lvlJc w:val="right"/>
      <w:pPr>
        <w:ind w:left="2530" w:hanging="420"/>
      </w:pPr>
    </w:lvl>
    <w:lvl w:ilvl="6" w:tentative="0">
      <w:start w:val="1"/>
      <w:numFmt w:val="decimal"/>
      <w:lvlText w:val="%7."/>
      <w:lvlJc w:val="left"/>
      <w:pPr>
        <w:ind w:left="2950" w:hanging="420"/>
      </w:pPr>
    </w:lvl>
    <w:lvl w:ilvl="7" w:tentative="0">
      <w:start w:val="1"/>
      <w:numFmt w:val="lowerLetter"/>
      <w:lvlText w:val="%8)"/>
      <w:lvlJc w:val="left"/>
      <w:pPr>
        <w:ind w:left="3370" w:hanging="420"/>
      </w:pPr>
    </w:lvl>
    <w:lvl w:ilvl="8" w:tentative="0">
      <w:start w:val="1"/>
      <w:numFmt w:val="lowerRoman"/>
      <w:lvlText w:val="%9."/>
      <w:lvlJc w:val="right"/>
      <w:pPr>
        <w:ind w:left="3790" w:hanging="420"/>
      </w:pPr>
    </w:lvl>
  </w:abstractNum>
  <w:abstractNum w:abstractNumId="20">
    <w:nsid w:val="03EF27BB"/>
    <w:multiLevelType w:val="multilevel"/>
    <w:tmpl w:val="03EF27BB"/>
    <w:lvl w:ilvl="0" w:tentative="0">
      <w:start w:val="1"/>
      <w:numFmt w:val="decimal"/>
      <w:lvlText w:val="%1."/>
      <w:lvlJc w:val="left"/>
      <w:pPr>
        <w:ind w:left="2145"/>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1" w:tentative="0">
      <w:start w:val="1"/>
      <w:numFmt w:val="lowerLetter"/>
      <w:lvlText w:val="%2"/>
      <w:lvlJc w:val="left"/>
      <w:pPr>
        <w:ind w:left="252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2" w:tentative="0">
      <w:start w:val="1"/>
      <w:numFmt w:val="lowerRoman"/>
      <w:lvlText w:val="%3"/>
      <w:lvlJc w:val="left"/>
      <w:pPr>
        <w:ind w:left="324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3" w:tentative="0">
      <w:start w:val="1"/>
      <w:numFmt w:val="decimal"/>
      <w:lvlText w:val="%4"/>
      <w:lvlJc w:val="left"/>
      <w:pPr>
        <w:ind w:left="396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4" w:tentative="0">
      <w:start w:val="1"/>
      <w:numFmt w:val="lowerLetter"/>
      <w:lvlText w:val="%5"/>
      <w:lvlJc w:val="left"/>
      <w:pPr>
        <w:ind w:left="468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5" w:tentative="0">
      <w:start w:val="1"/>
      <w:numFmt w:val="lowerRoman"/>
      <w:lvlText w:val="%6"/>
      <w:lvlJc w:val="left"/>
      <w:pPr>
        <w:ind w:left="540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6" w:tentative="0">
      <w:start w:val="1"/>
      <w:numFmt w:val="decimal"/>
      <w:lvlText w:val="%7"/>
      <w:lvlJc w:val="left"/>
      <w:pPr>
        <w:ind w:left="612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7" w:tentative="0">
      <w:start w:val="1"/>
      <w:numFmt w:val="lowerLetter"/>
      <w:lvlText w:val="%8"/>
      <w:lvlJc w:val="left"/>
      <w:pPr>
        <w:ind w:left="684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8" w:tentative="0">
      <w:start w:val="1"/>
      <w:numFmt w:val="lowerRoman"/>
      <w:lvlText w:val="%9"/>
      <w:lvlJc w:val="left"/>
      <w:pPr>
        <w:ind w:left="756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abstractNum>
  <w:abstractNum w:abstractNumId="21">
    <w:nsid w:val="05357ECC"/>
    <w:multiLevelType w:val="multilevel"/>
    <w:tmpl w:val="05357ECC"/>
    <w:lvl w:ilvl="0" w:tentative="0">
      <w:start w:val="1"/>
      <w:numFmt w:val="bullet"/>
      <w:lvlText w:val=""/>
      <w:lvlJc w:val="left"/>
      <w:pPr>
        <w:ind w:left="900" w:hanging="420"/>
      </w:pPr>
      <w:rPr>
        <w:rFonts w:hint="default" w:ascii="Wingdings" w:hAnsi="Wingdings"/>
      </w:rPr>
    </w:lvl>
    <w:lvl w:ilvl="1" w:tentative="0">
      <w:start w:val="1"/>
      <w:numFmt w:val="bullet"/>
      <w:lvlText w:val=""/>
      <w:lvlJc w:val="left"/>
      <w:pPr>
        <w:ind w:left="1320" w:hanging="420"/>
      </w:pPr>
      <w:rPr>
        <w:rFonts w:hint="default" w:ascii="Wingdings" w:hAnsi="Wingdings"/>
      </w:rPr>
    </w:lvl>
    <w:lvl w:ilvl="2" w:tentative="0">
      <w:start w:val="1"/>
      <w:numFmt w:val="bullet"/>
      <w:lvlText w:val=""/>
      <w:lvlJc w:val="left"/>
      <w:pPr>
        <w:ind w:left="1740" w:hanging="420"/>
      </w:pPr>
      <w:rPr>
        <w:rFonts w:hint="default" w:ascii="Wingdings" w:hAnsi="Wingdings"/>
      </w:rPr>
    </w:lvl>
    <w:lvl w:ilvl="3" w:tentative="0">
      <w:start w:val="1"/>
      <w:numFmt w:val="bullet"/>
      <w:lvlText w:val=""/>
      <w:lvlJc w:val="left"/>
      <w:pPr>
        <w:ind w:left="2160" w:hanging="420"/>
      </w:pPr>
      <w:rPr>
        <w:rFonts w:hint="default" w:ascii="Wingdings" w:hAnsi="Wingdings"/>
      </w:rPr>
    </w:lvl>
    <w:lvl w:ilvl="4" w:tentative="0">
      <w:start w:val="1"/>
      <w:numFmt w:val="bullet"/>
      <w:lvlText w:val=""/>
      <w:lvlJc w:val="left"/>
      <w:pPr>
        <w:ind w:left="2580" w:hanging="420"/>
      </w:pPr>
      <w:rPr>
        <w:rFonts w:hint="default" w:ascii="Wingdings" w:hAnsi="Wingdings"/>
      </w:rPr>
    </w:lvl>
    <w:lvl w:ilvl="5" w:tentative="0">
      <w:start w:val="1"/>
      <w:numFmt w:val="bullet"/>
      <w:lvlText w:val=""/>
      <w:lvlJc w:val="left"/>
      <w:pPr>
        <w:ind w:left="3000" w:hanging="420"/>
      </w:pPr>
      <w:rPr>
        <w:rFonts w:hint="default" w:ascii="Wingdings" w:hAnsi="Wingdings"/>
      </w:rPr>
    </w:lvl>
    <w:lvl w:ilvl="6" w:tentative="0">
      <w:start w:val="1"/>
      <w:numFmt w:val="bullet"/>
      <w:lvlText w:val=""/>
      <w:lvlJc w:val="left"/>
      <w:pPr>
        <w:ind w:left="3420" w:hanging="420"/>
      </w:pPr>
      <w:rPr>
        <w:rFonts w:hint="default" w:ascii="Wingdings" w:hAnsi="Wingdings"/>
      </w:rPr>
    </w:lvl>
    <w:lvl w:ilvl="7" w:tentative="0">
      <w:start w:val="1"/>
      <w:numFmt w:val="bullet"/>
      <w:lvlText w:val=""/>
      <w:lvlJc w:val="left"/>
      <w:pPr>
        <w:ind w:left="3840" w:hanging="420"/>
      </w:pPr>
      <w:rPr>
        <w:rFonts w:hint="default" w:ascii="Wingdings" w:hAnsi="Wingdings"/>
      </w:rPr>
    </w:lvl>
    <w:lvl w:ilvl="8" w:tentative="0">
      <w:start w:val="1"/>
      <w:numFmt w:val="bullet"/>
      <w:lvlText w:val=""/>
      <w:lvlJc w:val="left"/>
      <w:pPr>
        <w:ind w:left="4260" w:hanging="420"/>
      </w:pPr>
      <w:rPr>
        <w:rFonts w:hint="default" w:ascii="Wingdings" w:hAnsi="Wingdings"/>
      </w:rPr>
    </w:lvl>
  </w:abstractNum>
  <w:abstractNum w:abstractNumId="22">
    <w:nsid w:val="069D5ED6"/>
    <w:multiLevelType w:val="multilevel"/>
    <w:tmpl w:val="069D5ED6"/>
    <w:lvl w:ilvl="0" w:tentative="0">
      <w:start w:val="1"/>
      <w:numFmt w:val="bullet"/>
      <w:lvlText w:val=""/>
      <w:lvlJc w:val="left"/>
      <w:pPr>
        <w:ind w:left="900" w:hanging="420"/>
      </w:pPr>
      <w:rPr>
        <w:rFonts w:hint="default" w:ascii="Wingdings" w:hAnsi="Wingdings"/>
      </w:rPr>
    </w:lvl>
    <w:lvl w:ilvl="1" w:tentative="0">
      <w:start w:val="1"/>
      <w:numFmt w:val="bullet"/>
      <w:lvlText w:val=""/>
      <w:lvlJc w:val="left"/>
      <w:pPr>
        <w:ind w:left="1320" w:hanging="420"/>
      </w:pPr>
      <w:rPr>
        <w:rFonts w:hint="default" w:ascii="Wingdings" w:hAnsi="Wingdings"/>
      </w:rPr>
    </w:lvl>
    <w:lvl w:ilvl="2" w:tentative="0">
      <w:start w:val="1"/>
      <w:numFmt w:val="bullet"/>
      <w:lvlText w:val=""/>
      <w:lvlJc w:val="left"/>
      <w:pPr>
        <w:ind w:left="1740" w:hanging="420"/>
      </w:pPr>
      <w:rPr>
        <w:rFonts w:hint="default" w:ascii="Wingdings" w:hAnsi="Wingdings"/>
      </w:rPr>
    </w:lvl>
    <w:lvl w:ilvl="3" w:tentative="0">
      <w:start w:val="1"/>
      <w:numFmt w:val="bullet"/>
      <w:lvlText w:val=""/>
      <w:lvlJc w:val="left"/>
      <w:pPr>
        <w:ind w:left="2160" w:hanging="420"/>
      </w:pPr>
      <w:rPr>
        <w:rFonts w:hint="default" w:ascii="Wingdings" w:hAnsi="Wingdings"/>
      </w:rPr>
    </w:lvl>
    <w:lvl w:ilvl="4" w:tentative="0">
      <w:start w:val="1"/>
      <w:numFmt w:val="bullet"/>
      <w:lvlText w:val=""/>
      <w:lvlJc w:val="left"/>
      <w:pPr>
        <w:ind w:left="2580" w:hanging="420"/>
      </w:pPr>
      <w:rPr>
        <w:rFonts w:hint="default" w:ascii="Wingdings" w:hAnsi="Wingdings"/>
      </w:rPr>
    </w:lvl>
    <w:lvl w:ilvl="5" w:tentative="0">
      <w:start w:val="1"/>
      <w:numFmt w:val="bullet"/>
      <w:lvlText w:val=""/>
      <w:lvlJc w:val="left"/>
      <w:pPr>
        <w:ind w:left="3000" w:hanging="420"/>
      </w:pPr>
      <w:rPr>
        <w:rFonts w:hint="default" w:ascii="Wingdings" w:hAnsi="Wingdings"/>
      </w:rPr>
    </w:lvl>
    <w:lvl w:ilvl="6" w:tentative="0">
      <w:start w:val="1"/>
      <w:numFmt w:val="bullet"/>
      <w:lvlText w:val=""/>
      <w:lvlJc w:val="left"/>
      <w:pPr>
        <w:ind w:left="3420" w:hanging="420"/>
      </w:pPr>
      <w:rPr>
        <w:rFonts w:hint="default" w:ascii="Wingdings" w:hAnsi="Wingdings"/>
      </w:rPr>
    </w:lvl>
    <w:lvl w:ilvl="7" w:tentative="0">
      <w:start w:val="1"/>
      <w:numFmt w:val="bullet"/>
      <w:lvlText w:val=""/>
      <w:lvlJc w:val="left"/>
      <w:pPr>
        <w:ind w:left="3840" w:hanging="420"/>
      </w:pPr>
      <w:rPr>
        <w:rFonts w:hint="default" w:ascii="Wingdings" w:hAnsi="Wingdings"/>
      </w:rPr>
    </w:lvl>
    <w:lvl w:ilvl="8" w:tentative="0">
      <w:start w:val="1"/>
      <w:numFmt w:val="bullet"/>
      <w:lvlText w:val=""/>
      <w:lvlJc w:val="left"/>
      <w:pPr>
        <w:ind w:left="4260" w:hanging="420"/>
      </w:pPr>
      <w:rPr>
        <w:rFonts w:hint="default" w:ascii="Wingdings" w:hAnsi="Wingdings"/>
      </w:rPr>
    </w:lvl>
  </w:abstractNum>
  <w:abstractNum w:abstractNumId="23">
    <w:nsid w:val="07254361"/>
    <w:multiLevelType w:val="multilevel"/>
    <w:tmpl w:val="07254361"/>
    <w:lvl w:ilvl="0" w:tentative="0">
      <w:start w:val="1"/>
      <w:numFmt w:val="decimal"/>
      <w:lvlText w:val="%1."/>
      <w:lvlJc w:val="left"/>
      <w:pPr>
        <w:ind w:left="2145"/>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1" w:tentative="0">
      <w:start w:val="1"/>
      <w:numFmt w:val="lowerLetter"/>
      <w:lvlText w:val="%2"/>
      <w:lvlJc w:val="left"/>
      <w:pPr>
        <w:ind w:left="252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2" w:tentative="0">
      <w:start w:val="1"/>
      <w:numFmt w:val="lowerRoman"/>
      <w:lvlText w:val="%3"/>
      <w:lvlJc w:val="left"/>
      <w:pPr>
        <w:ind w:left="324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3" w:tentative="0">
      <w:start w:val="1"/>
      <w:numFmt w:val="decimal"/>
      <w:lvlText w:val="%4"/>
      <w:lvlJc w:val="left"/>
      <w:pPr>
        <w:ind w:left="396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4" w:tentative="0">
      <w:start w:val="1"/>
      <w:numFmt w:val="lowerLetter"/>
      <w:lvlText w:val="%5"/>
      <w:lvlJc w:val="left"/>
      <w:pPr>
        <w:ind w:left="468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5" w:tentative="0">
      <w:start w:val="1"/>
      <w:numFmt w:val="lowerRoman"/>
      <w:lvlText w:val="%6"/>
      <w:lvlJc w:val="left"/>
      <w:pPr>
        <w:ind w:left="540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6" w:tentative="0">
      <w:start w:val="1"/>
      <w:numFmt w:val="decimal"/>
      <w:lvlText w:val="%7"/>
      <w:lvlJc w:val="left"/>
      <w:pPr>
        <w:ind w:left="612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7" w:tentative="0">
      <w:start w:val="1"/>
      <w:numFmt w:val="lowerLetter"/>
      <w:lvlText w:val="%8"/>
      <w:lvlJc w:val="left"/>
      <w:pPr>
        <w:ind w:left="684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8" w:tentative="0">
      <w:start w:val="1"/>
      <w:numFmt w:val="lowerRoman"/>
      <w:lvlText w:val="%9"/>
      <w:lvlJc w:val="left"/>
      <w:pPr>
        <w:ind w:left="756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abstractNum>
  <w:abstractNum w:abstractNumId="24">
    <w:nsid w:val="08415EC1"/>
    <w:multiLevelType w:val="multilevel"/>
    <w:tmpl w:val="08415EC1"/>
    <w:lvl w:ilvl="0" w:tentative="0">
      <w:start w:val="1"/>
      <w:numFmt w:val="lowerRoman"/>
      <w:lvlText w:val="%1."/>
      <w:lvlJc w:val="left"/>
      <w:pPr>
        <w:ind w:left="2970"/>
      </w:pPr>
      <w:rPr>
        <w:rFonts w:ascii="等线" w:hAnsi="等线" w:eastAsia="等线" w:cs="等线"/>
        <w:b w:val="0"/>
        <w:i w:val="0"/>
        <w:strike w:val="0"/>
        <w:dstrike w:val="0"/>
        <w:color w:val="000000"/>
        <w:sz w:val="24"/>
        <w:szCs w:val="24"/>
        <w:u w:val="none" w:color="000000"/>
        <w:shd w:val="clear" w:color="auto" w:fill="auto"/>
        <w:vertAlign w:val="baseline"/>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5">
    <w:nsid w:val="0A89672E"/>
    <w:multiLevelType w:val="multilevel"/>
    <w:tmpl w:val="0A89672E"/>
    <w:lvl w:ilvl="0" w:tentative="0">
      <w:start w:val="1"/>
      <w:numFmt w:val="decimal"/>
      <w:lvlText w:val="%1."/>
      <w:lvlJc w:val="left"/>
      <w:pPr>
        <w:ind w:left="870" w:hanging="420"/>
      </w:pPr>
      <w:rPr>
        <w:rFonts w:hint="eastAsia"/>
      </w:rPr>
    </w:lvl>
    <w:lvl w:ilvl="1" w:tentative="0">
      <w:start w:val="1"/>
      <w:numFmt w:val="lowerLetter"/>
      <w:lvlText w:val="%2)"/>
      <w:lvlJc w:val="left"/>
      <w:pPr>
        <w:ind w:left="1290" w:hanging="420"/>
      </w:pPr>
    </w:lvl>
    <w:lvl w:ilvl="2" w:tentative="0">
      <w:start w:val="1"/>
      <w:numFmt w:val="lowerRoman"/>
      <w:lvlText w:val="%3."/>
      <w:lvlJc w:val="right"/>
      <w:pPr>
        <w:ind w:left="1710" w:hanging="420"/>
      </w:pPr>
    </w:lvl>
    <w:lvl w:ilvl="3" w:tentative="0">
      <w:start w:val="1"/>
      <w:numFmt w:val="decimal"/>
      <w:lvlText w:val="%4."/>
      <w:lvlJc w:val="left"/>
      <w:pPr>
        <w:ind w:left="2130" w:hanging="420"/>
      </w:pPr>
    </w:lvl>
    <w:lvl w:ilvl="4" w:tentative="0">
      <w:start w:val="1"/>
      <w:numFmt w:val="lowerLetter"/>
      <w:lvlText w:val="%5)"/>
      <w:lvlJc w:val="left"/>
      <w:pPr>
        <w:ind w:left="2550" w:hanging="420"/>
      </w:pPr>
    </w:lvl>
    <w:lvl w:ilvl="5" w:tentative="0">
      <w:start w:val="1"/>
      <w:numFmt w:val="lowerRoman"/>
      <w:lvlText w:val="%6."/>
      <w:lvlJc w:val="right"/>
      <w:pPr>
        <w:ind w:left="2970" w:hanging="420"/>
      </w:pPr>
    </w:lvl>
    <w:lvl w:ilvl="6" w:tentative="0">
      <w:start w:val="1"/>
      <w:numFmt w:val="decimal"/>
      <w:lvlText w:val="%7."/>
      <w:lvlJc w:val="left"/>
      <w:pPr>
        <w:ind w:left="3390" w:hanging="420"/>
      </w:pPr>
    </w:lvl>
    <w:lvl w:ilvl="7" w:tentative="0">
      <w:start w:val="1"/>
      <w:numFmt w:val="lowerLetter"/>
      <w:lvlText w:val="%8)"/>
      <w:lvlJc w:val="left"/>
      <w:pPr>
        <w:ind w:left="3810" w:hanging="420"/>
      </w:pPr>
    </w:lvl>
    <w:lvl w:ilvl="8" w:tentative="0">
      <w:start w:val="1"/>
      <w:numFmt w:val="lowerRoman"/>
      <w:lvlText w:val="%9."/>
      <w:lvlJc w:val="right"/>
      <w:pPr>
        <w:ind w:left="4230" w:hanging="420"/>
      </w:pPr>
    </w:lvl>
  </w:abstractNum>
  <w:abstractNum w:abstractNumId="26">
    <w:nsid w:val="0C3D26A0"/>
    <w:multiLevelType w:val="multilevel"/>
    <w:tmpl w:val="0C3D26A0"/>
    <w:lvl w:ilvl="0" w:tentative="0">
      <w:start w:val="1"/>
      <w:numFmt w:val="decimal"/>
      <w:lvlText w:val="%1."/>
      <w:lvlJc w:val="left"/>
      <w:pPr>
        <w:ind w:left="840" w:hanging="360"/>
      </w:pPr>
      <w:rPr>
        <w:rFonts w:hint="eastAsia"/>
      </w:rPr>
    </w:lvl>
    <w:lvl w:ilvl="1" w:tentative="0">
      <w:start w:val="1"/>
      <w:numFmt w:val="lowerLetter"/>
      <w:lvlText w:val="%2)"/>
      <w:lvlJc w:val="left"/>
      <w:pPr>
        <w:ind w:left="1440" w:hanging="480"/>
      </w:pPr>
    </w:lvl>
    <w:lvl w:ilvl="2" w:tentative="0">
      <w:start w:val="1"/>
      <w:numFmt w:val="lowerRoman"/>
      <w:lvlText w:val="%3."/>
      <w:lvlJc w:val="right"/>
      <w:pPr>
        <w:ind w:left="1920" w:hanging="480"/>
      </w:pPr>
    </w:lvl>
    <w:lvl w:ilvl="3" w:tentative="0">
      <w:start w:val="1"/>
      <w:numFmt w:val="decimal"/>
      <w:lvlText w:val="%4."/>
      <w:lvlJc w:val="left"/>
      <w:pPr>
        <w:ind w:left="2400" w:hanging="480"/>
      </w:pPr>
    </w:lvl>
    <w:lvl w:ilvl="4" w:tentative="0">
      <w:start w:val="1"/>
      <w:numFmt w:val="lowerLetter"/>
      <w:lvlText w:val="%5)"/>
      <w:lvlJc w:val="left"/>
      <w:pPr>
        <w:ind w:left="2880" w:hanging="480"/>
      </w:pPr>
    </w:lvl>
    <w:lvl w:ilvl="5" w:tentative="0">
      <w:start w:val="1"/>
      <w:numFmt w:val="lowerRoman"/>
      <w:lvlText w:val="%6."/>
      <w:lvlJc w:val="right"/>
      <w:pPr>
        <w:ind w:left="3360" w:hanging="480"/>
      </w:pPr>
    </w:lvl>
    <w:lvl w:ilvl="6" w:tentative="0">
      <w:start w:val="1"/>
      <w:numFmt w:val="decimal"/>
      <w:lvlText w:val="%7."/>
      <w:lvlJc w:val="left"/>
      <w:pPr>
        <w:ind w:left="3840" w:hanging="480"/>
      </w:pPr>
    </w:lvl>
    <w:lvl w:ilvl="7" w:tentative="0">
      <w:start w:val="1"/>
      <w:numFmt w:val="lowerLetter"/>
      <w:lvlText w:val="%8)"/>
      <w:lvlJc w:val="left"/>
      <w:pPr>
        <w:ind w:left="4320" w:hanging="480"/>
      </w:pPr>
    </w:lvl>
    <w:lvl w:ilvl="8" w:tentative="0">
      <w:start w:val="1"/>
      <w:numFmt w:val="lowerRoman"/>
      <w:lvlText w:val="%9."/>
      <w:lvlJc w:val="right"/>
      <w:pPr>
        <w:ind w:left="4800" w:hanging="480"/>
      </w:pPr>
    </w:lvl>
  </w:abstractNum>
  <w:abstractNum w:abstractNumId="27">
    <w:nsid w:val="0C4A340E"/>
    <w:multiLevelType w:val="multilevel"/>
    <w:tmpl w:val="0C4A340E"/>
    <w:lvl w:ilvl="0" w:tentative="0">
      <w:start w:val="1"/>
      <w:numFmt w:val="decimal"/>
      <w:lvlText w:val="%1."/>
      <w:lvlJc w:val="left"/>
      <w:pPr>
        <w:ind w:left="2145"/>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1" w:tentative="0">
      <w:start w:val="1"/>
      <w:numFmt w:val="lowerLetter"/>
      <w:lvlText w:val="%2"/>
      <w:lvlJc w:val="left"/>
      <w:pPr>
        <w:ind w:left="252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2" w:tentative="0">
      <w:start w:val="1"/>
      <w:numFmt w:val="lowerRoman"/>
      <w:lvlText w:val="%3"/>
      <w:lvlJc w:val="left"/>
      <w:pPr>
        <w:ind w:left="324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3" w:tentative="0">
      <w:start w:val="1"/>
      <w:numFmt w:val="decimal"/>
      <w:lvlText w:val="%4"/>
      <w:lvlJc w:val="left"/>
      <w:pPr>
        <w:ind w:left="396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4" w:tentative="0">
      <w:start w:val="1"/>
      <w:numFmt w:val="lowerLetter"/>
      <w:lvlText w:val="%5"/>
      <w:lvlJc w:val="left"/>
      <w:pPr>
        <w:ind w:left="468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5" w:tentative="0">
      <w:start w:val="1"/>
      <w:numFmt w:val="lowerRoman"/>
      <w:lvlText w:val="%6"/>
      <w:lvlJc w:val="left"/>
      <w:pPr>
        <w:ind w:left="540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6" w:tentative="0">
      <w:start w:val="1"/>
      <w:numFmt w:val="decimal"/>
      <w:lvlText w:val="%7"/>
      <w:lvlJc w:val="left"/>
      <w:pPr>
        <w:ind w:left="612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7" w:tentative="0">
      <w:start w:val="1"/>
      <w:numFmt w:val="lowerLetter"/>
      <w:lvlText w:val="%8"/>
      <w:lvlJc w:val="left"/>
      <w:pPr>
        <w:ind w:left="684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8" w:tentative="0">
      <w:start w:val="1"/>
      <w:numFmt w:val="lowerRoman"/>
      <w:lvlText w:val="%9"/>
      <w:lvlJc w:val="left"/>
      <w:pPr>
        <w:ind w:left="756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abstractNum>
  <w:abstractNum w:abstractNumId="28">
    <w:nsid w:val="0C7F1A4C"/>
    <w:multiLevelType w:val="singleLevel"/>
    <w:tmpl w:val="0C7F1A4C"/>
    <w:lvl w:ilvl="0" w:tentative="0">
      <w:start w:val="2"/>
      <w:numFmt w:val="decimal"/>
      <w:suff w:val="nothing"/>
      <w:lvlText w:val="%1、"/>
      <w:lvlJc w:val="left"/>
    </w:lvl>
  </w:abstractNum>
  <w:abstractNum w:abstractNumId="29">
    <w:nsid w:val="0C9B738E"/>
    <w:multiLevelType w:val="singleLevel"/>
    <w:tmpl w:val="0C9B738E"/>
    <w:lvl w:ilvl="0" w:tentative="0">
      <w:start w:val="1"/>
      <w:numFmt w:val="decimal"/>
      <w:lvlText w:val="(%1)"/>
      <w:lvlJc w:val="left"/>
      <w:pPr>
        <w:ind w:left="425" w:hanging="425"/>
      </w:pPr>
      <w:rPr>
        <w:rFonts w:hint="default"/>
      </w:rPr>
    </w:lvl>
  </w:abstractNum>
  <w:abstractNum w:abstractNumId="30">
    <w:nsid w:val="0DB03B19"/>
    <w:multiLevelType w:val="multilevel"/>
    <w:tmpl w:val="0DB03B19"/>
    <w:lvl w:ilvl="0" w:tentative="0">
      <w:start w:val="1"/>
      <w:numFmt w:val="decimal"/>
      <w:lvlText w:val="%1."/>
      <w:lvlJc w:val="left"/>
      <w:pPr>
        <w:ind w:left="870" w:hanging="420"/>
      </w:pPr>
      <w:rPr>
        <w:rFonts w:hint="eastAsia"/>
      </w:rPr>
    </w:lvl>
    <w:lvl w:ilvl="1" w:tentative="0">
      <w:start w:val="1"/>
      <w:numFmt w:val="lowerLetter"/>
      <w:lvlText w:val="%2)"/>
      <w:lvlJc w:val="left"/>
      <w:pPr>
        <w:ind w:left="1290" w:hanging="420"/>
      </w:pPr>
    </w:lvl>
    <w:lvl w:ilvl="2" w:tentative="0">
      <w:start w:val="1"/>
      <w:numFmt w:val="lowerRoman"/>
      <w:lvlText w:val="%3."/>
      <w:lvlJc w:val="right"/>
      <w:pPr>
        <w:ind w:left="1710" w:hanging="420"/>
      </w:pPr>
    </w:lvl>
    <w:lvl w:ilvl="3" w:tentative="0">
      <w:start w:val="1"/>
      <w:numFmt w:val="decimal"/>
      <w:lvlText w:val="%4."/>
      <w:lvlJc w:val="left"/>
      <w:pPr>
        <w:ind w:left="2130" w:hanging="420"/>
      </w:pPr>
    </w:lvl>
    <w:lvl w:ilvl="4" w:tentative="0">
      <w:start w:val="1"/>
      <w:numFmt w:val="lowerLetter"/>
      <w:lvlText w:val="%5)"/>
      <w:lvlJc w:val="left"/>
      <w:pPr>
        <w:ind w:left="2550" w:hanging="420"/>
      </w:pPr>
    </w:lvl>
    <w:lvl w:ilvl="5" w:tentative="0">
      <w:start w:val="1"/>
      <w:numFmt w:val="lowerRoman"/>
      <w:lvlText w:val="%6."/>
      <w:lvlJc w:val="right"/>
      <w:pPr>
        <w:ind w:left="2970" w:hanging="420"/>
      </w:pPr>
    </w:lvl>
    <w:lvl w:ilvl="6" w:tentative="0">
      <w:start w:val="1"/>
      <w:numFmt w:val="decimal"/>
      <w:lvlText w:val="%7."/>
      <w:lvlJc w:val="left"/>
      <w:pPr>
        <w:ind w:left="3390" w:hanging="420"/>
      </w:pPr>
    </w:lvl>
    <w:lvl w:ilvl="7" w:tentative="0">
      <w:start w:val="1"/>
      <w:numFmt w:val="lowerLetter"/>
      <w:lvlText w:val="%8)"/>
      <w:lvlJc w:val="left"/>
      <w:pPr>
        <w:ind w:left="3810" w:hanging="420"/>
      </w:pPr>
    </w:lvl>
    <w:lvl w:ilvl="8" w:tentative="0">
      <w:start w:val="1"/>
      <w:numFmt w:val="lowerRoman"/>
      <w:lvlText w:val="%9."/>
      <w:lvlJc w:val="right"/>
      <w:pPr>
        <w:ind w:left="4230" w:hanging="420"/>
      </w:pPr>
    </w:lvl>
  </w:abstractNum>
  <w:abstractNum w:abstractNumId="31">
    <w:nsid w:val="0DE418EB"/>
    <w:multiLevelType w:val="multilevel"/>
    <w:tmpl w:val="0DE418EB"/>
    <w:lvl w:ilvl="0" w:tentative="0">
      <w:start w:val="1"/>
      <w:numFmt w:val="decimal"/>
      <w:lvlText w:val="%1."/>
      <w:lvlJc w:val="left"/>
      <w:pPr>
        <w:ind w:left="2145"/>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1" w:tentative="0">
      <w:start w:val="1"/>
      <w:numFmt w:val="lowerLetter"/>
      <w:lvlText w:val="%2"/>
      <w:lvlJc w:val="left"/>
      <w:pPr>
        <w:ind w:left="252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2" w:tentative="0">
      <w:start w:val="1"/>
      <w:numFmt w:val="lowerRoman"/>
      <w:lvlText w:val="%3"/>
      <w:lvlJc w:val="left"/>
      <w:pPr>
        <w:ind w:left="324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3" w:tentative="0">
      <w:start w:val="1"/>
      <w:numFmt w:val="decimal"/>
      <w:lvlText w:val="%4"/>
      <w:lvlJc w:val="left"/>
      <w:pPr>
        <w:ind w:left="396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4" w:tentative="0">
      <w:start w:val="1"/>
      <w:numFmt w:val="lowerLetter"/>
      <w:lvlText w:val="%5"/>
      <w:lvlJc w:val="left"/>
      <w:pPr>
        <w:ind w:left="468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5" w:tentative="0">
      <w:start w:val="1"/>
      <w:numFmt w:val="lowerRoman"/>
      <w:lvlText w:val="%6"/>
      <w:lvlJc w:val="left"/>
      <w:pPr>
        <w:ind w:left="540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6" w:tentative="0">
      <w:start w:val="1"/>
      <w:numFmt w:val="decimal"/>
      <w:lvlText w:val="%7"/>
      <w:lvlJc w:val="left"/>
      <w:pPr>
        <w:ind w:left="612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7" w:tentative="0">
      <w:start w:val="1"/>
      <w:numFmt w:val="lowerLetter"/>
      <w:lvlText w:val="%8"/>
      <w:lvlJc w:val="left"/>
      <w:pPr>
        <w:ind w:left="684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8" w:tentative="0">
      <w:start w:val="1"/>
      <w:numFmt w:val="lowerRoman"/>
      <w:lvlText w:val="%9"/>
      <w:lvlJc w:val="left"/>
      <w:pPr>
        <w:ind w:left="756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abstractNum>
  <w:abstractNum w:abstractNumId="32">
    <w:nsid w:val="0F085CB1"/>
    <w:multiLevelType w:val="multilevel"/>
    <w:tmpl w:val="0F085CB1"/>
    <w:lvl w:ilvl="0" w:tentative="0">
      <w:start w:val="1"/>
      <w:numFmt w:val="lowerLetter"/>
      <w:lvlText w:val="%1."/>
      <w:lvlJc w:val="left"/>
      <w:pPr>
        <w:ind w:left="840" w:hanging="420"/>
      </w:pPr>
      <w:rPr>
        <w:rFonts w:hint="eastAsia"/>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33">
    <w:nsid w:val="10512F67"/>
    <w:multiLevelType w:val="multilevel"/>
    <w:tmpl w:val="10512F67"/>
    <w:lvl w:ilvl="0" w:tentative="0">
      <w:start w:val="1"/>
      <w:numFmt w:val="decimal"/>
      <w:lvlText w:val="%1)"/>
      <w:lvlJc w:val="left"/>
      <w:pPr>
        <w:ind w:left="840"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34">
    <w:nsid w:val="11B4FAD0"/>
    <w:multiLevelType w:val="singleLevel"/>
    <w:tmpl w:val="11B4FAD0"/>
    <w:lvl w:ilvl="0" w:tentative="0">
      <w:start w:val="1"/>
      <w:numFmt w:val="decimal"/>
      <w:lvlText w:val="%1."/>
      <w:lvlJc w:val="left"/>
      <w:pPr>
        <w:ind w:left="425" w:hanging="425"/>
      </w:pPr>
      <w:rPr>
        <w:rFonts w:hint="default"/>
      </w:rPr>
    </w:lvl>
  </w:abstractNum>
  <w:abstractNum w:abstractNumId="35">
    <w:nsid w:val="12D9354A"/>
    <w:multiLevelType w:val="multilevel"/>
    <w:tmpl w:val="12D9354A"/>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6">
    <w:nsid w:val="143E3059"/>
    <w:multiLevelType w:val="multilevel"/>
    <w:tmpl w:val="143E3059"/>
    <w:lvl w:ilvl="0" w:tentative="0">
      <w:start w:val="1"/>
      <w:numFmt w:val="decimal"/>
      <w:lvlText w:val="%1"/>
      <w:lvlJc w:val="left"/>
      <w:pPr>
        <w:ind w:left="425" w:hanging="425"/>
      </w:pPr>
      <w:rPr>
        <w:rFonts w:hint="default"/>
      </w:rPr>
    </w:lvl>
    <w:lvl w:ilvl="1" w:tentative="0">
      <w:start w:val="1"/>
      <w:numFmt w:val="decimal"/>
      <w:lvlText w:val="%1.%2"/>
      <w:lvlJc w:val="left"/>
      <w:pPr>
        <w:ind w:left="567" w:hanging="567"/>
      </w:pPr>
      <w:rPr>
        <w:rFonts w:hint="eastAsia"/>
      </w:rPr>
    </w:lvl>
    <w:lvl w:ilvl="2" w:tentative="0">
      <w:start w:val="1"/>
      <w:numFmt w:val="decimal"/>
      <w:lvlText w:val="%1.%2.%3"/>
      <w:lvlJc w:val="left"/>
      <w:pPr>
        <w:ind w:left="567" w:hanging="567"/>
      </w:pPr>
      <w:rPr>
        <w:rFonts w:hint="default"/>
      </w:rPr>
    </w:lvl>
    <w:lvl w:ilvl="3" w:tentative="0">
      <w:start w:val="1"/>
      <w:numFmt w:val="decimal"/>
      <w:lvlText w:val="%1.%2.%3.%4"/>
      <w:lvlJc w:val="left"/>
      <w:pPr>
        <w:ind w:left="1984" w:hanging="708"/>
      </w:pPr>
      <w:rPr>
        <w:rFonts w:hint="default"/>
      </w:rPr>
    </w:lvl>
    <w:lvl w:ilvl="4" w:tentative="0">
      <w:start w:val="1"/>
      <w:numFmt w:val="decimal"/>
      <w:lvlText w:val="%1.%2.%3.%4.%5"/>
      <w:lvlJc w:val="left"/>
      <w:pPr>
        <w:ind w:left="2551" w:hanging="850"/>
      </w:pPr>
      <w:rPr>
        <w:rFonts w:hint="default"/>
      </w:rPr>
    </w:lvl>
    <w:lvl w:ilvl="5" w:tentative="0">
      <w:start w:val="1"/>
      <w:numFmt w:val="decimal"/>
      <w:lvlText w:val="%1.%2.%3.%4.%5.%6"/>
      <w:lvlJc w:val="left"/>
      <w:pPr>
        <w:ind w:left="3260" w:hanging="1134"/>
      </w:pPr>
      <w:rPr>
        <w:rFonts w:hint="default"/>
      </w:rPr>
    </w:lvl>
    <w:lvl w:ilvl="6" w:tentative="0">
      <w:start w:val="1"/>
      <w:numFmt w:val="decimal"/>
      <w:lvlText w:val="%1.%2.%3.%4.%5.%6.%7"/>
      <w:lvlJc w:val="left"/>
      <w:pPr>
        <w:ind w:left="3827" w:hanging="1276"/>
      </w:pPr>
      <w:rPr>
        <w:rFonts w:hint="default"/>
      </w:rPr>
    </w:lvl>
    <w:lvl w:ilvl="7" w:tentative="0">
      <w:start w:val="1"/>
      <w:numFmt w:val="decimal"/>
      <w:lvlText w:val="%1.%2.%3.%4.%5.%6.%7.%8"/>
      <w:lvlJc w:val="left"/>
      <w:pPr>
        <w:ind w:left="4394" w:hanging="1418"/>
      </w:pPr>
      <w:rPr>
        <w:rFonts w:hint="default"/>
      </w:rPr>
    </w:lvl>
    <w:lvl w:ilvl="8" w:tentative="0">
      <w:start w:val="1"/>
      <w:numFmt w:val="decimal"/>
      <w:lvlText w:val="%1.%2.%3.%4.%5.%6.%7.%8.%9"/>
      <w:lvlJc w:val="left"/>
      <w:pPr>
        <w:ind w:left="5102" w:hanging="1700"/>
      </w:pPr>
      <w:rPr>
        <w:rFonts w:hint="default"/>
      </w:rPr>
    </w:lvl>
  </w:abstractNum>
  <w:abstractNum w:abstractNumId="37">
    <w:nsid w:val="1546560E"/>
    <w:multiLevelType w:val="multilevel"/>
    <w:tmpl w:val="1546560E"/>
    <w:lvl w:ilvl="0" w:tentative="0">
      <w:start w:val="1"/>
      <w:numFmt w:val="decimal"/>
      <w:lvlText w:val="%1."/>
      <w:lvlJc w:val="left"/>
      <w:pPr>
        <w:ind w:left="2145"/>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1" w:tentative="0">
      <w:start w:val="1"/>
      <w:numFmt w:val="lowerLetter"/>
      <w:lvlText w:val="%2"/>
      <w:lvlJc w:val="left"/>
      <w:pPr>
        <w:ind w:left="252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2" w:tentative="0">
      <w:start w:val="1"/>
      <w:numFmt w:val="lowerRoman"/>
      <w:lvlText w:val="%3"/>
      <w:lvlJc w:val="left"/>
      <w:pPr>
        <w:ind w:left="324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3" w:tentative="0">
      <w:start w:val="1"/>
      <w:numFmt w:val="decimal"/>
      <w:lvlText w:val="%4"/>
      <w:lvlJc w:val="left"/>
      <w:pPr>
        <w:ind w:left="396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4" w:tentative="0">
      <w:start w:val="1"/>
      <w:numFmt w:val="lowerLetter"/>
      <w:lvlText w:val="%5"/>
      <w:lvlJc w:val="left"/>
      <w:pPr>
        <w:ind w:left="468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5" w:tentative="0">
      <w:start w:val="1"/>
      <w:numFmt w:val="lowerRoman"/>
      <w:lvlText w:val="%6"/>
      <w:lvlJc w:val="left"/>
      <w:pPr>
        <w:ind w:left="540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6" w:tentative="0">
      <w:start w:val="1"/>
      <w:numFmt w:val="decimal"/>
      <w:lvlText w:val="%7"/>
      <w:lvlJc w:val="left"/>
      <w:pPr>
        <w:ind w:left="612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7" w:tentative="0">
      <w:start w:val="1"/>
      <w:numFmt w:val="lowerLetter"/>
      <w:lvlText w:val="%8"/>
      <w:lvlJc w:val="left"/>
      <w:pPr>
        <w:ind w:left="684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8" w:tentative="0">
      <w:start w:val="1"/>
      <w:numFmt w:val="lowerRoman"/>
      <w:lvlText w:val="%9"/>
      <w:lvlJc w:val="left"/>
      <w:pPr>
        <w:ind w:left="756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abstractNum>
  <w:abstractNum w:abstractNumId="38">
    <w:nsid w:val="17DD3E48"/>
    <w:multiLevelType w:val="multilevel"/>
    <w:tmpl w:val="17DD3E48"/>
    <w:lvl w:ilvl="0" w:tentative="0">
      <w:start w:val="1"/>
      <w:numFmt w:val="decimal"/>
      <w:lvlText w:val="%1)"/>
      <w:lvlJc w:val="left"/>
      <w:pPr>
        <w:ind w:left="840"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39">
    <w:nsid w:val="18E830A4"/>
    <w:multiLevelType w:val="multilevel"/>
    <w:tmpl w:val="18E830A4"/>
    <w:lvl w:ilvl="0" w:tentative="0">
      <w:start w:val="1"/>
      <w:numFmt w:val="decimal"/>
      <w:lvlText w:val="%1."/>
      <w:lvlJc w:val="left"/>
      <w:pPr>
        <w:ind w:left="870" w:hanging="420"/>
      </w:pPr>
      <w:rPr>
        <w:rFonts w:hint="eastAsia"/>
      </w:rPr>
    </w:lvl>
    <w:lvl w:ilvl="1" w:tentative="0">
      <w:start w:val="1"/>
      <w:numFmt w:val="lowerLetter"/>
      <w:lvlText w:val="%2)"/>
      <w:lvlJc w:val="left"/>
      <w:pPr>
        <w:ind w:left="1290" w:hanging="420"/>
      </w:pPr>
    </w:lvl>
    <w:lvl w:ilvl="2" w:tentative="0">
      <w:start w:val="1"/>
      <w:numFmt w:val="lowerRoman"/>
      <w:lvlText w:val="%3."/>
      <w:lvlJc w:val="right"/>
      <w:pPr>
        <w:ind w:left="1710" w:hanging="420"/>
      </w:pPr>
    </w:lvl>
    <w:lvl w:ilvl="3" w:tentative="0">
      <w:start w:val="1"/>
      <w:numFmt w:val="decimal"/>
      <w:lvlText w:val="%4."/>
      <w:lvlJc w:val="left"/>
      <w:pPr>
        <w:ind w:left="2130" w:hanging="420"/>
      </w:pPr>
    </w:lvl>
    <w:lvl w:ilvl="4" w:tentative="0">
      <w:start w:val="1"/>
      <w:numFmt w:val="lowerLetter"/>
      <w:lvlText w:val="%5)"/>
      <w:lvlJc w:val="left"/>
      <w:pPr>
        <w:ind w:left="2550" w:hanging="420"/>
      </w:pPr>
    </w:lvl>
    <w:lvl w:ilvl="5" w:tentative="0">
      <w:start w:val="1"/>
      <w:numFmt w:val="lowerRoman"/>
      <w:lvlText w:val="%6."/>
      <w:lvlJc w:val="right"/>
      <w:pPr>
        <w:ind w:left="2970" w:hanging="420"/>
      </w:pPr>
    </w:lvl>
    <w:lvl w:ilvl="6" w:tentative="0">
      <w:start w:val="1"/>
      <w:numFmt w:val="decimal"/>
      <w:lvlText w:val="%7."/>
      <w:lvlJc w:val="left"/>
      <w:pPr>
        <w:ind w:left="3390" w:hanging="420"/>
      </w:pPr>
    </w:lvl>
    <w:lvl w:ilvl="7" w:tentative="0">
      <w:start w:val="1"/>
      <w:numFmt w:val="lowerLetter"/>
      <w:lvlText w:val="%8)"/>
      <w:lvlJc w:val="left"/>
      <w:pPr>
        <w:ind w:left="3810" w:hanging="420"/>
      </w:pPr>
    </w:lvl>
    <w:lvl w:ilvl="8" w:tentative="0">
      <w:start w:val="1"/>
      <w:numFmt w:val="lowerRoman"/>
      <w:lvlText w:val="%9."/>
      <w:lvlJc w:val="right"/>
      <w:pPr>
        <w:ind w:left="4230" w:hanging="420"/>
      </w:pPr>
    </w:lvl>
  </w:abstractNum>
  <w:abstractNum w:abstractNumId="40">
    <w:nsid w:val="19E64260"/>
    <w:multiLevelType w:val="multilevel"/>
    <w:tmpl w:val="19E64260"/>
    <w:lvl w:ilvl="0" w:tentative="0">
      <w:start w:val="1"/>
      <w:numFmt w:val="lowerRoman"/>
      <w:lvlText w:val="%1."/>
      <w:lvlJc w:val="left"/>
      <w:pPr>
        <w:ind w:left="2970"/>
      </w:pPr>
      <w:rPr>
        <w:rFonts w:ascii="等线" w:hAnsi="等线" w:eastAsia="等线" w:cs="等线"/>
        <w:b w:val="0"/>
        <w:i w:val="0"/>
        <w:strike w:val="0"/>
        <w:dstrike w:val="0"/>
        <w:color w:val="000000"/>
        <w:sz w:val="24"/>
        <w:szCs w:val="24"/>
        <w:u w:val="none" w:color="000000"/>
        <w:shd w:val="clear" w:color="auto" w:fill="auto"/>
        <w:vertAlign w:val="baseline"/>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1">
    <w:nsid w:val="1B843E92"/>
    <w:multiLevelType w:val="multilevel"/>
    <w:tmpl w:val="1B843E92"/>
    <w:lvl w:ilvl="0" w:tentative="0">
      <w:start w:val="1"/>
      <w:numFmt w:val="decimal"/>
      <w:lvlText w:val="%1)"/>
      <w:lvlJc w:val="left"/>
      <w:pPr>
        <w:ind w:left="840"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42">
    <w:nsid w:val="1C8C56B2"/>
    <w:multiLevelType w:val="multilevel"/>
    <w:tmpl w:val="1C8C56B2"/>
    <w:lvl w:ilvl="0" w:tentative="0">
      <w:start w:val="1"/>
      <w:numFmt w:val="decimal"/>
      <w:lvlText w:val="%1."/>
      <w:lvlJc w:val="left"/>
      <w:pPr>
        <w:ind w:left="2145"/>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1" w:tentative="0">
      <w:start w:val="1"/>
      <w:numFmt w:val="lowerLetter"/>
      <w:lvlText w:val="%2"/>
      <w:lvlJc w:val="left"/>
      <w:pPr>
        <w:ind w:left="252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2" w:tentative="0">
      <w:start w:val="1"/>
      <w:numFmt w:val="lowerRoman"/>
      <w:lvlText w:val="%3"/>
      <w:lvlJc w:val="left"/>
      <w:pPr>
        <w:ind w:left="324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3" w:tentative="0">
      <w:start w:val="1"/>
      <w:numFmt w:val="decimal"/>
      <w:lvlText w:val="%4"/>
      <w:lvlJc w:val="left"/>
      <w:pPr>
        <w:ind w:left="396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4" w:tentative="0">
      <w:start w:val="1"/>
      <w:numFmt w:val="lowerLetter"/>
      <w:lvlText w:val="%5"/>
      <w:lvlJc w:val="left"/>
      <w:pPr>
        <w:ind w:left="468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5" w:tentative="0">
      <w:start w:val="1"/>
      <w:numFmt w:val="lowerRoman"/>
      <w:lvlText w:val="%6"/>
      <w:lvlJc w:val="left"/>
      <w:pPr>
        <w:ind w:left="540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6" w:tentative="0">
      <w:start w:val="1"/>
      <w:numFmt w:val="decimal"/>
      <w:lvlText w:val="%7"/>
      <w:lvlJc w:val="left"/>
      <w:pPr>
        <w:ind w:left="612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7" w:tentative="0">
      <w:start w:val="1"/>
      <w:numFmt w:val="lowerLetter"/>
      <w:lvlText w:val="%8"/>
      <w:lvlJc w:val="left"/>
      <w:pPr>
        <w:ind w:left="684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8" w:tentative="0">
      <w:start w:val="1"/>
      <w:numFmt w:val="lowerRoman"/>
      <w:lvlText w:val="%9"/>
      <w:lvlJc w:val="left"/>
      <w:pPr>
        <w:ind w:left="756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abstractNum>
  <w:abstractNum w:abstractNumId="43">
    <w:nsid w:val="1DF90E00"/>
    <w:multiLevelType w:val="multilevel"/>
    <w:tmpl w:val="1DF90E00"/>
    <w:lvl w:ilvl="0" w:tentative="0">
      <w:start w:val="1"/>
      <w:numFmt w:val="decimal"/>
      <w:lvlText w:val="%1."/>
      <w:lvlJc w:val="left"/>
      <w:pPr>
        <w:ind w:left="420" w:hanging="420"/>
      </w:pPr>
      <w:rPr>
        <w:sz w:val="21"/>
        <w:szCs w:val="21"/>
      </w:rPr>
    </w:lvl>
    <w:lvl w:ilvl="1" w:tentative="0">
      <w:start w:val="22"/>
      <w:numFmt w:val="bullet"/>
      <w:lvlText w:val="▲"/>
      <w:lvlJc w:val="left"/>
      <w:pPr>
        <w:ind w:left="780" w:hanging="360"/>
      </w:pPr>
      <w:rPr>
        <w:rFonts w:hint="eastAsia" w:ascii="宋体" w:hAnsi="宋体" w:eastAsia="宋体" w:cs="宋体"/>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4">
    <w:nsid w:val="1E0A1380"/>
    <w:multiLevelType w:val="multilevel"/>
    <w:tmpl w:val="1E0A1380"/>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5">
    <w:nsid w:val="1E77683B"/>
    <w:multiLevelType w:val="multilevel"/>
    <w:tmpl w:val="1E77683B"/>
    <w:lvl w:ilvl="0" w:tentative="0">
      <w:start w:val="1"/>
      <w:numFmt w:val="decimal"/>
      <w:lvlText w:val="%1."/>
      <w:lvlJc w:val="left"/>
      <w:pPr>
        <w:ind w:left="2145"/>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1" w:tentative="0">
      <w:start w:val="1"/>
      <w:numFmt w:val="lowerLetter"/>
      <w:lvlText w:val="%2"/>
      <w:lvlJc w:val="left"/>
      <w:pPr>
        <w:ind w:left="252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2" w:tentative="0">
      <w:start w:val="1"/>
      <w:numFmt w:val="lowerRoman"/>
      <w:lvlText w:val="%3"/>
      <w:lvlJc w:val="left"/>
      <w:pPr>
        <w:ind w:left="324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3" w:tentative="0">
      <w:start w:val="1"/>
      <w:numFmt w:val="decimal"/>
      <w:lvlText w:val="%4"/>
      <w:lvlJc w:val="left"/>
      <w:pPr>
        <w:ind w:left="396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4" w:tentative="0">
      <w:start w:val="1"/>
      <w:numFmt w:val="lowerLetter"/>
      <w:lvlText w:val="%5"/>
      <w:lvlJc w:val="left"/>
      <w:pPr>
        <w:ind w:left="468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5" w:tentative="0">
      <w:start w:val="1"/>
      <w:numFmt w:val="lowerRoman"/>
      <w:lvlText w:val="%6"/>
      <w:lvlJc w:val="left"/>
      <w:pPr>
        <w:ind w:left="540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6" w:tentative="0">
      <w:start w:val="1"/>
      <w:numFmt w:val="decimal"/>
      <w:lvlText w:val="%7"/>
      <w:lvlJc w:val="left"/>
      <w:pPr>
        <w:ind w:left="612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7" w:tentative="0">
      <w:start w:val="1"/>
      <w:numFmt w:val="lowerLetter"/>
      <w:lvlText w:val="%8"/>
      <w:lvlJc w:val="left"/>
      <w:pPr>
        <w:ind w:left="684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8" w:tentative="0">
      <w:start w:val="1"/>
      <w:numFmt w:val="lowerRoman"/>
      <w:lvlText w:val="%9"/>
      <w:lvlJc w:val="left"/>
      <w:pPr>
        <w:ind w:left="756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abstractNum>
  <w:abstractNum w:abstractNumId="46">
    <w:nsid w:val="1EFD7AD1"/>
    <w:multiLevelType w:val="multilevel"/>
    <w:tmpl w:val="1EFD7AD1"/>
    <w:lvl w:ilvl="0" w:tentative="0">
      <w:start w:val="1"/>
      <w:numFmt w:val="decimal"/>
      <w:lvlText w:val="%1."/>
      <w:lvlJc w:val="left"/>
      <w:pPr>
        <w:ind w:left="1680" w:hanging="420"/>
      </w:pPr>
      <w:rPr>
        <w:rFonts w:hint="default"/>
        <w:color w:val="auto"/>
      </w:rPr>
    </w:lvl>
    <w:lvl w:ilvl="1" w:tentative="0">
      <w:start w:val="1"/>
      <w:numFmt w:val="lowerLetter"/>
      <w:lvlText w:val="%2)"/>
      <w:lvlJc w:val="left"/>
      <w:pPr>
        <w:ind w:left="2100" w:hanging="420"/>
      </w:pPr>
    </w:lvl>
    <w:lvl w:ilvl="2" w:tentative="0">
      <w:start w:val="1"/>
      <w:numFmt w:val="lowerRoman"/>
      <w:lvlText w:val="%3."/>
      <w:lvlJc w:val="right"/>
      <w:pPr>
        <w:ind w:left="2520" w:hanging="420"/>
      </w:pPr>
    </w:lvl>
    <w:lvl w:ilvl="3" w:tentative="0">
      <w:start w:val="1"/>
      <w:numFmt w:val="decimal"/>
      <w:lvlText w:val="%4."/>
      <w:lvlJc w:val="left"/>
      <w:pPr>
        <w:ind w:left="2940" w:hanging="420"/>
      </w:pPr>
    </w:lvl>
    <w:lvl w:ilvl="4" w:tentative="0">
      <w:start w:val="1"/>
      <w:numFmt w:val="lowerLetter"/>
      <w:lvlText w:val="%5)"/>
      <w:lvlJc w:val="left"/>
      <w:pPr>
        <w:ind w:left="3360" w:hanging="420"/>
      </w:pPr>
    </w:lvl>
    <w:lvl w:ilvl="5" w:tentative="0">
      <w:start w:val="1"/>
      <w:numFmt w:val="lowerRoman"/>
      <w:lvlText w:val="%6."/>
      <w:lvlJc w:val="right"/>
      <w:pPr>
        <w:ind w:left="3780" w:hanging="420"/>
      </w:pPr>
    </w:lvl>
    <w:lvl w:ilvl="6" w:tentative="0">
      <w:start w:val="1"/>
      <w:numFmt w:val="decimal"/>
      <w:lvlText w:val="%7."/>
      <w:lvlJc w:val="left"/>
      <w:pPr>
        <w:ind w:left="4200" w:hanging="420"/>
      </w:pPr>
    </w:lvl>
    <w:lvl w:ilvl="7" w:tentative="0">
      <w:start w:val="1"/>
      <w:numFmt w:val="lowerLetter"/>
      <w:lvlText w:val="%8)"/>
      <w:lvlJc w:val="left"/>
      <w:pPr>
        <w:ind w:left="4620" w:hanging="420"/>
      </w:pPr>
    </w:lvl>
    <w:lvl w:ilvl="8" w:tentative="0">
      <w:start w:val="1"/>
      <w:numFmt w:val="lowerRoman"/>
      <w:lvlText w:val="%9."/>
      <w:lvlJc w:val="right"/>
      <w:pPr>
        <w:ind w:left="5040" w:hanging="420"/>
      </w:pPr>
    </w:lvl>
  </w:abstractNum>
  <w:abstractNum w:abstractNumId="47">
    <w:nsid w:val="1F4300EF"/>
    <w:multiLevelType w:val="multilevel"/>
    <w:tmpl w:val="1F4300EF"/>
    <w:lvl w:ilvl="0" w:tentative="0">
      <w:start w:val="1"/>
      <w:numFmt w:val="decimal"/>
      <w:lvlText w:val="%1."/>
      <w:lvlJc w:val="left"/>
      <w:pPr>
        <w:ind w:left="870" w:hanging="420"/>
      </w:pPr>
      <w:rPr>
        <w:rFonts w:hint="eastAsia"/>
      </w:rPr>
    </w:lvl>
    <w:lvl w:ilvl="1" w:tentative="0">
      <w:start w:val="1"/>
      <w:numFmt w:val="lowerLetter"/>
      <w:lvlText w:val="%2)"/>
      <w:lvlJc w:val="left"/>
      <w:pPr>
        <w:ind w:left="1290" w:hanging="420"/>
      </w:pPr>
    </w:lvl>
    <w:lvl w:ilvl="2" w:tentative="0">
      <w:start w:val="1"/>
      <w:numFmt w:val="lowerRoman"/>
      <w:lvlText w:val="%3."/>
      <w:lvlJc w:val="right"/>
      <w:pPr>
        <w:ind w:left="1710" w:hanging="420"/>
      </w:pPr>
    </w:lvl>
    <w:lvl w:ilvl="3" w:tentative="0">
      <w:start w:val="1"/>
      <w:numFmt w:val="decimal"/>
      <w:lvlText w:val="%4."/>
      <w:lvlJc w:val="left"/>
      <w:pPr>
        <w:ind w:left="2130" w:hanging="420"/>
      </w:pPr>
    </w:lvl>
    <w:lvl w:ilvl="4" w:tentative="0">
      <w:start w:val="1"/>
      <w:numFmt w:val="lowerLetter"/>
      <w:lvlText w:val="%5)"/>
      <w:lvlJc w:val="left"/>
      <w:pPr>
        <w:ind w:left="2550" w:hanging="420"/>
      </w:pPr>
    </w:lvl>
    <w:lvl w:ilvl="5" w:tentative="0">
      <w:start w:val="1"/>
      <w:numFmt w:val="lowerRoman"/>
      <w:lvlText w:val="%6."/>
      <w:lvlJc w:val="right"/>
      <w:pPr>
        <w:ind w:left="2970" w:hanging="420"/>
      </w:pPr>
    </w:lvl>
    <w:lvl w:ilvl="6" w:tentative="0">
      <w:start w:val="1"/>
      <w:numFmt w:val="decimal"/>
      <w:lvlText w:val="%7."/>
      <w:lvlJc w:val="left"/>
      <w:pPr>
        <w:ind w:left="3390" w:hanging="420"/>
      </w:pPr>
    </w:lvl>
    <w:lvl w:ilvl="7" w:tentative="0">
      <w:start w:val="1"/>
      <w:numFmt w:val="lowerLetter"/>
      <w:lvlText w:val="%8)"/>
      <w:lvlJc w:val="left"/>
      <w:pPr>
        <w:ind w:left="3810" w:hanging="420"/>
      </w:pPr>
    </w:lvl>
    <w:lvl w:ilvl="8" w:tentative="0">
      <w:start w:val="1"/>
      <w:numFmt w:val="lowerRoman"/>
      <w:lvlText w:val="%9."/>
      <w:lvlJc w:val="right"/>
      <w:pPr>
        <w:ind w:left="4230" w:hanging="420"/>
      </w:pPr>
    </w:lvl>
  </w:abstractNum>
  <w:abstractNum w:abstractNumId="48">
    <w:nsid w:val="1FD517B7"/>
    <w:multiLevelType w:val="singleLevel"/>
    <w:tmpl w:val="1FD517B7"/>
    <w:lvl w:ilvl="0" w:tentative="0">
      <w:start w:val="1"/>
      <w:numFmt w:val="decimal"/>
      <w:suff w:val="nothing"/>
      <w:lvlText w:val="（%1）"/>
      <w:lvlJc w:val="left"/>
      <w:pPr>
        <w:ind w:left="70"/>
      </w:pPr>
    </w:lvl>
  </w:abstractNum>
  <w:abstractNum w:abstractNumId="49">
    <w:nsid w:val="20E7670E"/>
    <w:multiLevelType w:val="multilevel"/>
    <w:tmpl w:val="20E7670E"/>
    <w:lvl w:ilvl="0" w:tentative="0">
      <w:start w:val="1"/>
      <w:numFmt w:val="decimal"/>
      <w:lvlText w:val="%1."/>
      <w:lvlJc w:val="left"/>
      <w:pPr>
        <w:ind w:left="2145"/>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1" w:tentative="0">
      <w:start w:val="1"/>
      <w:numFmt w:val="lowerLetter"/>
      <w:lvlText w:val="%2"/>
      <w:lvlJc w:val="left"/>
      <w:pPr>
        <w:ind w:left="252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2" w:tentative="0">
      <w:start w:val="1"/>
      <w:numFmt w:val="lowerRoman"/>
      <w:lvlText w:val="%3"/>
      <w:lvlJc w:val="left"/>
      <w:pPr>
        <w:ind w:left="324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3" w:tentative="0">
      <w:start w:val="1"/>
      <w:numFmt w:val="decimal"/>
      <w:lvlText w:val="%4"/>
      <w:lvlJc w:val="left"/>
      <w:pPr>
        <w:ind w:left="396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4" w:tentative="0">
      <w:start w:val="1"/>
      <w:numFmt w:val="lowerLetter"/>
      <w:lvlText w:val="%5"/>
      <w:lvlJc w:val="left"/>
      <w:pPr>
        <w:ind w:left="468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5" w:tentative="0">
      <w:start w:val="1"/>
      <w:numFmt w:val="lowerRoman"/>
      <w:lvlText w:val="%6"/>
      <w:lvlJc w:val="left"/>
      <w:pPr>
        <w:ind w:left="540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6" w:tentative="0">
      <w:start w:val="1"/>
      <w:numFmt w:val="decimal"/>
      <w:lvlText w:val="%7"/>
      <w:lvlJc w:val="left"/>
      <w:pPr>
        <w:ind w:left="612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7" w:tentative="0">
      <w:start w:val="1"/>
      <w:numFmt w:val="lowerLetter"/>
      <w:lvlText w:val="%8"/>
      <w:lvlJc w:val="left"/>
      <w:pPr>
        <w:ind w:left="684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8" w:tentative="0">
      <w:start w:val="1"/>
      <w:numFmt w:val="lowerRoman"/>
      <w:lvlText w:val="%9"/>
      <w:lvlJc w:val="left"/>
      <w:pPr>
        <w:ind w:left="756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abstractNum>
  <w:abstractNum w:abstractNumId="50">
    <w:nsid w:val="21672EA5"/>
    <w:multiLevelType w:val="multilevel"/>
    <w:tmpl w:val="21672EA5"/>
    <w:lvl w:ilvl="0" w:tentative="0">
      <w:start w:val="1"/>
      <w:numFmt w:val="decimal"/>
      <w:lvlText w:val="%1."/>
      <w:lvlJc w:val="left"/>
      <w:pPr>
        <w:ind w:left="2145"/>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1" w:tentative="0">
      <w:start w:val="1"/>
      <w:numFmt w:val="lowerLetter"/>
      <w:lvlText w:val="%2"/>
      <w:lvlJc w:val="left"/>
      <w:pPr>
        <w:ind w:left="252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2" w:tentative="0">
      <w:start w:val="1"/>
      <w:numFmt w:val="lowerRoman"/>
      <w:lvlText w:val="%3"/>
      <w:lvlJc w:val="left"/>
      <w:pPr>
        <w:ind w:left="324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3" w:tentative="0">
      <w:start w:val="1"/>
      <w:numFmt w:val="decimal"/>
      <w:lvlText w:val="%4"/>
      <w:lvlJc w:val="left"/>
      <w:pPr>
        <w:ind w:left="396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4" w:tentative="0">
      <w:start w:val="1"/>
      <w:numFmt w:val="lowerLetter"/>
      <w:lvlText w:val="%5"/>
      <w:lvlJc w:val="left"/>
      <w:pPr>
        <w:ind w:left="468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5" w:tentative="0">
      <w:start w:val="1"/>
      <w:numFmt w:val="lowerRoman"/>
      <w:lvlText w:val="%6"/>
      <w:lvlJc w:val="left"/>
      <w:pPr>
        <w:ind w:left="540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6" w:tentative="0">
      <w:start w:val="1"/>
      <w:numFmt w:val="decimal"/>
      <w:lvlText w:val="%7"/>
      <w:lvlJc w:val="left"/>
      <w:pPr>
        <w:ind w:left="612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7" w:tentative="0">
      <w:start w:val="1"/>
      <w:numFmt w:val="lowerLetter"/>
      <w:lvlText w:val="%8"/>
      <w:lvlJc w:val="left"/>
      <w:pPr>
        <w:ind w:left="684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8" w:tentative="0">
      <w:start w:val="1"/>
      <w:numFmt w:val="lowerRoman"/>
      <w:lvlText w:val="%9"/>
      <w:lvlJc w:val="left"/>
      <w:pPr>
        <w:ind w:left="756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abstractNum>
  <w:abstractNum w:abstractNumId="51">
    <w:nsid w:val="224C66B7"/>
    <w:multiLevelType w:val="multilevel"/>
    <w:tmpl w:val="224C66B7"/>
    <w:lvl w:ilvl="0" w:tentative="0">
      <w:start w:val="1"/>
      <w:numFmt w:val="decimal"/>
      <w:lvlText w:val="%1."/>
      <w:lvlJc w:val="left"/>
      <w:pPr>
        <w:ind w:left="870" w:hanging="420"/>
      </w:pPr>
      <w:rPr>
        <w:rFonts w:hint="eastAsia"/>
      </w:rPr>
    </w:lvl>
    <w:lvl w:ilvl="1" w:tentative="0">
      <w:start w:val="1"/>
      <w:numFmt w:val="lowerLetter"/>
      <w:lvlText w:val="%2)"/>
      <w:lvlJc w:val="left"/>
      <w:pPr>
        <w:ind w:left="1290" w:hanging="420"/>
      </w:pPr>
    </w:lvl>
    <w:lvl w:ilvl="2" w:tentative="0">
      <w:start w:val="1"/>
      <w:numFmt w:val="lowerRoman"/>
      <w:lvlText w:val="%3."/>
      <w:lvlJc w:val="right"/>
      <w:pPr>
        <w:ind w:left="1710" w:hanging="420"/>
      </w:pPr>
    </w:lvl>
    <w:lvl w:ilvl="3" w:tentative="0">
      <w:start w:val="1"/>
      <w:numFmt w:val="decimal"/>
      <w:lvlText w:val="%4."/>
      <w:lvlJc w:val="left"/>
      <w:pPr>
        <w:ind w:left="2130" w:hanging="420"/>
      </w:pPr>
    </w:lvl>
    <w:lvl w:ilvl="4" w:tentative="0">
      <w:start w:val="1"/>
      <w:numFmt w:val="lowerLetter"/>
      <w:lvlText w:val="%5)"/>
      <w:lvlJc w:val="left"/>
      <w:pPr>
        <w:ind w:left="2550" w:hanging="420"/>
      </w:pPr>
    </w:lvl>
    <w:lvl w:ilvl="5" w:tentative="0">
      <w:start w:val="1"/>
      <w:numFmt w:val="lowerRoman"/>
      <w:lvlText w:val="%6."/>
      <w:lvlJc w:val="right"/>
      <w:pPr>
        <w:ind w:left="2970" w:hanging="420"/>
      </w:pPr>
    </w:lvl>
    <w:lvl w:ilvl="6" w:tentative="0">
      <w:start w:val="1"/>
      <w:numFmt w:val="decimal"/>
      <w:lvlText w:val="%7."/>
      <w:lvlJc w:val="left"/>
      <w:pPr>
        <w:ind w:left="3390" w:hanging="420"/>
      </w:pPr>
    </w:lvl>
    <w:lvl w:ilvl="7" w:tentative="0">
      <w:start w:val="1"/>
      <w:numFmt w:val="lowerLetter"/>
      <w:lvlText w:val="%8)"/>
      <w:lvlJc w:val="left"/>
      <w:pPr>
        <w:ind w:left="3810" w:hanging="420"/>
      </w:pPr>
    </w:lvl>
    <w:lvl w:ilvl="8" w:tentative="0">
      <w:start w:val="1"/>
      <w:numFmt w:val="lowerRoman"/>
      <w:lvlText w:val="%9."/>
      <w:lvlJc w:val="right"/>
      <w:pPr>
        <w:ind w:left="4230" w:hanging="420"/>
      </w:pPr>
    </w:lvl>
  </w:abstractNum>
  <w:abstractNum w:abstractNumId="52">
    <w:nsid w:val="22F84194"/>
    <w:multiLevelType w:val="multilevel"/>
    <w:tmpl w:val="22F84194"/>
    <w:lvl w:ilvl="0" w:tentative="0">
      <w:start w:val="1"/>
      <w:numFmt w:val="decimal"/>
      <w:lvlText w:val="%1."/>
      <w:lvlJc w:val="left"/>
      <w:pPr>
        <w:ind w:left="1177" w:hanging="420"/>
      </w:pPr>
    </w:lvl>
    <w:lvl w:ilvl="1" w:tentative="0">
      <w:start w:val="1"/>
      <w:numFmt w:val="lowerLetter"/>
      <w:lvlText w:val="%2)"/>
      <w:lvlJc w:val="left"/>
      <w:pPr>
        <w:ind w:left="1597" w:hanging="420"/>
      </w:pPr>
    </w:lvl>
    <w:lvl w:ilvl="2" w:tentative="0">
      <w:start w:val="1"/>
      <w:numFmt w:val="lowerRoman"/>
      <w:lvlText w:val="%3."/>
      <w:lvlJc w:val="right"/>
      <w:pPr>
        <w:ind w:left="2017" w:hanging="420"/>
      </w:pPr>
    </w:lvl>
    <w:lvl w:ilvl="3" w:tentative="0">
      <w:start w:val="1"/>
      <w:numFmt w:val="decimal"/>
      <w:lvlText w:val="%4."/>
      <w:lvlJc w:val="left"/>
      <w:pPr>
        <w:ind w:left="2437" w:hanging="420"/>
      </w:pPr>
    </w:lvl>
    <w:lvl w:ilvl="4" w:tentative="0">
      <w:start w:val="1"/>
      <w:numFmt w:val="lowerLetter"/>
      <w:lvlText w:val="%5)"/>
      <w:lvlJc w:val="left"/>
      <w:pPr>
        <w:ind w:left="2857" w:hanging="420"/>
      </w:pPr>
    </w:lvl>
    <w:lvl w:ilvl="5" w:tentative="0">
      <w:start w:val="1"/>
      <w:numFmt w:val="lowerRoman"/>
      <w:lvlText w:val="%6."/>
      <w:lvlJc w:val="right"/>
      <w:pPr>
        <w:ind w:left="3277" w:hanging="420"/>
      </w:pPr>
    </w:lvl>
    <w:lvl w:ilvl="6" w:tentative="0">
      <w:start w:val="1"/>
      <w:numFmt w:val="decimal"/>
      <w:lvlText w:val="%7."/>
      <w:lvlJc w:val="left"/>
      <w:pPr>
        <w:ind w:left="3697" w:hanging="420"/>
      </w:pPr>
    </w:lvl>
    <w:lvl w:ilvl="7" w:tentative="0">
      <w:start w:val="1"/>
      <w:numFmt w:val="lowerLetter"/>
      <w:lvlText w:val="%8)"/>
      <w:lvlJc w:val="left"/>
      <w:pPr>
        <w:ind w:left="4117" w:hanging="420"/>
      </w:pPr>
    </w:lvl>
    <w:lvl w:ilvl="8" w:tentative="0">
      <w:start w:val="1"/>
      <w:numFmt w:val="lowerRoman"/>
      <w:lvlText w:val="%9."/>
      <w:lvlJc w:val="right"/>
      <w:pPr>
        <w:ind w:left="4537" w:hanging="420"/>
      </w:pPr>
    </w:lvl>
  </w:abstractNum>
  <w:abstractNum w:abstractNumId="53">
    <w:nsid w:val="26FE0A3A"/>
    <w:multiLevelType w:val="multilevel"/>
    <w:tmpl w:val="26FE0A3A"/>
    <w:lvl w:ilvl="0" w:tentative="0">
      <w:start w:val="1"/>
      <w:numFmt w:val="decimal"/>
      <w:lvlText w:val="%1."/>
      <w:lvlJc w:val="left"/>
      <w:pPr>
        <w:ind w:left="2145"/>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1" w:tentative="0">
      <w:start w:val="1"/>
      <w:numFmt w:val="lowerLetter"/>
      <w:lvlText w:val="%2"/>
      <w:lvlJc w:val="left"/>
      <w:pPr>
        <w:ind w:left="252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2" w:tentative="0">
      <w:start w:val="1"/>
      <w:numFmt w:val="lowerRoman"/>
      <w:lvlText w:val="%3"/>
      <w:lvlJc w:val="left"/>
      <w:pPr>
        <w:ind w:left="324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3" w:tentative="0">
      <w:start w:val="1"/>
      <w:numFmt w:val="decimal"/>
      <w:lvlText w:val="%4"/>
      <w:lvlJc w:val="left"/>
      <w:pPr>
        <w:ind w:left="396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4" w:tentative="0">
      <w:start w:val="1"/>
      <w:numFmt w:val="lowerLetter"/>
      <w:lvlText w:val="%5"/>
      <w:lvlJc w:val="left"/>
      <w:pPr>
        <w:ind w:left="468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5" w:tentative="0">
      <w:start w:val="1"/>
      <w:numFmt w:val="lowerRoman"/>
      <w:lvlText w:val="%6"/>
      <w:lvlJc w:val="left"/>
      <w:pPr>
        <w:ind w:left="540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6" w:tentative="0">
      <w:start w:val="1"/>
      <w:numFmt w:val="decimal"/>
      <w:lvlText w:val="%7"/>
      <w:lvlJc w:val="left"/>
      <w:pPr>
        <w:ind w:left="612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7" w:tentative="0">
      <w:start w:val="1"/>
      <w:numFmt w:val="lowerLetter"/>
      <w:lvlText w:val="%8"/>
      <w:lvlJc w:val="left"/>
      <w:pPr>
        <w:ind w:left="684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8" w:tentative="0">
      <w:start w:val="1"/>
      <w:numFmt w:val="lowerRoman"/>
      <w:lvlText w:val="%9"/>
      <w:lvlJc w:val="left"/>
      <w:pPr>
        <w:ind w:left="756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abstractNum>
  <w:abstractNum w:abstractNumId="54">
    <w:nsid w:val="270F3302"/>
    <w:multiLevelType w:val="multilevel"/>
    <w:tmpl w:val="270F3302"/>
    <w:lvl w:ilvl="0" w:tentative="0">
      <w:start w:val="1"/>
      <w:numFmt w:val="decimal"/>
      <w:lvlText w:val="%1."/>
      <w:lvlJc w:val="left"/>
      <w:pPr>
        <w:ind w:left="870" w:hanging="420"/>
      </w:pPr>
      <w:rPr>
        <w:rFonts w:hint="eastAsia"/>
      </w:rPr>
    </w:lvl>
    <w:lvl w:ilvl="1" w:tentative="0">
      <w:start w:val="1"/>
      <w:numFmt w:val="lowerLetter"/>
      <w:lvlText w:val="%2)"/>
      <w:lvlJc w:val="left"/>
      <w:pPr>
        <w:ind w:left="1290" w:hanging="420"/>
      </w:pPr>
    </w:lvl>
    <w:lvl w:ilvl="2" w:tentative="0">
      <w:start w:val="1"/>
      <w:numFmt w:val="lowerRoman"/>
      <w:lvlText w:val="%3."/>
      <w:lvlJc w:val="right"/>
      <w:pPr>
        <w:ind w:left="1710" w:hanging="420"/>
      </w:pPr>
    </w:lvl>
    <w:lvl w:ilvl="3" w:tentative="0">
      <w:start w:val="1"/>
      <w:numFmt w:val="decimal"/>
      <w:lvlText w:val="%4."/>
      <w:lvlJc w:val="left"/>
      <w:pPr>
        <w:ind w:left="2130" w:hanging="420"/>
      </w:pPr>
    </w:lvl>
    <w:lvl w:ilvl="4" w:tentative="0">
      <w:start w:val="1"/>
      <w:numFmt w:val="lowerLetter"/>
      <w:lvlText w:val="%5)"/>
      <w:lvlJc w:val="left"/>
      <w:pPr>
        <w:ind w:left="2550" w:hanging="420"/>
      </w:pPr>
    </w:lvl>
    <w:lvl w:ilvl="5" w:tentative="0">
      <w:start w:val="1"/>
      <w:numFmt w:val="lowerRoman"/>
      <w:lvlText w:val="%6."/>
      <w:lvlJc w:val="right"/>
      <w:pPr>
        <w:ind w:left="2970" w:hanging="420"/>
      </w:pPr>
    </w:lvl>
    <w:lvl w:ilvl="6" w:tentative="0">
      <w:start w:val="1"/>
      <w:numFmt w:val="decimal"/>
      <w:lvlText w:val="%7."/>
      <w:lvlJc w:val="left"/>
      <w:pPr>
        <w:ind w:left="3390" w:hanging="420"/>
      </w:pPr>
    </w:lvl>
    <w:lvl w:ilvl="7" w:tentative="0">
      <w:start w:val="1"/>
      <w:numFmt w:val="lowerLetter"/>
      <w:lvlText w:val="%8)"/>
      <w:lvlJc w:val="left"/>
      <w:pPr>
        <w:ind w:left="3810" w:hanging="420"/>
      </w:pPr>
    </w:lvl>
    <w:lvl w:ilvl="8" w:tentative="0">
      <w:start w:val="1"/>
      <w:numFmt w:val="lowerRoman"/>
      <w:lvlText w:val="%9."/>
      <w:lvlJc w:val="right"/>
      <w:pPr>
        <w:ind w:left="4230" w:hanging="420"/>
      </w:pPr>
    </w:lvl>
  </w:abstractNum>
  <w:abstractNum w:abstractNumId="55">
    <w:nsid w:val="28910044"/>
    <w:multiLevelType w:val="multilevel"/>
    <w:tmpl w:val="28910044"/>
    <w:lvl w:ilvl="0" w:tentative="0">
      <w:start w:val="1"/>
      <w:numFmt w:val="chineseCountingThousand"/>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56">
    <w:nsid w:val="29560438"/>
    <w:multiLevelType w:val="multilevel"/>
    <w:tmpl w:val="29560438"/>
    <w:lvl w:ilvl="0" w:tentative="0">
      <w:start w:val="1"/>
      <w:numFmt w:val="decimal"/>
      <w:lvlText w:val="%1"/>
      <w:lvlJc w:val="left"/>
      <w:pPr>
        <w:ind w:left="1419" w:firstLine="0"/>
      </w:pPr>
      <w:rPr>
        <w:rFonts w:hint="eastAsia" w:ascii="Times New Roman" w:hAnsi="Times New Roman" w:eastAsia="宋体" w:cs="Times New Roman"/>
        <w:b/>
        <w:bCs/>
        <w:i w:val="0"/>
        <w:strike w:val="0"/>
        <w:dstrike w:val="0"/>
        <w:color w:val="000000"/>
        <w:sz w:val="28"/>
        <w:szCs w:val="28"/>
        <w:u w:val="none" w:color="000000"/>
        <w:shd w:val="clear" w:color="auto" w:fill="auto"/>
        <w:vertAlign w:val="baseline"/>
      </w:rPr>
    </w:lvl>
    <w:lvl w:ilvl="1" w:tentative="0">
      <w:start w:val="1"/>
      <w:numFmt w:val="decimal"/>
      <w:lvlText w:val="%1.%2"/>
      <w:lvlJc w:val="left"/>
      <w:pPr>
        <w:ind w:left="1419" w:firstLine="0"/>
      </w:pPr>
      <w:rPr>
        <w:rFonts w:hint="eastAsia" w:ascii="Times New Roman" w:hAnsi="Times New Roman" w:eastAsia="宋体" w:cs="Times New Roman"/>
        <w:b/>
        <w:bCs w:val="0"/>
        <w:i w:val="0"/>
        <w:strike w:val="0"/>
        <w:dstrike w:val="0"/>
        <w:color w:val="000000"/>
        <w:sz w:val="24"/>
        <w:szCs w:val="24"/>
        <w:u w:val="none" w:color="000000"/>
        <w:shd w:val="clear" w:color="auto" w:fill="auto"/>
        <w:vertAlign w:val="baseline"/>
      </w:rPr>
    </w:lvl>
    <w:lvl w:ilvl="2" w:tentative="0">
      <w:start w:val="1"/>
      <w:numFmt w:val="decimal"/>
      <w:lvlText w:val="%1.%2.%3"/>
      <w:lvlJc w:val="left"/>
      <w:pPr>
        <w:ind w:left="284" w:firstLine="0"/>
      </w:pPr>
      <w:rPr>
        <w:rFonts w:hint="eastAsia" w:ascii="Times New Roman" w:hAnsi="Times New Roman" w:eastAsia="宋体" w:cs="Times New Roman"/>
        <w:b w:val="0"/>
        <w:i w:val="0"/>
        <w:strike w:val="0"/>
        <w:dstrike w:val="0"/>
        <w:color w:val="000000"/>
        <w:sz w:val="24"/>
        <w:szCs w:val="24"/>
        <w:u w:val="none" w:color="000000"/>
        <w:shd w:val="clear" w:color="auto" w:fill="auto"/>
        <w:vertAlign w:val="baseline"/>
      </w:rPr>
    </w:lvl>
    <w:lvl w:ilvl="3" w:tentative="0">
      <w:start w:val="1"/>
      <w:numFmt w:val="decimal"/>
      <w:lvlText w:val="%4."/>
      <w:lvlJc w:val="left"/>
      <w:pPr>
        <w:ind w:left="2865" w:firstLine="0"/>
      </w:pPr>
      <w:rPr>
        <w:rFonts w:hint="eastAsia" w:ascii="Times New Roman" w:hAnsi="Times New Roman" w:eastAsia="宋体" w:cs="Times New Roman"/>
        <w:b w:val="0"/>
        <w:i w:val="0"/>
        <w:strike w:val="0"/>
        <w:dstrike w:val="0"/>
        <w:color w:val="000000"/>
        <w:sz w:val="24"/>
        <w:szCs w:val="24"/>
        <w:u w:val="none" w:color="000000"/>
        <w:shd w:val="clear" w:color="auto" w:fill="auto"/>
        <w:vertAlign w:val="baseline"/>
      </w:rPr>
    </w:lvl>
    <w:lvl w:ilvl="4" w:tentative="0">
      <w:start w:val="1"/>
      <w:numFmt w:val="lowerLetter"/>
      <w:lvlText w:val="%5"/>
      <w:lvlJc w:val="left"/>
      <w:pPr>
        <w:ind w:left="2520" w:firstLine="0"/>
      </w:pPr>
      <w:rPr>
        <w:rFonts w:hint="eastAsia" w:ascii="Times New Roman" w:hAnsi="Times New Roman" w:eastAsia="宋体" w:cs="Times New Roman"/>
        <w:b w:val="0"/>
        <w:i w:val="0"/>
        <w:strike w:val="0"/>
        <w:dstrike w:val="0"/>
        <w:color w:val="000000"/>
        <w:sz w:val="24"/>
        <w:szCs w:val="24"/>
        <w:u w:val="none" w:color="000000"/>
        <w:shd w:val="clear" w:color="auto" w:fill="auto"/>
        <w:vertAlign w:val="baseline"/>
      </w:rPr>
    </w:lvl>
    <w:lvl w:ilvl="5" w:tentative="0">
      <w:start w:val="1"/>
      <w:numFmt w:val="lowerRoman"/>
      <w:lvlText w:val="%6"/>
      <w:lvlJc w:val="left"/>
      <w:pPr>
        <w:ind w:left="3240" w:firstLine="0"/>
      </w:pPr>
      <w:rPr>
        <w:rFonts w:hint="eastAsia" w:ascii="Times New Roman" w:hAnsi="Times New Roman" w:eastAsia="宋体" w:cs="Times New Roman"/>
        <w:b w:val="0"/>
        <w:i w:val="0"/>
        <w:strike w:val="0"/>
        <w:dstrike w:val="0"/>
        <w:color w:val="000000"/>
        <w:sz w:val="24"/>
        <w:szCs w:val="24"/>
        <w:u w:val="none" w:color="000000"/>
        <w:shd w:val="clear" w:color="auto" w:fill="auto"/>
        <w:vertAlign w:val="baseline"/>
      </w:rPr>
    </w:lvl>
    <w:lvl w:ilvl="6" w:tentative="0">
      <w:start w:val="1"/>
      <w:numFmt w:val="decimal"/>
      <w:lvlText w:val="%7"/>
      <w:lvlJc w:val="left"/>
      <w:pPr>
        <w:ind w:left="3960" w:firstLine="0"/>
      </w:pPr>
      <w:rPr>
        <w:rFonts w:hint="eastAsia" w:ascii="Times New Roman" w:hAnsi="Times New Roman" w:eastAsia="宋体" w:cs="Times New Roman"/>
        <w:b w:val="0"/>
        <w:i w:val="0"/>
        <w:strike w:val="0"/>
        <w:dstrike w:val="0"/>
        <w:color w:val="000000"/>
        <w:sz w:val="24"/>
        <w:szCs w:val="24"/>
        <w:u w:val="none" w:color="000000"/>
        <w:shd w:val="clear" w:color="auto" w:fill="auto"/>
        <w:vertAlign w:val="baseline"/>
      </w:rPr>
    </w:lvl>
    <w:lvl w:ilvl="7" w:tentative="0">
      <w:start w:val="1"/>
      <w:numFmt w:val="lowerLetter"/>
      <w:lvlText w:val="%8"/>
      <w:lvlJc w:val="left"/>
      <w:pPr>
        <w:ind w:left="4680" w:firstLine="0"/>
      </w:pPr>
      <w:rPr>
        <w:rFonts w:hint="eastAsia" w:ascii="Times New Roman" w:hAnsi="Times New Roman" w:eastAsia="宋体" w:cs="Times New Roman"/>
        <w:b w:val="0"/>
        <w:i w:val="0"/>
        <w:strike w:val="0"/>
        <w:dstrike w:val="0"/>
        <w:color w:val="000000"/>
        <w:sz w:val="24"/>
        <w:szCs w:val="24"/>
        <w:u w:val="none" w:color="000000"/>
        <w:shd w:val="clear" w:color="auto" w:fill="auto"/>
        <w:vertAlign w:val="baseline"/>
      </w:rPr>
    </w:lvl>
    <w:lvl w:ilvl="8" w:tentative="0">
      <w:start w:val="1"/>
      <w:numFmt w:val="lowerRoman"/>
      <w:lvlText w:val="%9"/>
      <w:lvlJc w:val="left"/>
      <w:pPr>
        <w:ind w:left="5400" w:firstLine="0"/>
      </w:pPr>
      <w:rPr>
        <w:rFonts w:hint="eastAsia" w:ascii="Times New Roman" w:hAnsi="Times New Roman" w:eastAsia="宋体" w:cs="Times New Roman"/>
        <w:b w:val="0"/>
        <w:i w:val="0"/>
        <w:strike w:val="0"/>
        <w:dstrike w:val="0"/>
        <w:color w:val="000000"/>
        <w:sz w:val="24"/>
        <w:szCs w:val="24"/>
        <w:u w:val="none" w:color="000000"/>
        <w:shd w:val="clear" w:color="auto" w:fill="auto"/>
        <w:vertAlign w:val="baseline"/>
      </w:rPr>
    </w:lvl>
  </w:abstractNum>
  <w:abstractNum w:abstractNumId="57">
    <w:nsid w:val="29FC6072"/>
    <w:multiLevelType w:val="multilevel"/>
    <w:tmpl w:val="29FC6072"/>
    <w:lvl w:ilvl="0" w:tentative="0">
      <w:start w:val="1"/>
      <w:numFmt w:val="decimal"/>
      <w:lvlText w:val="%1."/>
      <w:lvlJc w:val="left"/>
      <w:pPr>
        <w:ind w:left="2145"/>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1" w:tentative="0">
      <w:start w:val="1"/>
      <w:numFmt w:val="lowerLetter"/>
      <w:lvlText w:val="%2"/>
      <w:lvlJc w:val="left"/>
      <w:pPr>
        <w:ind w:left="252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2" w:tentative="0">
      <w:start w:val="1"/>
      <w:numFmt w:val="lowerRoman"/>
      <w:lvlText w:val="%3"/>
      <w:lvlJc w:val="left"/>
      <w:pPr>
        <w:ind w:left="324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3" w:tentative="0">
      <w:start w:val="1"/>
      <w:numFmt w:val="decimal"/>
      <w:lvlText w:val="%4"/>
      <w:lvlJc w:val="left"/>
      <w:pPr>
        <w:ind w:left="396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4" w:tentative="0">
      <w:start w:val="1"/>
      <w:numFmt w:val="lowerLetter"/>
      <w:lvlText w:val="%5"/>
      <w:lvlJc w:val="left"/>
      <w:pPr>
        <w:ind w:left="468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5" w:tentative="0">
      <w:start w:val="1"/>
      <w:numFmt w:val="lowerRoman"/>
      <w:lvlText w:val="%6"/>
      <w:lvlJc w:val="left"/>
      <w:pPr>
        <w:ind w:left="540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6" w:tentative="0">
      <w:start w:val="1"/>
      <w:numFmt w:val="decimal"/>
      <w:lvlText w:val="%7"/>
      <w:lvlJc w:val="left"/>
      <w:pPr>
        <w:ind w:left="612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7" w:tentative="0">
      <w:start w:val="1"/>
      <w:numFmt w:val="lowerLetter"/>
      <w:lvlText w:val="%8"/>
      <w:lvlJc w:val="left"/>
      <w:pPr>
        <w:ind w:left="684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8" w:tentative="0">
      <w:start w:val="1"/>
      <w:numFmt w:val="lowerRoman"/>
      <w:lvlText w:val="%9"/>
      <w:lvlJc w:val="left"/>
      <w:pPr>
        <w:ind w:left="756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abstractNum>
  <w:abstractNum w:abstractNumId="58">
    <w:nsid w:val="2A12301B"/>
    <w:multiLevelType w:val="multilevel"/>
    <w:tmpl w:val="2A12301B"/>
    <w:lvl w:ilvl="0" w:tentative="0">
      <w:start w:val="1"/>
      <w:numFmt w:val="decimal"/>
      <w:lvlText w:val="%1."/>
      <w:lvlJc w:val="left"/>
      <w:pPr>
        <w:ind w:left="2145"/>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1" w:tentative="0">
      <w:start w:val="1"/>
      <w:numFmt w:val="lowerLetter"/>
      <w:lvlText w:val="%2"/>
      <w:lvlJc w:val="left"/>
      <w:pPr>
        <w:ind w:left="252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2" w:tentative="0">
      <w:start w:val="1"/>
      <w:numFmt w:val="lowerRoman"/>
      <w:lvlText w:val="%3"/>
      <w:lvlJc w:val="left"/>
      <w:pPr>
        <w:ind w:left="324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3" w:tentative="0">
      <w:start w:val="1"/>
      <w:numFmt w:val="decimal"/>
      <w:lvlText w:val="%4"/>
      <w:lvlJc w:val="left"/>
      <w:pPr>
        <w:ind w:left="396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4" w:tentative="0">
      <w:start w:val="1"/>
      <w:numFmt w:val="lowerLetter"/>
      <w:lvlText w:val="%5"/>
      <w:lvlJc w:val="left"/>
      <w:pPr>
        <w:ind w:left="468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5" w:tentative="0">
      <w:start w:val="1"/>
      <w:numFmt w:val="lowerRoman"/>
      <w:lvlText w:val="%6"/>
      <w:lvlJc w:val="left"/>
      <w:pPr>
        <w:ind w:left="540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6" w:tentative="0">
      <w:start w:val="1"/>
      <w:numFmt w:val="decimal"/>
      <w:lvlText w:val="%7"/>
      <w:lvlJc w:val="left"/>
      <w:pPr>
        <w:ind w:left="612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7" w:tentative="0">
      <w:start w:val="1"/>
      <w:numFmt w:val="lowerLetter"/>
      <w:lvlText w:val="%8"/>
      <w:lvlJc w:val="left"/>
      <w:pPr>
        <w:ind w:left="684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8" w:tentative="0">
      <w:start w:val="1"/>
      <w:numFmt w:val="lowerRoman"/>
      <w:lvlText w:val="%9"/>
      <w:lvlJc w:val="left"/>
      <w:pPr>
        <w:ind w:left="756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abstractNum>
  <w:abstractNum w:abstractNumId="59">
    <w:nsid w:val="2B755776"/>
    <w:multiLevelType w:val="multilevel"/>
    <w:tmpl w:val="2B755776"/>
    <w:lvl w:ilvl="0" w:tentative="0">
      <w:start w:val="1"/>
      <w:numFmt w:val="bullet"/>
      <w:lvlText w:val=""/>
      <w:lvlJc w:val="left"/>
      <w:pPr>
        <w:ind w:left="900" w:hanging="420"/>
      </w:pPr>
      <w:rPr>
        <w:rFonts w:hint="default" w:ascii="Wingdings" w:hAnsi="Wingdings"/>
      </w:rPr>
    </w:lvl>
    <w:lvl w:ilvl="1" w:tentative="0">
      <w:start w:val="1"/>
      <w:numFmt w:val="bullet"/>
      <w:lvlText w:val=""/>
      <w:lvlJc w:val="left"/>
      <w:pPr>
        <w:ind w:left="1320" w:hanging="420"/>
      </w:pPr>
      <w:rPr>
        <w:rFonts w:hint="default" w:ascii="Wingdings" w:hAnsi="Wingdings"/>
      </w:rPr>
    </w:lvl>
    <w:lvl w:ilvl="2" w:tentative="0">
      <w:start w:val="1"/>
      <w:numFmt w:val="bullet"/>
      <w:lvlText w:val=""/>
      <w:lvlJc w:val="left"/>
      <w:pPr>
        <w:ind w:left="1740" w:hanging="420"/>
      </w:pPr>
      <w:rPr>
        <w:rFonts w:hint="default" w:ascii="Wingdings" w:hAnsi="Wingdings"/>
      </w:rPr>
    </w:lvl>
    <w:lvl w:ilvl="3" w:tentative="0">
      <w:start w:val="1"/>
      <w:numFmt w:val="bullet"/>
      <w:lvlText w:val=""/>
      <w:lvlJc w:val="left"/>
      <w:pPr>
        <w:ind w:left="2160" w:hanging="420"/>
      </w:pPr>
      <w:rPr>
        <w:rFonts w:hint="default" w:ascii="Wingdings" w:hAnsi="Wingdings"/>
      </w:rPr>
    </w:lvl>
    <w:lvl w:ilvl="4" w:tentative="0">
      <w:start w:val="1"/>
      <w:numFmt w:val="bullet"/>
      <w:lvlText w:val=""/>
      <w:lvlJc w:val="left"/>
      <w:pPr>
        <w:ind w:left="2580" w:hanging="420"/>
      </w:pPr>
      <w:rPr>
        <w:rFonts w:hint="default" w:ascii="Wingdings" w:hAnsi="Wingdings"/>
      </w:rPr>
    </w:lvl>
    <w:lvl w:ilvl="5" w:tentative="0">
      <w:start w:val="1"/>
      <w:numFmt w:val="bullet"/>
      <w:lvlText w:val=""/>
      <w:lvlJc w:val="left"/>
      <w:pPr>
        <w:ind w:left="3000" w:hanging="420"/>
      </w:pPr>
      <w:rPr>
        <w:rFonts w:hint="default" w:ascii="Wingdings" w:hAnsi="Wingdings"/>
      </w:rPr>
    </w:lvl>
    <w:lvl w:ilvl="6" w:tentative="0">
      <w:start w:val="1"/>
      <w:numFmt w:val="bullet"/>
      <w:lvlText w:val=""/>
      <w:lvlJc w:val="left"/>
      <w:pPr>
        <w:ind w:left="3420" w:hanging="420"/>
      </w:pPr>
      <w:rPr>
        <w:rFonts w:hint="default" w:ascii="Wingdings" w:hAnsi="Wingdings"/>
      </w:rPr>
    </w:lvl>
    <w:lvl w:ilvl="7" w:tentative="0">
      <w:start w:val="1"/>
      <w:numFmt w:val="bullet"/>
      <w:lvlText w:val=""/>
      <w:lvlJc w:val="left"/>
      <w:pPr>
        <w:ind w:left="3840" w:hanging="420"/>
      </w:pPr>
      <w:rPr>
        <w:rFonts w:hint="default" w:ascii="Wingdings" w:hAnsi="Wingdings"/>
      </w:rPr>
    </w:lvl>
    <w:lvl w:ilvl="8" w:tentative="0">
      <w:start w:val="1"/>
      <w:numFmt w:val="bullet"/>
      <w:lvlText w:val=""/>
      <w:lvlJc w:val="left"/>
      <w:pPr>
        <w:ind w:left="4260" w:hanging="420"/>
      </w:pPr>
      <w:rPr>
        <w:rFonts w:hint="default" w:ascii="Wingdings" w:hAnsi="Wingdings"/>
      </w:rPr>
    </w:lvl>
  </w:abstractNum>
  <w:abstractNum w:abstractNumId="60">
    <w:nsid w:val="2C015979"/>
    <w:multiLevelType w:val="multilevel"/>
    <w:tmpl w:val="2C015979"/>
    <w:lvl w:ilvl="0" w:tentative="0">
      <w:start w:val="1"/>
      <w:numFmt w:val="decimal"/>
      <w:lvlText w:val="%1."/>
      <w:lvlJc w:val="left"/>
      <w:pPr>
        <w:ind w:left="1177" w:hanging="420"/>
      </w:pPr>
    </w:lvl>
    <w:lvl w:ilvl="1" w:tentative="0">
      <w:start w:val="1"/>
      <w:numFmt w:val="lowerLetter"/>
      <w:lvlText w:val="%2)"/>
      <w:lvlJc w:val="left"/>
      <w:pPr>
        <w:ind w:left="1597" w:hanging="420"/>
      </w:pPr>
    </w:lvl>
    <w:lvl w:ilvl="2" w:tentative="0">
      <w:start w:val="1"/>
      <w:numFmt w:val="lowerRoman"/>
      <w:lvlText w:val="%3."/>
      <w:lvlJc w:val="right"/>
      <w:pPr>
        <w:ind w:left="2017" w:hanging="420"/>
      </w:pPr>
    </w:lvl>
    <w:lvl w:ilvl="3" w:tentative="0">
      <w:start w:val="1"/>
      <w:numFmt w:val="decimal"/>
      <w:lvlText w:val="%4."/>
      <w:lvlJc w:val="left"/>
      <w:pPr>
        <w:ind w:left="2437" w:hanging="420"/>
      </w:pPr>
    </w:lvl>
    <w:lvl w:ilvl="4" w:tentative="0">
      <w:start w:val="1"/>
      <w:numFmt w:val="lowerLetter"/>
      <w:lvlText w:val="%5)"/>
      <w:lvlJc w:val="left"/>
      <w:pPr>
        <w:ind w:left="2857" w:hanging="420"/>
      </w:pPr>
    </w:lvl>
    <w:lvl w:ilvl="5" w:tentative="0">
      <w:start w:val="1"/>
      <w:numFmt w:val="lowerRoman"/>
      <w:lvlText w:val="%6."/>
      <w:lvlJc w:val="right"/>
      <w:pPr>
        <w:ind w:left="3277" w:hanging="420"/>
      </w:pPr>
    </w:lvl>
    <w:lvl w:ilvl="6" w:tentative="0">
      <w:start w:val="1"/>
      <w:numFmt w:val="decimal"/>
      <w:lvlText w:val="%7."/>
      <w:lvlJc w:val="left"/>
      <w:pPr>
        <w:ind w:left="3697" w:hanging="420"/>
      </w:pPr>
    </w:lvl>
    <w:lvl w:ilvl="7" w:tentative="0">
      <w:start w:val="1"/>
      <w:numFmt w:val="lowerLetter"/>
      <w:lvlText w:val="%8)"/>
      <w:lvlJc w:val="left"/>
      <w:pPr>
        <w:ind w:left="4117" w:hanging="420"/>
      </w:pPr>
    </w:lvl>
    <w:lvl w:ilvl="8" w:tentative="0">
      <w:start w:val="1"/>
      <w:numFmt w:val="lowerRoman"/>
      <w:lvlText w:val="%9."/>
      <w:lvlJc w:val="right"/>
      <w:pPr>
        <w:ind w:left="4537" w:hanging="420"/>
      </w:pPr>
    </w:lvl>
  </w:abstractNum>
  <w:abstractNum w:abstractNumId="61">
    <w:nsid w:val="2DBE10CF"/>
    <w:multiLevelType w:val="multilevel"/>
    <w:tmpl w:val="2DBE10CF"/>
    <w:lvl w:ilvl="0" w:tentative="0">
      <w:start w:val="1"/>
      <w:numFmt w:val="decimal"/>
      <w:lvlText w:val="%1."/>
      <w:lvlJc w:val="left"/>
      <w:pPr>
        <w:ind w:left="1177" w:hanging="420"/>
      </w:pPr>
    </w:lvl>
    <w:lvl w:ilvl="1" w:tentative="0">
      <w:start w:val="1"/>
      <w:numFmt w:val="lowerLetter"/>
      <w:lvlText w:val="%2)"/>
      <w:lvlJc w:val="left"/>
      <w:pPr>
        <w:ind w:left="1597" w:hanging="420"/>
      </w:pPr>
    </w:lvl>
    <w:lvl w:ilvl="2" w:tentative="0">
      <w:start w:val="1"/>
      <w:numFmt w:val="lowerRoman"/>
      <w:lvlText w:val="%3."/>
      <w:lvlJc w:val="right"/>
      <w:pPr>
        <w:ind w:left="2017" w:hanging="420"/>
      </w:pPr>
    </w:lvl>
    <w:lvl w:ilvl="3" w:tentative="0">
      <w:start w:val="1"/>
      <w:numFmt w:val="decimal"/>
      <w:lvlText w:val="%4."/>
      <w:lvlJc w:val="left"/>
      <w:pPr>
        <w:ind w:left="2437" w:hanging="420"/>
      </w:pPr>
    </w:lvl>
    <w:lvl w:ilvl="4" w:tentative="0">
      <w:start w:val="1"/>
      <w:numFmt w:val="lowerLetter"/>
      <w:lvlText w:val="%5)"/>
      <w:lvlJc w:val="left"/>
      <w:pPr>
        <w:ind w:left="2857" w:hanging="420"/>
      </w:pPr>
    </w:lvl>
    <w:lvl w:ilvl="5" w:tentative="0">
      <w:start w:val="1"/>
      <w:numFmt w:val="lowerRoman"/>
      <w:lvlText w:val="%6."/>
      <w:lvlJc w:val="right"/>
      <w:pPr>
        <w:ind w:left="3277" w:hanging="420"/>
      </w:pPr>
    </w:lvl>
    <w:lvl w:ilvl="6" w:tentative="0">
      <w:start w:val="1"/>
      <w:numFmt w:val="decimal"/>
      <w:lvlText w:val="%7."/>
      <w:lvlJc w:val="left"/>
      <w:pPr>
        <w:ind w:left="3697" w:hanging="420"/>
      </w:pPr>
    </w:lvl>
    <w:lvl w:ilvl="7" w:tentative="0">
      <w:start w:val="1"/>
      <w:numFmt w:val="lowerLetter"/>
      <w:lvlText w:val="%8)"/>
      <w:lvlJc w:val="left"/>
      <w:pPr>
        <w:ind w:left="4117" w:hanging="420"/>
      </w:pPr>
    </w:lvl>
    <w:lvl w:ilvl="8" w:tentative="0">
      <w:start w:val="1"/>
      <w:numFmt w:val="lowerRoman"/>
      <w:lvlText w:val="%9."/>
      <w:lvlJc w:val="right"/>
      <w:pPr>
        <w:ind w:left="4537" w:hanging="420"/>
      </w:pPr>
    </w:lvl>
  </w:abstractNum>
  <w:abstractNum w:abstractNumId="62">
    <w:nsid w:val="302650A9"/>
    <w:multiLevelType w:val="multilevel"/>
    <w:tmpl w:val="302650A9"/>
    <w:lvl w:ilvl="0" w:tentative="0">
      <w:start w:val="1"/>
      <w:numFmt w:val="decimal"/>
      <w:lvlText w:val="%1)"/>
      <w:lvlJc w:val="left"/>
      <w:pPr>
        <w:ind w:left="839" w:hanging="419"/>
      </w:pPr>
      <w:rPr>
        <w:rFonts w:hint="default"/>
        <w:color w:val="auto"/>
      </w:rPr>
    </w:lvl>
    <w:lvl w:ilvl="1" w:tentative="0">
      <w:start w:val="1"/>
      <w:numFmt w:val="decimal"/>
      <w:lvlText w:val="%1.%2."/>
      <w:lvlJc w:val="left"/>
      <w:pPr>
        <w:ind w:left="567" w:hanging="567"/>
      </w:pPr>
      <w:rPr>
        <w:rFonts w:hint="eastAsia"/>
      </w:rPr>
    </w:lvl>
    <w:lvl w:ilvl="2" w:tentative="0">
      <w:start w:val="1"/>
      <w:numFmt w:val="decimal"/>
      <w:lvlText w:val="%1.%2.%3."/>
      <w:lvlJc w:val="left"/>
      <w:pPr>
        <w:ind w:left="709" w:hanging="709"/>
      </w:pPr>
      <w:rPr>
        <w:rFonts w:hint="eastAsia"/>
      </w:rPr>
    </w:lvl>
    <w:lvl w:ilvl="3" w:tentative="0">
      <w:start w:val="1"/>
      <w:numFmt w:val="decimal"/>
      <w:lvlText w:val="3.4.2.%4."/>
      <w:lvlJc w:val="left"/>
      <w:pPr>
        <w:ind w:left="1673" w:hanging="57"/>
      </w:pPr>
      <w:rPr>
        <w:rFonts w:hint="eastAsia"/>
      </w:rPr>
    </w:lvl>
    <w:lvl w:ilvl="4" w:tentative="0">
      <w:start w:val="1"/>
      <w:numFmt w:val="decimal"/>
      <w:lvlText w:val="%1.%2.%3.%4.%5."/>
      <w:lvlJc w:val="left"/>
      <w:pPr>
        <w:ind w:left="992" w:hanging="992"/>
      </w:pPr>
      <w:rPr>
        <w:rFonts w:hint="eastAsia"/>
      </w:rPr>
    </w:lvl>
    <w:lvl w:ilvl="5" w:tentative="0">
      <w:start w:val="1"/>
      <w:numFmt w:val="decimal"/>
      <w:lvlText w:val="%1.%2.%3.%4.%5.%6."/>
      <w:lvlJc w:val="left"/>
      <w:pPr>
        <w:ind w:left="1134" w:hanging="1134"/>
      </w:pPr>
      <w:rPr>
        <w:rFonts w:hint="eastAsia"/>
      </w:rPr>
    </w:lvl>
    <w:lvl w:ilvl="6" w:tentative="0">
      <w:start w:val="1"/>
      <w:numFmt w:val="decimal"/>
      <w:lvlText w:val="%1.%2.%3.%4.%5.%6.%7."/>
      <w:lvlJc w:val="left"/>
      <w:pPr>
        <w:ind w:left="1276" w:hanging="1276"/>
      </w:pPr>
      <w:rPr>
        <w:rFonts w:hint="eastAsia"/>
      </w:rPr>
    </w:lvl>
    <w:lvl w:ilvl="7" w:tentative="0">
      <w:start w:val="1"/>
      <w:numFmt w:val="decimal"/>
      <w:lvlText w:val="%1.%2.%3.%4.%5.%6.%7.%8."/>
      <w:lvlJc w:val="left"/>
      <w:pPr>
        <w:ind w:left="1418" w:hanging="1418"/>
      </w:pPr>
      <w:rPr>
        <w:rFonts w:hint="eastAsia"/>
      </w:rPr>
    </w:lvl>
    <w:lvl w:ilvl="8" w:tentative="0">
      <w:start w:val="1"/>
      <w:numFmt w:val="decimal"/>
      <w:lvlText w:val="%1.%2.%3.%4.%5.%6.%7.%8.%9."/>
      <w:lvlJc w:val="left"/>
      <w:pPr>
        <w:ind w:left="1559" w:hanging="1559"/>
      </w:pPr>
      <w:rPr>
        <w:rFonts w:hint="eastAsia"/>
      </w:rPr>
    </w:lvl>
  </w:abstractNum>
  <w:abstractNum w:abstractNumId="63">
    <w:nsid w:val="31302FD9"/>
    <w:multiLevelType w:val="multilevel"/>
    <w:tmpl w:val="31302FD9"/>
    <w:lvl w:ilvl="0" w:tentative="0">
      <w:start w:val="1"/>
      <w:numFmt w:val="decimal"/>
      <w:lvlText w:val="%1."/>
      <w:lvlJc w:val="left"/>
      <w:pPr>
        <w:ind w:left="840" w:hanging="360"/>
      </w:pPr>
      <w:rPr>
        <w:rFonts w:hint="eastAsia"/>
      </w:rPr>
    </w:lvl>
    <w:lvl w:ilvl="1" w:tentative="0">
      <w:start w:val="1"/>
      <w:numFmt w:val="lowerLetter"/>
      <w:lvlText w:val="%2)"/>
      <w:lvlJc w:val="left"/>
      <w:pPr>
        <w:ind w:left="1440" w:hanging="480"/>
      </w:pPr>
    </w:lvl>
    <w:lvl w:ilvl="2" w:tentative="0">
      <w:start w:val="1"/>
      <w:numFmt w:val="lowerRoman"/>
      <w:lvlText w:val="%3."/>
      <w:lvlJc w:val="right"/>
      <w:pPr>
        <w:ind w:left="1920" w:hanging="480"/>
      </w:pPr>
    </w:lvl>
    <w:lvl w:ilvl="3" w:tentative="0">
      <w:start w:val="1"/>
      <w:numFmt w:val="decimal"/>
      <w:lvlText w:val="%4."/>
      <w:lvlJc w:val="left"/>
      <w:pPr>
        <w:ind w:left="2400" w:hanging="480"/>
      </w:pPr>
    </w:lvl>
    <w:lvl w:ilvl="4" w:tentative="0">
      <w:start w:val="1"/>
      <w:numFmt w:val="lowerLetter"/>
      <w:lvlText w:val="%5)"/>
      <w:lvlJc w:val="left"/>
      <w:pPr>
        <w:ind w:left="2880" w:hanging="480"/>
      </w:pPr>
    </w:lvl>
    <w:lvl w:ilvl="5" w:tentative="0">
      <w:start w:val="1"/>
      <w:numFmt w:val="lowerRoman"/>
      <w:lvlText w:val="%6."/>
      <w:lvlJc w:val="right"/>
      <w:pPr>
        <w:ind w:left="3360" w:hanging="480"/>
      </w:pPr>
    </w:lvl>
    <w:lvl w:ilvl="6" w:tentative="0">
      <w:start w:val="1"/>
      <w:numFmt w:val="decimal"/>
      <w:lvlText w:val="%7."/>
      <w:lvlJc w:val="left"/>
      <w:pPr>
        <w:ind w:left="3840" w:hanging="480"/>
      </w:pPr>
    </w:lvl>
    <w:lvl w:ilvl="7" w:tentative="0">
      <w:start w:val="1"/>
      <w:numFmt w:val="lowerLetter"/>
      <w:lvlText w:val="%8)"/>
      <w:lvlJc w:val="left"/>
      <w:pPr>
        <w:ind w:left="4320" w:hanging="480"/>
      </w:pPr>
    </w:lvl>
    <w:lvl w:ilvl="8" w:tentative="0">
      <w:start w:val="1"/>
      <w:numFmt w:val="lowerRoman"/>
      <w:lvlText w:val="%9."/>
      <w:lvlJc w:val="right"/>
      <w:pPr>
        <w:ind w:left="4800" w:hanging="480"/>
      </w:pPr>
    </w:lvl>
  </w:abstractNum>
  <w:abstractNum w:abstractNumId="64">
    <w:nsid w:val="3182A0E1"/>
    <w:multiLevelType w:val="singleLevel"/>
    <w:tmpl w:val="3182A0E1"/>
    <w:lvl w:ilvl="0" w:tentative="0">
      <w:start w:val="1"/>
      <w:numFmt w:val="decimal"/>
      <w:lvlText w:val="(%1)"/>
      <w:lvlJc w:val="left"/>
      <w:pPr>
        <w:ind w:left="425" w:hanging="425"/>
      </w:pPr>
      <w:rPr>
        <w:rFonts w:hint="default"/>
      </w:rPr>
    </w:lvl>
  </w:abstractNum>
  <w:abstractNum w:abstractNumId="65">
    <w:nsid w:val="327A370B"/>
    <w:multiLevelType w:val="multilevel"/>
    <w:tmpl w:val="327A370B"/>
    <w:lvl w:ilvl="0" w:tentative="0">
      <w:start w:val="1"/>
      <w:numFmt w:val="decimal"/>
      <w:lvlText w:val="%1."/>
      <w:lvlJc w:val="left"/>
      <w:pPr>
        <w:ind w:left="870" w:hanging="420"/>
      </w:pPr>
      <w:rPr>
        <w:rFonts w:hint="eastAsia"/>
      </w:rPr>
    </w:lvl>
    <w:lvl w:ilvl="1" w:tentative="0">
      <w:start w:val="1"/>
      <w:numFmt w:val="lowerLetter"/>
      <w:lvlText w:val="%2)"/>
      <w:lvlJc w:val="left"/>
      <w:pPr>
        <w:ind w:left="1290" w:hanging="420"/>
      </w:pPr>
    </w:lvl>
    <w:lvl w:ilvl="2" w:tentative="0">
      <w:start w:val="1"/>
      <w:numFmt w:val="lowerRoman"/>
      <w:lvlText w:val="%3."/>
      <w:lvlJc w:val="right"/>
      <w:pPr>
        <w:ind w:left="1710" w:hanging="420"/>
      </w:pPr>
    </w:lvl>
    <w:lvl w:ilvl="3" w:tentative="0">
      <w:start w:val="1"/>
      <w:numFmt w:val="decimal"/>
      <w:lvlText w:val="%4."/>
      <w:lvlJc w:val="left"/>
      <w:pPr>
        <w:ind w:left="2130" w:hanging="420"/>
      </w:pPr>
    </w:lvl>
    <w:lvl w:ilvl="4" w:tentative="0">
      <w:start w:val="1"/>
      <w:numFmt w:val="lowerLetter"/>
      <w:lvlText w:val="%5)"/>
      <w:lvlJc w:val="left"/>
      <w:pPr>
        <w:ind w:left="2550" w:hanging="420"/>
      </w:pPr>
    </w:lvl>
    <w:lvl w:ilvl="5" w:tentative="0">
      <w:start w:val="1"/>
      <w:numFmt w:val="lowerRoman"/>
      <w:lvlText w:val="%6."/>
      <w:lvlJc w:val="right"/>
      <w:pPr>
        <w:ind w:left="2970" w:hanging="420"/>
      </w:pPr>
    </w:lvl>
    <w:lvl w:ilvl="6" w:tentative="0">
      <w:start w:val="1"/>
      <w:numFmt w:val="decimal"/>
      <w:lvlText w:val="%7."/>
      <w:lvlJc w:val="left"/>
      <w:pPr>
        <w:ind w:left="3390" w:hanging="420"/>
      </w:pPr>
    </w:lvl>
    <w:lvl w:ilvl="7" w:tentative="0">
      <w:start w:val="1"/>
      <w:numFmt w:val="lowerLetter"/>
      <w:lvlText w:val="%8)"/>
      <w:lvlJc w:val="left"/>
      <w:pPr>
        <w:ind w:left="3810" w:hanging="420"/>
      </w:pPr>
    </w:lvl>
    <w:lvl w:ilvl="8" w:tentative="0">
      <w:start w:val="1"/>
      <w:numFmt w:val="lowerRoman"/>
      <w:lvlText w:val="%9."/>
      <w:lvlJc w:val="right"/>
      <w:pPr>
        <w:ind w:left="4230" w:hanging="420"/>
      </w:pPr>
    </w:lvl>
  </w:abstractNum>
  <w:abstractNum w:abstractNumId="66">
    <w:nsid w:val="32D0542D"/>
    <w:multiLevelType w:val="singleLevel"/>
    <w:tmpl w:val="32D0542D"/>
    <w:lvl w:ilvl="0" w:tentative="0">
      <w:start w:val="4"/>
      <w:numFmt w:val="decimal"/>
      <w:lvlText w:val="%1."/>
      <w:lvlJc w:val="left"/>
      <w:pPr>
        <w:tabs>
          <w:tab w:val="left" w:pos="312"/>
        </w:tabs>
      </w:pPr>
    </w:lvl>
  </w:abstractNum>
  <w:abstractNum w:abstractNumId="67">
    <w:nsid w:val="34277F02"/>
    <w:multiLevelType w:val="multilevel"/>
    <w:tmpl w:val="34277F02"/>
    <w:lvl w:ilvl="0" w:tentative="0">
      <w:start w:val="1"/>
      <w:numFmt w:val="decimal"/>
      <w:lvlText w:val="%1."/>
      <w:lvlJc w:val="left"/>
      <w:pPr>
        <w:ind w:left="2145"/>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1" w:tentative="0">
      <w:start w:val="1"/>
      <w:numFmt w:val="lowerLetter"/>
      <w:lvlText w:val="%2"/>
      <w:lvlJc w:val="left"/>
      <w:pPr>
        <w:ind w:left="252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2" w:tentative="0">
      <w:start w:val="1"/>
      <w:numFmt w:val="lowerRoman"/>
      <w:lvlText w:val="%3"/>
      <w:lvlJc w:val="left"/>
      <w:pPr>
        <w:ind w:left="324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3" w:tentative="0">
      <w:start w:val="1"/>
      <w:numFmt w:val="decimal"/>
      <w:lvlText w:val="%4"/>
      <w:lvlJc w:val="left"/>
      <w:pPr>
        <w:ind w:left="396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4" w:tentative="0">
      <w:start w:val="1"/>
      <w:numFmt w:val="lowerLetter"/>
      <w:lvlText w:val="%5"/>
      <w:lvlJc w:val="left"/>
      <w:pPr>
        <w:ind w:left="468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5" w:tentative="0">
      <w:start w:val="1"/>
      <w:numFmt w:val="lowerRoman"/>
      <w:lvlText w:val="%6"/>
      <w:lvlJc w:val="left"/>
      <w:pPr>
        <w:ind w:left="540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6" w:tentative="0">
      <w:start w:val="1"/>
      <w:numFmt w:val="decimal"/>
      <w:lvlText w:val="%7"/>
      <w:lvlJc w:val="left"/>
      <w:pPr>
        <w:ind w:left="612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7" w:tentative="0">
      <w:start w:val="1"/>
      <w:numFmt w:val="lowerLetter"/>
      <w:lvlText w:val="%8"/>
      <w:lvlJc w:val="left"/>
      <w:pPr>
        <w:ind w:left="684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8" w:tentative="0">
      <w:start w:val="1"/>
      <w:numFmt w:val="lowerRoman"/>
      <w:lvlText w:val="%9"/>
      <w:lvlJc w:val="left"/>
      <w:pPr>
        <w:ind w:left="756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abstractNum>
  <w:abstractNum w:abstractNumId="68">
    <w:nsid w:val="370C014C"/>
    <w:multiLevelType w:val="multilevel"/>
    <w:tmpl w:val="370C014C"/>
    <w:lvl w:ilvl="0" w:tentative="0">
      <w:start w:val="1"/>
      <w:numFmt w:val="decimal"/>
      <w:lvlText w:val="%1."/>
      <w:lvlJc w:val="left"/>
      <w:pPr>
        <w:ind w:left="2145"/>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1" w:tentative="0">
      <w:start w:val="1"/>
      <w:numFmt w:val="lowerLetter"/>
      <w:lvlText w:val="%2"/>
      <w:lvlJc w:val="left"/>
      <w:pPr>
        <w:ind w:left="252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2" w:tentative="0">
      <w:start w:val="1"/>
      <w:numFmt w:val="lowerRoman"/>
      <w:lvlText w:val="%3"/>
      <w:lvlJc w:val="left"/>
      <w:pPr>
        <w:ind w:left="324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3" w:tentative="0">
      <w:start w:val="1"/>
      <w:numFmt w:val="decimal"/>
      <w:lvlText w:val="%4"/>
      <w:lvlJc w:val="left"/>
      <w:pPr>
        <w:ind w:left="396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4" w:tentative="0">
      <w:start w:val="1"/>
      <w:numFmt w:val="lowerLetter"/>
      <w:lvlText w:val="%5"/>
      <w:lvlJc w:val="left"/>
      <w:pPr>
        <w:ind w:left="468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5" w:tentative="0">
      <w:start w:val="1"/>
      <w:numFmt w:val="lowerRoman"/>
      <w:lvlText w:val="%6"/>
      <w:lvlJc w:val="left"/>
      <w:pPr>
        <w:ind w:left="540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6" w:tentative="0">
      <w:start w:val="1"/>
      <w:numFmt w:val="decimal"/>
      <w:lvlText w:val="%7"/>
      <w:lvlJc w:val="left"/>
      <w:pPr>
        <w:ind w:left="612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7" w:tentative="0">
      <w:start w:val="1"/>
      <w:numFmt w:val="lowerLetter"/>
      <w:lvlText w:val="%8"/>
      <w:lvlJc w:val="left"/>
      <w:pPr>
        <w:ind w:left="684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8" w:tentative="0">
      <w:start w:val="1"/>
      <w:numFmt w:val="lowerRoman"/>
      <w:lvlText w:val="%9"/>
      <w:lvlJc w:val="left"/>
      <w:pPr>
        <w:ind w:left="756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abstractNum>
  <w:abstractNum w:abstractNumId="69">
    <w:nsid w:val="37574BFC"/>
    <w:multiLevelType w:val="multilevel"/>
    <w:tmpl w:val="37574BFC"/>
    <w:lvl w:ilvl="0" w:tentative="0">
      <w:start w:val="1"/>
      <w:numFmt w:val="decimal"/>
      <w:lvlText w:val="%1."/>
      <w:lvlJc w:val="left"/>
      <w:pPr>
        <w:ind w:left="2145"/>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1" w:tentative="0">
      <w:start w:val="1"/>
      <w:numFmt w:val="lowerLetter"/>
      <w:lvlText w:val="%2"/>
      <w:lvlJc w:val="left"/>
      <w:pPr>
        <w:ind w:left="252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2" w:tentative="0">
      <w:start w:val="1"/>
      <w:numFmt w:val="lowerRoman"/>
      <w:lvlText w:val="%3"/>
      <w:lvlJc w:val="left"/>
      <w:pPr>
        <w:ind w:left="324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3" w:tentative="0">
      <w:start w:val="1"/>
      <w:numFmt w:val="decimal"/>
      <w:lvlText w:val="%4"/>
      <w:lvlJc w:val="left"/>
      <w:pPr>
        <w:ind w:left="396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4" w:tentative="0">
      <w:start w:val="1"/>
      <w:numFmt w:val="lowerLetter"/>
      <w:lvlText w:val="%5"/>
      <w:lvlJc w:val="left"/>
      <w:pPr>
        <w:ind w:left="468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5" w:tentative="0">
      <w:start w:val="1"/>
      <w:numFmt w:val="lowerRoman"/>
      <w:lvlText w:val="%6"/>
      <w:lvlJc w:val="left"/>
      <w:pPr>
        <w:ind w:left="540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6" w:tentative="0">
      <w:start w:val="1"/>
      <w:numFmt w:val="decimal"/>
      <w:lvlText w:val="%7"/>
      <w:lvlJc w:val="left"/>
      <w:pPr>
        <w:ind w:left="612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7" w:tentative="0">
      <w:start w:val="1"/>
      <w:numFmt w:val="lowerLetter"/>
      <w:lvlText w:val="%8"/>
      <w:lvlJc w:val="left"/>
      <w:pPr>
        <w:ind w:left="684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8" w:tentative="0">
      <w:start w:val="1"/>
      <w:numFmt w:val="lowerRoman"/>
      <w:lvlText w:val="%9"/>
      <w:lvlJc w:val="left"/>
      <w:pPr>
        <w:ind w:left="756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abstractNum>
  <w:abstractNum w:abstractNumId="70">
    <w:nsid w:val="378C26D1"/>
    <w:multiLevelType w:val="multilevel"/>
    <w:tmpl w:val="378C26D1"/>
    <w:lvl w:ilvl="0" w:tentative="0">
      <w:start w:val="1"/>
      <w:numFmt w:val="decimal"/>
      <w:lvlText w:val="%1."/>
      <w:lvlJc w:val="left"/>
      <w:pPr>
        <w:ind w:left="2145"/>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1" w:tentative="0">
      <w:start w:val="1"/>
      <w:numFmt w:val="lowerLetter"/>
      <w:lvlText w:val="%2"/>
      <w:lvlJc w:val="left"/>
      <w:pPr>
        <w:ind w:left="252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2" w:tentative="0">
      <w:start w:val="1"/>
      <w:numFmt w:val="lowerRoman"/>
      <w:lvlText w:val="%3"/>
      <w:lvlJc w:val="left"/>
      <w:pPr>
        <w:ind w:left="324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3" w:tentative="0">
      <w:start w:val="1"/>
      <w:numFmt w:val="decimal"/>
      <w:lvlText w:val="%4"/>
      <w:lvlJc w:val="left"/>
      <w:pPr>
        <w:ind w:left="396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4" w:tentative="0">
      <w:start w:val="1"/>
      <w:numFmt w:val="lowerLetter"/>
      <w:lvlText w:val="%5"/>
      <w:lvlJc w:val="left"/>
      <w:pPr>
        <w:ind w:left="468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5" w:tentative="0">
      <w:start w:val="1"/>
      <w:numFmt w:val="lowerRoman"/>
      <w:lvlText w:val="%6"/>
      <w:lvlJc w:val="left"/>
      <w:pPr>
        <w:ind w:left="540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6" w:tentative="0">
      <w:start w:val="1"/>
      <w:numFmt w:val="decimal"/>
      <w:lvlText w:val="%7"/>
      <w:lvlJc w:val="left"/>
      <w:pPr>
        <w:ind w:left="612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7" w:tentative="0">
      <w:start w:val="1"/>
      <w:numFmt w:val="lowerLetter"/>
      <w:lvlText w:val="%8"/>
      <w:lvlJc w:val="left"/>
      <w:pPr>
        <w:ind w:left="684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8" w:tentative="0">
      <w:start w:val="1"/>
      <w:numFmt w:val="lowerRoman"/>
      <w:lvlText w:val="%9"/>
      <w:lvlJc w:val="left"/>
      <w:pPr>
        <w:ind w:left="756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abstractNum>
  <w:abstractNum w:abstractNumId="71">
    <w:nsid w:val="38E141A5"/>
    <w:multiLevelType w:val="multilevel"/>
    <w:tmpl w:val="38E141A5"/>
    <w:lvl w:ilvl="0" w:tentative="0">
      <w:start w:val="1"/>
      <w:numFmt w:val="lowerLetter"/>
      <w:lvlText w:val="%1)"/>
      <w:lvlJc w:val="left"/>
      <w:pPr>
        <w:ind w:left="420" w:hanging="420"/>
      </w:pPr>
      <w:rPr>
        <w:rFonts w:hint="default"/>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72">
    <w:nsid w:val="398D0797"/>
    <w:multiLevelType w:val="multilevel"/>
    <w:tmpl w:val="398D0797"/>
    <w:lvl w:ilvl="0" w:tentative="0">
      <w:start w:val="1"/>
      <w:numFmt w:val="decimal"/>
      <w:lvlText w:val="%1."/>
      <w:lvlJc w:val="left"/>
      <w:pPr>
        <w:ind w:left="1697" w:hanging="420"/>
      </w:pPr>
      <w:rPr>
        <w:rFonts w:hint="eastAsia"/>
      </w:rPr>
    </w:lvl>
    <w:lvl w:ilvl="1" w:tentative="0">
      <w:start w:val="1"/>
      <w:numFmt w:val="lowerLetter"/>
      <w:lvlText w:val="%2)"/>
      <w:lvlJc w:val="left"/>
      <w:pPr>
        <w:ind w:left="2117" w:hanging="420"/>
      </w:pPr>
    </w:lvl>
    <w:lvl w:ilvl="2" w:tentative="0">
      <w:start w:val="1"/>
      <w:numFmt w:val="lowerRoman"/>
      <w:lvlText w:val="%3."/>
      <w:lvlJc w:val="right"/>
      <w:pPr>
        <w:ind w:left="2537" w:hanging="420"/>
      </w:pPr>
    </w:lvl>
    <w:lvl w:ilvl="3" w:tentative="0">
      <w:start w:val="1"/>
      <w:numFmt w:val="decimal"/>
      <w:lvlText w:val="%4."/>
      <w:lvlJc w:val="left"/>
      <w:pPr>
        <w:ind w:left="2957" w:hanging="420"/>
      </w:pPr>
    </w:lvl>
    <w:lvl w:ilvl="4" w:tentative="0">
      <w:start w:val="1"/>
      <w:numFmt w:val="lowerLetter"/>
      <w:lvlText w:val="%5)"/>
      <w:lvlJc w:val="left"/>
      <w:pPr>
        <w:ind w:left="3377" w:hanging="420"/>
      </w:pPr>
    </w:lvl>
    <w:lvl w:ilvl="5" w:tentative="0">
      <w:start w:val="1"/>
      <w:numFmt w:val="lowerRoman"/>
      <w:lvlText w:val="%6."/>
      <w:lvlJc w:val="right"/>
      <w:pPr>
        <w:ind w:left="3797" w:hanging="420"/>
      </w:pPr>
    </w:lvl>
    <w:lvl w:ilvl="6" w:tentative="0">
      <w:start w:val="1"/>
      <w:numFmt w:val="decimal"/>
      <w:lvlText w:val="%7."/>
      <w:lvlJc w:val="left"/>
      <w:pPr>
        <w:ind w:left="4217" w:hanging="420"/>
      </w:pPr>
    </w:lvl>
    <w:lvl w:ilvl="7" w:tentative="0">
      <w:start w:val="1"/>
      <w:numFmt w:val="lowerLetter"/>
      <w:lvlText w:val="%8)"/>
      <w:lvlJc w:val="left"/>
      <w:pPr>
        <w:ind w:left="4637" w:hanging="420"/>
      </w:pPr>
    </w:lvl>
    <w:lvl w:ilvl="8" w:tentative="0">
      <w:start w:val="1"/>
      <w:numFmt w:val="lowerRoman"/>
      <w:lvlText w:val="%9."/>
      <w:lvlJc w:val="right"/>
      <w:pPr>
        <w:ind w:left="5057" w:hanging="420"/>
      </w:pPr>
    </w:lvl>
  </w:abstractNum>
  <w:abstractNum w:abstractNumId="73">
    <w:nsid w:val="39C33B76"/>
    <w:multiLevelType w:val="multilevel"/>
    <w:tmpl w:val="39C33B76"/>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74">
    <w:nsid w:val="39C4591C"/>
    <w:multiLevelType w:val="multilevel"/>
    <w:tmpl w:val="39C4591C"/>
    <w:lvl w:ilvl="0" w:tentative="0">
      <w:start w:val="1"/>
      <w:numFmt w:val="decimal"/>
      <w:lvlText w:val="%1."/>
      <w:lvlJc w:val="left"/>
      <w:pPr>
        <w:ind w:left="870" w:hanging="420"/>
      </w:pPr>
      <w:rPr>
        <w:rFonts w:hint="eastAsia"/>
      </w:rPr>
    </w:lvl>
    <w:lvl w:ilvl="1" w:tentative="0">
      <w:start w:val="1"/>
      <w:numFmt w:val="lowerLetter"/>
      <w:lvlText w:val="%2)"/>
      <w:lvlJc w:val="left"/>
      <w:pPr>
        <w:ind w:left="1290" w:hanging="420"/>
      </w:pPr>
    </w:lvl>
    <w:lvl w:ilvl="2" w:tentative="0">
      <w:start w:val="1"/>
      <w:numFmt w:val="lowerRoman"/>
      <w:lvlText w:val="%3."/>
      <w:lvlJc w:val="right"/>
      <w:pPr>
        <w:ind w:left="1710" w:hanging="420"/>
      </w:pPr>
    </w:lvl>
    <w:lvl w:ilvl="3" w:tentative="0">
      <w:start w:val="1"/>
      <w:numFmt w:val="decimal"/>
      <w:lvlText w:val="%4."/>
      <w:lvlJc w:val="left"/>
      <w:pPr>
        <w:ind w:left="2130" w:hanging="420"/>
      </w:pPr>
    </w:lvl>
    <w:lvl w:ilvl="4" w:tentative="0">
      <w:start w:val="1"/>
      <w:numFmt w:val="lowerLetter"/>
      <w:lvlText w:val="%5)"/>
      <w:lvlJc w:val="left"/>
      <w:pPr>
        <w:ind w:left="2550" w:hanging="420"/>
      </w:pPr>
    </w:lvl>
    <w:lvl w:ilvl="5" w:tentative="0">
      <w:start w:val="1"/>
      <w:numFmt w:val="lowerRoman"/>
      <w:lvlText w:val="%6."/>
      <w:lvlJc w:val="right"/>
      <w:pPr>
        <w:ind w:left="2970" w:hanging="420"/>
      </w:pPr>
    </w:lvl>
    <w:lvl w:ilvl="6" w:tentative="0">
      <w:start w:val="1"/>
      <w:numFmt w:val="decimal"/>
      <w:lvlText w:val="%7."/>
      <w:lvlJc w:val="left"/>
      <w:pPr>
        <w:ind w:left="3390" w:hanging="420"/>
      </w:pPr>
    </w:lvl>
    <w:lvl w:ilvl="7" w:tentative="0">
      <w:start w:val="1"/>
      <w:numFmt w:val="lowerLetter"/>
      <w:lvlText w:val="%8)"/>
      <w:lvlJc w:val="left"/>
      <w:pPr>
        <w:ind w:left="3810" w:hanging="420"/>
      </w:pPr>
    </w:lvl>
    <w:lvl w:ilvl="8" w:tentative="0">
      <w:start w:val="1"/>
      <w:numFmt w:val="lowerRoman"/>
      <w:lvlText w:val="%9."/>
      <w:lvlJc w:val="right"/>
      <w:pPr>
        <w:ind w:left="4230" w:hanging="420"/>
      </w:pPr>
    </w:lvl>
  </w:abstractNum>
  <w:abstractNum w:abstractNumId="75">
    <w:nsid w:val="39DF6641"/>
    <w:multiLevelType w:val="multilevel"/>
    <w:tmpl w:val="39DF6641"/>
    <w:lvl w:ilvl="0" w:tentative="0">
      <w:start w:val="1"/>
      <w:numFmt w:val="decimal"/>
      <w:lvlText w:val="%1."/>
      <w:lvlJc w:val="left"/>
      <w:pPr>
        <w:ind w:left="2145"/>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1" w:tentative="0">
      <w:start w:val="1"/>
      <w:numFmt w:val="lowerLetter"/>
      <w:lvlText w:val="%2"/>
      <w:lvlJc w:val="left"/>
      <w:pPr>
        <w:ind w:left="252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2" w:tentative="0">
      <w:start w:val="1"/>
      <w:numFmt w:val="lowerRoman"/>
      <w:lvlText w:val="%3"/>
      <w:lvlJc w:val="left"/>
      <w:pPr>
        <w:ind w:left="324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3" w:tentative="0">
      <w:start w:val="1"/>
      <w:numFmt w:val="decimal"/>
      <w:lvlText w:val="%4"/>
      <w:lvlJc w:val="left"/>
      <w:pPr>
        <w:ind w:left="396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4" w:tentative="0">
      <w:start w:val="1"/>
      <w:numFmt w:val="lowerLetter"/>
      <w:lvlText w:val="%5"/>
      <w:lvlJc w:val="left"/>
      <w:pPr>
        <w:ind w:left="468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5" w:tentative="0">
      <w:start w:val="1"/>
      <w:numFmt w:val="lowerRoman"/>
      <w:lvlText w:val="%6"/>
      <w:lvlJc w:val="left"/>
      <w:pPr>
        <w:ind w:left="540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6" w:tentative="0">
      <w:start w:val="1"/>
      <w:numFmt w:val="decimal"/>
      <w:lvlText w:val="%7"/>
      <w:lvlJc w:val="left"/>
      <w:pPr>
        <w:ind w:left="612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7" w:tentative="0">
      <w:start w:val="1"/>
      <w:numFmt w:val="lowerLetter"/>
      <w:lvlText w:val="%8"/>
      <w:lvlJc w:val="left"/>
      <w:pPr>
        <w:ind w:left="684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8" w:tentative="0">
      <w:start w:val="1"/>
      <w:numFmt w:val="lowerRoman"/>
      <w:lvlText w:val="%9"/>
      <w:lvlJc w:val="left"/>
      <w:pPr>
        <w:ind w:left="756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abstractNum>
  <w:abstractNum w:abstractNumId="76">
    <w:nsid w:val="3A093B5F"/>
    <w:multiLevelType w:val="multilevel"/>
    <w:tmpl w:val="3A093B5F"/>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77">
    <w:nsid w:val="3A534E7D"/>
    <w:multiLevelType w:val="multilevel"/>
    <w:tmpl w:val="3A534E7D"/>
    <w:lvl w:ilvl="0" w:tentative="0">
      <w:start w:val="1"/>
      <w:numFmt w:val="decimal"/>
      <w:lvlText w:val="%1."/>
      <w:lvlJc w:val="left"/>
      <w:pPr>
        <w:ind w:left="2145"/>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1" w:tentative="0">
      <w:start w:val="1"/>
      <w:numFmt w:val="lowerLetter"/>
      <w:lvlText w:val="%2"/>
      <w:lvlJc w:val="left"/>
      <w:pPr>
        <w:ind w:left="252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2" w:tentative="0">
      <w:start w:val="1"/>
      <w:numFmt w:val="lowerRoman"/>
      <w:lvlText w:val="%3"/>
      <w:lvlJc w:val="left"/>
      <w:pPr>
        <w:ind w:left="324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3" w:tentative="0">
      <w:start w:val="1"/>
      <w:numFmt w:val="decimal"/>
      <w:lvlText w:val="%4"/>
      <w:lvlJc w:val="left"/>
      <w:pPr>
        <w:ind w:left="396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4" w:tentative="0">
      <w:start w:val="1"/>
      <w:numFmt w:val="lowerLetter"/>
      <w:lvlText w:val="%5"/>
      <w:lvlJc w:val="left"/>
      <w:pPr>
        <w:ind w:left="468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5" w:tentative="0">
      <w:start w:val="1"/>
      <w:numFmt w:val="lowerRoman"/>
      <w:lvlText w:val="%6"/>
      <w:lvlJc w:val="left"/>
      <w:pPr>
        <w:ind w:left="540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6" w:tentative="0">
      <w:start w:val="1"/>
      <w:numFmt w:val="decimal"/>
      <w:lvlText w:val="%7"/>
      <w:lvlJc w:val="left"/>
      <w:pPr>
        <w:ind w:left="612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7" w:tentative="0">
      <w:start w:val="1"/>
      <w:numFmt w:val="lowerLetter"/>
      <w:lvlText w:val="%8"/>
      <w:lvlJc w:val="left"/>
      <w:pPr>
        <w:ind w:left="684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8" w:tentative="0">
      <w:start w:val="1"/>
      <w:numFmt w:val="lowerRoman"/>
      <w:lvlText w:val="%9"/>
      <w:lvlJc w:val="left"/>
      <w:pPr>
        <w:ind w:left="756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abstractNum>
  <w:abstractNum w:abstractNumId="78">
    <w:nsid w:val="3B1E31A6"/>
    <w:multiLevelType w:val="multilevel"/>
    <w:tmpl w:val="3B1E31A6"/>
    <w:lvl w:ilvl="0" w:tentative="0">
      <w:start w:val="1"/>
      <w:numFmt w:val="decimal"/>
      <w:lvlText w:val="%1."/>
      <w:lvlJc w:val="left"/>
      <w:pPr>
        <w:ind w:left="1177" w:hanging="420"/>
      </w:pPr>
    </w:lvl>
    <w:lvl w:ilvl="1" w:tentative="0">
      <w:start w:val="1"/>
      <w:numFmt w:val="lowerLetter"/>
      <w:lvlText w:val="%2)"/>
      <w:lvlJc w:val="left"/>
      <w:pPr>
        <w:ind w:left="1597" w:hanging="420"/>
      </w:pPr>
    </w:lvl>
    <w:lvl w:ilvl="2" w:tentative="0">
      <w:start w:val="1"/>
      <w:numFmt w:val="lowerRoman"/>
      <w:lvlText w:val="%3."/>
      <w:lvlJc w:val="right"/>
      <w:pPr>
        <w:ind w:left="2017" w:hanging="420"/>
      </w:pPr>
    </w:lvl>
    <w:lvl w:ilvl="3" w:tentative="0">
      <w:start w:val="1"/>
      <w:numFmt w:val="decimal"/>
      <w:lvlText w:val="%4."/>
      <w:lvlJc w:val="left"/>
      <w:pPr>
        <w:ind w:left="2437" w:hanging="420"/>
      </w:pPr>
    </w:lvl>
    <w:lvl w:ilvl="4" w:tentative="0">
      <w:start w:val="1"/>
      <w:numFmt w:val="lowerLetter"/>
      <w:lvlText w:val="%5)"/>
      <w:lvlJc w:val="left"/>
      <w:pPr>
        <w:ind w:left="2857" w:hanging="420"/>
      </w:pPr>
    </w:lvl>
    <w:lvl w:ilvl="5" w:tentative="0">
      <w:start w:val="1"/>
      <w:numFmt w:val="lowerRoman"/>
      <w:lvlText w:val="%6."/>
      <w:lvlJc w:val="right"/>
      <w:pPr>
        <w:ind w:left="3277" w:hanging="420"/>
      </w:pPr>
    </w:lvl>
    <w:lvl w:ilvl="6" w:tentative="0">
      <w:start w:val="1"/>
      <w:numFmt w:val="decimal"/>
      <w:lvlText w:val="%7."/>
      <w:lvlJc w:val="left"/>
      <w:pPr>
        <w:ind w:left="3697" w:hanging="420"/>
      </w:pPr>
    </w:lvl>
    <w:lvl w:ilvl="7" w:tentative="0">
      <w:start w:val="1"/>
      <w:numFmt w:val="lowerLetter"/>
      <w:lvlText w:val="%8)"/>
      <w:lvlJc w:val="left"/>
      <w:pPr>
        <w:ind w:left="4117" w:hanging="420"/>
      </w:pPr>
    </w:lvl>
    <w:lvl w:ilvl="8" w:tentative="0">
      <w:start w:val="1"/>
      <w:numFmt w:val="lowerRoman"/>
      <w:lvlText w:val="%9."/>
      <w:lvlJc w:val="right"/>
      <w:pPr>
        <w:ind w:left="4537" w:hanging="420"/>
      </w:pPr>
    </w:lvl>
  </w:abstractNum>
  <w:abstractNum w:abstractNumId="79">
    <w:nsid w:val="3B946827"/>
    <w:multiLevelType w:val="multilevel"/>
    <w:tmpl w:val="3B946827"/>
    <w:lvl w:ilvl="0" w:tentative="0">
      <w:start w:val="1"/>
      <w:numFmt w:val="bullet"/>
      <w:lvlText w:val=""/>
      <w:lvlJc w:val="left"/>
      <w:pPr>
        <w:ind w:left="900" w:hanging="420"/>
      </w:pPr>
      <w:rPr>
        <w:rFonts w:hint="default" w:ascii="Wingdings" w:hAnsi="Wingdings"/>
      </w:rPr>
    </w:lvl>
    <w:lvl w:ilvl="1" w:tentative="0">
      <w:start w:val="1"/>
      <w:numFmt w:val="bullet"/>
      <w:lvlText w:val=""/>
      <w:lvlJc w:val="left"/>
      <w:pPr>
        <w:ind w:left="1320" w:hanging="420"/>
      </w:pPr>
      <w:rPr>
        <w:rFonts w:hint="default" w:ascii="Wingdings" w:hAnsi="Wingdings"/>
      </w:rPr>
    </w:lvl>
    <w:lvl w:ilvl="2" w:tentative="0">
      <w:start w:val="1"/>
      <w:numFmt w:val="bullet"/>
      <w:lvlText w:val=""/>
      <w:lvlJc w:val="left"/>
      <w:pPr>
        <w:ind w:left="1740" w:hanging="420"/>
      </w:pPr>
      <w:rPr>
        <w:rFonts w:hint="default" w:ascii="Wingdings" w:hAnsi="Wingdings"/>
      </w:rPr>
    </w:lvl>
    <w:lvl w:ilvl="3" w:tentative="0">
      <w:start w:val="1"/>
      <w:numFmt w:val="bullet"/>
      <w:lvlText w:val=""/>
      <w:lvlJc w:val="left"/>
      <w:pPr>
        <w:ind w:left="2160" w:hanging="420"/>
      </w:pPr>
      <w:rPr>
        <w:rFonts w:hint="default" w:ascii="Wingdings" w:hAnsi="Wingdings"/>
      </w:rPr>
    </w:lvl>
    <w:lvl w:ilvl="4" w:tentative="0">
      <w:start w:val="1"/>
      <w:numFmt w:val="bullet"/>
      <w:lvlText w:val=""/>
      <w:lvlJc w:val="left"/>
      <w:pPr>
        <w:ind w:left="2580" w:hanging="420"/>
      </w:pPr>
      <w:rPr>
        <w:rFonts w:hint="default" w:ascii="Wingdings" w:hAnsi="Wingdings"/>
      </w:rPr>
    </w:lvl>
    <w:lvl w:ilvl="5" w:tentative="0">
      <w:start w:val="1"/>
      <w:numFmt w:val="bullet"/>
      <w:lvlText w:val=""/>
      <w:lvlJc w:val="left"/>
      <w:pPr>
        <w:ind w:left="3000" w:hanging="420"/>
      </w:pPr>
      <w:rPr>
        <w:rFonts w:hint="default" w:ascii="Wingdings" w:hAnsi="Wingdings"/>
      </w:rPr>
    </w:lvl>
    <w:lvl w:ilvl="6" w:tentative="0">
      <w:start w:val="1"/>
      <w:numFmt w:val="bullet"/>
      <w:lvlText w:val=""/>
      <w:lvlJc w:val="left"/>
      <w:pPr>
        <w:ind w:left="3420" w:hanging="420"/>
      </w:pPr>
      <w:rPr>
        <w:rFonts w:hint="default" w:ascii="Wingdings" w:hAnsi="Wingdings"/>
      </w:rPr>
    </w:lvl>
    <w:lvl w:ilvl="7" w:tentative="0">
      <w:start w:val="1"/>
      <w:numFmt w:val="bullet"/>
      <w:lvlText w:val=""/>
      <w:lvlJc w:val="left"/>
      <w:pPr>
        <w:ind w:left="3840" w:hanging="420"/>
      </w:pPr>
      <w:rPr>
        <w:rFonts w:hint="default" w:ascii="Wingdings" w:hAnsi="Wingdings"/>
      </w:rPr>
    </w:lvl>
    <w:lvl w:ilvl="8" w:tentative="0">
      <w:start w:val="1"/>
      <w:numFmt w:val="bullet"/>
      <w:lvlText w:val=""/>
      <w:lvlJc w:val="left"/>
      <w:pPr>
        <w:ind w:left="4260" w:hanging="420"/>
      </w:pPr>
      <w:rPr>
        <w:rFonts w:hint="default" w:ascii="Wingdings" w:hAnsi="Wingdings"/>
      </w:rPr>
    </w:lvl>
  </w:abstractNum>
  <w:abstractNum w:abstractNumId="80">
    <w:nsid w:val="3BAD095E"/>
    <w:multiLevelType w:val="singleLevel"/>
    <w:tmpl w:val="3BAD095E"/>
    <w:lvl w:ilvl="0" w:tentative="0">
      <w:start w:val="1"/>
      <w:numFmt w:val="bullet"/>
      <w:lvlText w:val=""/>
      <w:lvlJc w:val="left"/>
      <w:pPr>
        <w:ind w:left="420" w:hanging="420"/>
      </w:pPr>
      <w:rPr>
        <w:rFonts w:hint="default" w:ascii="Wingdings" w:hAnsi="Wingdings"/>
      </w:rPr>
    </w:lvl>
  </w:abstractNum>
  <w:abstractNum w:abstractNumId="81">
    <w:nsid w:val="3CD0391D"/>
    <w:multiLevelType w:val="multilevel"/>
    <w:tmpl w:val="3CD0391D"/>
    <w:lvl w:ilvl="0" w:tentative="0">
      <w:start w:val="1"/>
      <w:numFmt w:val="decimal"/>
      <w:lvlText w:val="%1."/>
      <w:lvlJc w:val="left"/>
      <w:pPr>
        <w:ind w:left="900" w:hanging="420"/>
      </w:p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82">
    <w:nsid w:val="3DA51F72"/>
    <w:multiLevelType w:val="multilevel"/>
    <w:tmpl w:val="3DA51F72"/>
    <w:lvl w:ilvl="0" w:tentative="0">
      <w:start w:val="1"/>
      <w:numFmt w:val="decimal"/>
      <w:lvlText w:val="%1)"/>
      <w:lvlJc w:val="left"/>
      <w:pPr>
        <w:ind w:left="840"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83">
    <w:nsid w:val="3E116016"/>
    <w:multiLevelType w:val="multilevel"/>
    <w:tmpl w:val="3E116016"/>
    <w:lvl w:ilvl="0" w:tentative="0">
      <w:start w:val="1"/>
      <w:numFmt w:val="bullet"/>
      <w:lvlText w:val=""/>
      <w:lvlJc w:val="left"/>
      <w:pPr>
        <w:ind w:left="900" w:hanging="420"/>
      </w:pPr>
      <w:rPr>
        <w:rFonts w:hint="default" w:ascii="Wingdings" w:hAnsi="Wingdings"/>
      </w:rPr>
    </w:lvl>
    <w:lvl w:ilvl="1" w:tentative="0">
      <w:start w:val="1"/>
      <w:numFmt w:val="bullet"/>
      <w:lvlText w:val=""/>
      <w:lvlJc w:val="left"/>
      <w:pPr>
        <w:ind w:left="1320" w:hanging="420"/>
      </w:pPr>
      <w:rPr>
        <w:rFonts w:hint="default" w:ascii="Wingdings" w:hAnsi="Wingdings"/>
      </w:rPr>
    </w:lvl>
    <w:lvl w:ilvl="2" w:tentative="0">
      <w:start w:val="1"/>
      <w:numFmt w:val="bullet"/>
      <w:lvlText w:val=""/>
      <w:lvlJc w:val="left"/>
      <w:pPr>
        <w:ind w:left="1740" w:hanging="420"/>
      </w:pPr>
      <w:rPr>
        <w:rFonts w:hint="default" w:ascii="Wingdings" w:hAnsi="Wingdings"/>
      </w:rPr>
    </w:lvl>
    <w:lvl w:ilvl="3" w:tentative="0">
      <w:start w:val="1"/>
      <w:numFmt w:val="bullet"/>
      <w:lvlText w:val=""/>
      <w:lvlJc w:val="left"/>
      <w:pPr>
        <w:ind w:left="2160" w:hanging="420"/>
      </w:pPr>
      <w:rPr>
        <w:rFonts w:hint="default" w:ascii="Wingdings" w:hAnsi="Wingdings"/>
      </w:rPr>
    </w:lvl>
    <w:lvl w:ilvl="4" w:tentative="0">
      <w:start w:val="1"/>
      <w:numFmt w:val="bullet"/>
      <w:lvlText w:val=""/>
      <w:lvlJc w:val="left"/>
      <w:pPr>
        <w:ind w:left="2580" w:hanging="420"/>
      </w:pPr>
      <w:rPr>
        <w:rFonts w:hint="default" w:ascii="Wingdings" w:hAnsi="Wingdings"/>
      </w:rPr>
    </w:lvl>
    <w:lvl w:ilvl="5" w:tentative="0">
      <w:start w:val="1"/>
      <w:numFmt w:val="bullet"/>
      <w:lvlText w:val=""/>
      <w:lvlJc w:val="left"/>
      <w:pPr>
        <w:ind w:left="3000" w:hanging="420"/>
      </w:pPr>
      <w:rPr>
        <w:rFonts w:hint="default" w:ascii="Wingdings" w:hAnsi="Wingdings"/>
      </w:rPr>
    </w:lvl>
    <w:lvl w:ilvl="6" w:tentative="0">
      <w:start w:val="1"/>
      <w:numFmt w:val="bullet"/>
      <w:lvlText w:val=""/>
      <w:lvlJc w:val="left"/>
      <w:pPr>
        <w:ind w:left="3420" w:hanging="420"/>
      </w:pPr>
      <w:rPr>
        <w:rFonts w:hint="default" w:ascii="Wingdings" w:hAnsi="Wingdings"/>
      </w:rPr>
    </w:lvl>
    <w:lvl w:ilvl="7" w:tentative="0">
      <w:start w:val="1"/>
      <w:numFmt w:val="bullet"/>
      <w:lvlText w:val=""/>
      <w:lvlJc w:val="left"/>
      <w:pPr>
        <w:ind w:left="3840" w:hanging="420"/>
      </w:pPr>
      <w:rPr>
        <w:rFonts w:hint="default" w:ascii="Wingdings" w:hAnsi="Wingdings"/>
      </w:rPr>
    </w:lvl>
    <w:lvl w:ilvl="8" w:tentative="0">
      <w:start w:val="1"/>
      <w:numFmt w:val="bullet"/>
      <w:lvlText w:val=""/>
      <w:lvlJc w:val="left"/>
      <w:pPr>
        <w:ind w:left="4260" w:hanging="420"/>
      </w:pPr>
      <w:rPr>
        <w:rFonts w:hint="default" w:ascii="Wingdings" w:hAnsi="Wingdings"/>
      </w:rPr>
    </w:lvl>
  </w:abstractNum>
  <w:abstractNum w:abstractNumId="84">
    <w:nsid w:val="3FC70431"/>
    <w:multiLevelType w:val="multilevel"/>
    <w:tmpl w:val="3FC70431"/>
    <w:lvl w:ilvl="0" w:tentative="0">
      <w:start w:val="1"/>
      <w:numFmt w:val="decimal"/>
      <w:lvlText w:val="%1."/>
      <w:lvlJc w:val="left"/>
      <w:pPr>
        <w:ind w:left="2145"/>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1" w:tentative="0">
      <w:start w:val="1"/>
      <w:numFmt w:val="lowerLetter"/>
      <w:lvlText w:val="%2"/>
      <w:lvlJc w:val="left"/>
      <w:pPr>
        <w:ind w:left="252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2" w:tentative="0">
      <w:start w:val="1"/>
      <w:numFmt w:val="lowerRoman"/>
      <w:lvlText w:val="%3"/>
      <w:lvlJc w:val="left"/>
      <w:pPr>
        <w:ind w:left="324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3" w:tentative="0">
      <w:start w:val="1"/>
      <w:numFmt w:val="decimal"/>
      <w:lvlText w:val="%4"/>
      <w:lvlJc w:val="left"/>
      <w:pPr>
        <w:ind w:left="396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4" w:tentative="0">
      <w:start w:val="1"/>
      <w:numFmt w:val="lowerLetter"/>
      <w:lvlText w:val="%5"/>
      <w:lvlJc w:val="left"/>
      <w:pPr>
        <w:ind w:left="468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5" w:tentative="0">
      <w:start w:val="1"/>
      <w:numFmt w:val="lowerRoman"/>
      <w:lvlText w:val="%6"/>
      <w:lvlJc w:val="left"/>
      <w:pPr>
        <w:ind w:left="540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6" w:tentative="0">
      <w:start w:val="1"/>
      <w:numFmt w:val="decimal"/>
      <w:lvlText w:val="%7"/>
      <w:lvlJc w:val="left"/>
      <w:pPr>
        <w:ind w:left="612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7" w:tentative="0">
      <w:start w:val="1"/>
      <w:numFmt w:val="lowerLetter"/>
      <w:lvlText w:val="%8"/>
      <w:lvlJc w:val="left"/>
      <w:pPr>
        <w:ind w:left="684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8" w:tentative="0">
      <w:start w:val="1"/>
      <w:numFmt w:val="lowerRoman"/>
      <w:lvlText w:val="%9"/>
      <w:lvlJc w:val="left"/>
      <w:pPr>
        <w:ind w:left="756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abstractNum>
  <w:abstractNum w:abstractNumId="85">
    <w:nsid w:val="3FD05088"/>
    <w:multiLevelType w:val="multilevel"/>
    <w:tmpl w:val="3FD05088"/>
    <w:lvl w:ilvl="0" w:tentative="0">
      <w:start w:val="1"/>
      <w:numFmt w:val="decimal"/>
      <w:lvlText w:val="%1."/>
      <w:lvlJc w:val="left"/>
      <w:pPr>
        <w:ind w:left="2145"/>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1" w:tentative="0">
      <w:start w:val="1"/>
      <w:numFmt w:val="lowerLetter"/>
      <w:lvlText w:val="%2"/>
      <w:lvlJc w:val="left"/>
      <w:pPr>
        <w:ind w:left="252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2" w:tentative="0">
      <w:start w:val="1"/>
      <w:numFmt w:val="lowerRoman"/>
      <w:lvlText w:val="%3"/>
      <w:lvlJc w:val="left"/>
      <w:pPr>
        <w:ind w:left="324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3" w:tentative="0">
      <w:start w:val="1"/>
      <w:numFmt w:val="decimal"/>
      <w:lvlText w:val="%4"/>
      <w:lvlJc w:val="left"/>
      <w:pPr>
        <w:ind w:left="396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4" w:tentative="0">
      <w:start w:val="1"/>
      <w:numFmt w:val="lowerLetter"/>
      <w:lvlText w:val="%5"/>
      <w:lvlJc w:val="left"/>
      <w:pPr>
        <w:ind w:left="468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5" w:tentative="0">
      <w:start w:val="1"/>
      <w:numFmt w:val="lowerRoman"/>
      <w:lvlText w:val="%6"/>
      <w:lvlJc w:val="left"/>
      <w:pPr>
        <w:ind w:left="540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6" w:tentative="0">
      <w:start w:val="1"/>
      <w:numFmt w:val="decimal"/>
      <w:lvlText w:val="%7"/>
      <w:lvlJc w:val="left"/>
      <w:pPr>
        <w:ind w:left="612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7" w:tentative="0">
      <w:start w:val="1"/>
      <w:numFmt w:val="lowerLetter"/>
      <w:lvlText w:val="%8"/>
      <w:lvlJc w:val="left"/>
      <w:pPr>
        <w:ind w:left="684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8" w:tentative="0">
      <w:start w:val="1"/>
      <w:numFmt w:val="lowerRoman"/>
      <w:lvlText w:val="%9"/>
      <w:lvlJc w:val="left"/>
      <w:pPr>
        <w:ind w:left="756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abstractNum>
  <w:abstractNum w:abstractNumId="86">
    <w:nsid w:val="40D8FCDB"/>
    <w:multiLevelType w:val="multilevel"/>
    <w:tmpl w:val="40D8FCDB"/>
    <w:lvl w:ilvl="0" w:tentative="0">
      <w:start w:val="1"/>
      <w:numFmt w:val="lowerLetter"/>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87">
    <w:nsid w:val="41201FE1"/>
    <w:multiLevelType w:val="multilevel"/>
    <w:tmpl w:val="41201FE1"/>
    <w:lvl w:ilvl="0" w:tentative="0">
      <w:start w:val="1"/>
      <w:numFmt w:val="decimal"/>
      <w:lvlText w:val="%1."/>
      <w:lvlJc w:val="left"/>
      <w:pPr>
        <w:ind w:left="2145"/>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1" w:tentative="0">
      <w:start w:val="1"/>
      <w:numFmt w:val="lowerLetter"/>
      <w:lvlText w:val="%2"/>
      <w:lvlJc w:val="left"/>
      <w:pPr>
        <w:ind w:left="252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2" w:tentative="0">
      <w:start w:val="1"/>
      <w:numFmt w:val="lowerRoman"/>
      <w:lvlText w:val="%3"/>
      <w:lvlJc w:val="left"/>
      <w:pPr>
        <w:ind w:left="324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3" w:tentative="0">
      <w:start w:val="1"/>
      <w:numFmt w:val="decimal"/>
      <w:lvlText w:val="%4"/>
      <w:lvlJc w:val="left"/>
      <w:pPr>
        <w:ind w:left="396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4" w:tentative="0">
      <w:start w:val="1"/>
      <w:numFmt w:val="lowerLetter"/>
      <w:lvlText w:val="%5"/>
      <w:lvlJc w:val="left"/>
      <w:pPr>
        <w:ind w:left="468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5" w:tentative="0">
      <w:start w:val="1"/>
      <w:numFmt w:val="lowerRoman"/>
      <w:lvlText w:val="%6"/>
      <w:lvlJc w:val="left"/>
      <w:pPr>
        <w:ind w:left="540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6" w:tentative="0">
      <w:start w:val="1"/>
      <w:numFmt w:val="decimal"/>
      <w:lvlText w:val="%7"/>
      <w:lvlJc w:val="left"/>
      <w:pPr>
        <w:ind w:left="612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7" w:tentative="0">
      <w:start w:val="1"/>
      <w:numFmt w:val="lowerLetter"/>
      <w:lvlText w:val="%8"/>
      <w:lvlJc w:val="left"/>
      <w:pPr>
        <w:ind w:left="684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8" w:tentative="0">
      <w:start w:val="1"/>
      <w:numFmt w:val="lowerRoman"/>
      <w:lvlText w:val="%9"/>
      <w:lvlJc w:val="left"/>
      <w:pPr>
        <w:ind w:left="756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abstractNum>
  <w:abstractNum w:abstractNumId="88">
    <w:nsid w:val="42F33365"/>
    <w:multiLevelType w:val="multilevel"/>
    <w:tmpl w:val="42F33365"/>
    <w:lvl w:ilvl="0" w:tentative="0">
      <w:start w:val="1"/>
      <w:numFmt w:val="decimal"/>
      <w:lvlText w:val="%1."/>
      <w:lvlJc w:val="left"/>
      <w:pPr>
        <w:ind w:left="870" w:hanging="420"/>
      </w:pPr>
      <w:rPr>
        <w:rFonts w:hint="eastAsia"/>
      </w:rPr>
    </w:lvl>
    <w:lvl w:ilvl="1" w:tentative="0">
      <w:start w:val="1"/>
      <w:numFmt w:val="lowerLetter"/>
      <w:lvlText w:val="%2)"/>
      <w:lvlJc w:val="left"/>
      <w:pPr>
        <w:ind w:left="1290" w:hanging="420"/>
      </w:pPr>
    </w:lvl>
    <w:lvl w:ilvl="2" w:tentative="0">
      <w:start w:val="1"/>
      <w:numFmt w:val="lowerRoman"/>
      <w:lvlText w:val="%3."/>
      <w:lvlJc w:val="right"/>
      <w:pPr>
        <w:ind w:left="1710" w:hanging="420"/>
      </w:pPr>
    </w:lvl>
    <w:lvl w:ilvl="3" w:tentative="0">
      <w:start w:val="1"/>
      <w:numFmt w:val="decimal"/>
      <w:lvlText w:val="%4."/>
      <w:lvlJc w:val="left"/>
      <w:pPr>
        <w:ind w:left="2130" w:hanging="420"/>
      </w:pPr>
    </w:lvl>
    <w:lvl w:ilvl="4" w:tentative="0">
      <w:start w:val="1"/>
      <w:numFmt w:val="lowerLetter"/>
      <w:lvlText w:val="%5)"/>
      <w:lvlJc w:val="left"/>
      <w:pPr>
        <w:ind w:left="2550" w:hanging="420"/>
      </w:pPr>
    </w:lvl>
    <w:lvl w:ilvl="5" w:tentative="0">
      <w:start w:val="1"/>
      <w:numFmt w:val="lowerRoman"/>
      <w:lvlText w:val="%6."/>
      <w:lvlJc w:val="right"/>
      <w:pPr>
        <w:ind w:left="2970" w:hanging="420"/>
      </w:pPr>
    </w:lvl>
    <w:lvl w:ilvl="6" w:tentative="0">
      <w:start w:val="1"/>
      <w:numFmt w:val="decimal"/>
      <w:lvlText w:val="%7."/>
      <w:lvlJc w:val="left"/>
      <w:pPr>
        <w:ind w:left="3390" w:hanging="420"/>
      </w:pPr>
    </w:lvl>
    <w:lvl w:ilvl="7" w:tentative="0">
      <w:start w:val="1"/>
      <w:numFmt w:val="lowerLetter"/>
      <w:lvlText w:val="%8)"/>
      <w:lvlJc w:val="left"/>
      <w:pPr>
        <w:ind w:left="3810" w:hanging="420"/>
      </w:pPr>
    </w:lvl>
    <w:lvl w:ilvl="8" w:tentative="0">
      <w:start w:val="1"/>
      <w:numFmt w:val="lowerRoman"/>
      <w:lvlText w:val="%9."/>
      <w:lvlJc w:val="right"/>
      <w:pPr>
        <w:ind w:left="4230" w:hanging="420"/>
      </w:pPr>
    </w:lvl>
  </w:abstractNum>
  <w:abstractNum w:abstractNumId="89">
    <w:nsid w:val="442C11BE"/>
    <w:multiLevelType w:val="multilevel"/>
    <w:tmpl w:val="442C11BE"/>
    <w:lvl w:ilvl="0" w:tentative="0">
      <w:start w:val="1"/>
      <w:numFmt w:val="decimal"/>
      <w:lvlText w:val="%1."/>
      <w:lvlJc w:val="left"/>
      <w:pPr>
        <w:ind w:left="870" w:hanging="420"/>
      </w:pPr>
      <w:rPr>
        <w:rFonts w:hint="eastAsia"/>
      </w:rPr>
    </w:lvl>
    <w:lvl w:ilvl="1" w:tentative="0">
      <w:start w:val="1"/>
      <w:numFmt w:val="lowerLetter"/>
      <w:lvlText w:val="%2)"/>
      <w:lvlJc w:val="left"/>
      <w:pPr>
        <w:ind w:left="1290" w:hanging="420"/>
      </w:pPr>
    </w:lvl>
    <w:lvl w:ilvl="2" w:tentative="0">
      <w:start w:val="1"/>
      <w:numFmt w:val="lowerRoman"/>
      <w:lvlText w:val="%3."/>
      <w:lvlJc w:val="right"/>
      <w:pPr>
        <w:ind w:left="1710" w:hanging="420"/>
      </w:pPr>
    </w:lvl>
    <w:lvl w:ilvl="3" w:tentative="0">
      <w:start w:val="1"/>
      <w:numFmt w:val="decimal"/>
      <w:lvlText w:val="%4."/>
      <w:lvlJc w:val="left"/>
      <w:pPr>
        <w:ind w:left="2130" w:hanging="420"/>
      </w:pPr>
    </w:lvl>
    <w:lvl w:ilvl="4" w:tentative="0">
      <w:start w:val="1"/>
      <w:numFmt w:val="lowerLetter"/>
      <w:lvlText w:val="%5)"/>
      <w:lvlJc w:val="left"/>
      <w:pPr>
        <w:ind w:left="2550" w:hanging="420"/>
      </w:pPr>
    </w:lvl>
    <w:lvl w:ilvl="5" w:tentative="0">
      <w:start w:val="1"/>
      <w:numFmt w:val="lowerRoman"/>
      <w:lvlText w:val="%6."/>
      <w:lvlJc w:val="right"/>
      <w:pPr>
        <w:ind w:left="2970" w:hanging="420"/>
      </w:pPr>
    </w:lvl>
    <w:lvl w:ilvl="6" w:tentative="0">
      <w:start w:val="1"/>
      <w:numFmt w:val="decimal"/>
      <w:lvlText w:val="%7."/>
      <w:lvlJc w:val="left"/>
      <w:pPr>
        <w:ind w:left="3390" w:hanging="420"/>
      </w:pPr>
    </w:lvl>
    <w:lvl w:ilvl="7" w:tentative="0">
      <w:start w:val="1"/>
      <w:numFmt w:val="lowerLetter"/>
      <w:lvlText w:val="%8)"/>
      <w:lvlJc w:val="left"/>
      <w:pPr>
        <w:ind w:left="3810" w:hanging="420"/>
      </w:pPr>
    </w:lvl>
    <w:lvl w:ilvl="8" w:tentative="0">
      <w:start w:val="1"/>
      <w:numFmt w:val="lowerRoman"/>
      <w:lvlText w:val="%9."/>
      <w:lvlJc w:val="right"/>
      <w:pPr>
        <w:ind w:left="4230" w:hanging="420"/>
      </w:pPr>
    </w:lvl>
  </w:abstractNum>
  <w:abstractNum w:abstractNumId="90">
    <w:nsid w:val="46486A3B"/>
    <w:multiLevelType w:val="multilevel"/>
    <w:tmpl w:val="46486A3B"/>
    <w:lvl w:ilvl="0" w:tentative="0">
      <w:start w:val="1"/>
      <w:numFmt w:val="lowerLetter"/>
      <w:lvlText w:val="%1."/>
      <w:lvlJc w:val="left"/>
      <w:pPr>
        <w:ind w:left="840" w:hanging="420"/>
      </w:pPr>
      <w:rPr>
        <w:rFonts w:hint="eastAsia"/>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91">
    <w:nsid w:val="4696356C"/>
    <w:multiLevelType w:val="multilevel"/>
    <w:tmpl w:val="4696356C"/>
    <w:lvl w:ilvl="0" w:tentative="0">
      <w:start w:val="1"/>
      <w:numFmt w:val="decimal"/>
      <w:lvlText w:val="%1."/>
      <w:lvlJc w:val="left"/>
      <w:pPr>
        <w:ind w:left="2145"/>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1" w:tentative="0">
      <w:start w:val="1"/>
      <w:numFmt w:val="lowerLetter"/>
      <w:lvlText w:val="%2"/>
      <w:lvlJc w:val="left"/>
      <w:pPr>
        <w:ind w:left="252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2" w:tentative="0">
      <w:start w:val="1"/>
      <w:numFmt w:val="lowerRoman"/>
      <w:lvlText w:val="%3"/>
      <w:lvlJc w:val="left"/>
      <w:pPr>
        <w:ind w:left="324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3" w:tentative="0">
      <w:start w:val="1"/>
      <w:numFmt w:val="decimal"/>
      <w:lvlText w:val="%4"/>
      <w:lvlJc w:val="left"/>
      <w:pPr>
        <w:ind w:left="396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4" w:tentative="0">
      <w:start w:val="1"/>
      <w:numFmt w:val="lowerLetter"/>
      <w:lvlText w:val="%5"/>
      <w:lvlJc w:val="left"/>
      <w:pPr>
        <w:ind w:left="468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5" w:tentative="0">
      <w:start w:val="1"/>
      <w:numFmt w:val="lowerRoman"/>
      <w:lvlText w:val="%6"/>
      <w:lvlJc w:val="left"/>
      <w:pPr>
        <w:ind w:left="540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6" w:tentative="0">
      <w:start w:val="1"/>
      <w:numFmt w:val="decimal"/>
      <w:lvlText w:val="%7"/>
      <w:lvlJc w:val="left"/>
      <w:pPr>
        <w:ind w:left="612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7" w:tentative="0">
      <w:start w:val="1"/>
      <w:numFmt w:val="lowerLetter"/>
      <w:lvlText w:val="%8"/>
      <w:lvlJc w:val="left"/>
      <w:pPr>
        <w:ind w:left="684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8" w:tentative="0">
      <w:start w:val="1"/>
      <w:numFmt w:val="lowerRoman"/>
      <w:lvlText w:val="%9"/>
      <w:lvlJc w:val="left"/>
      <w:pPr>
        <w:ind w:left="756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abstractNum>
  <w:abstractNum w:abstractNumId="92">
    <w:nsid w:val="46CD609B"/>
    <w:multiLevelType w:val="multilevel"/>
    <w:tmpl w:val="46CD609B"/>
    <w:lvl w:ilvl="0" w:tentative="0">
      <w:start w:val="1"/>
      <w:numFmt w:val="decimal"/>
      <w:lvlText w:val="%1."/>
      <w:lvlJc w:val="left"/>
      <w:pPr>
        <w:ind w:left="2145"/>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1" w:tentative="0">
      <w:start w:val="1"/>
      <w:numFmt w:val="lowerLetter"/>
      <w:lvlText w:val="%2"/>
      <w:lvlJc w:val="left"/>
      <w:pPr>
        <w:ind w:left="252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2" w:tentative="0">
      <w:start w:val="1"/>
      <w:numFmt w:val="lowerRoman"/>
      <w:lvlText w:val="%3"/>
      <w:lvlJc w:val="left"/>
      <w:pPr>
        <w:ind w:left="324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3" w:tentative="0">
      <w:start w:val="1"/>
      <w:numFmt w:val="decimal"/>
      <w:lvlText w:val="%4"/>
      <w:lvlJc w:val="left"/>
      <w:pPr>
        <w:ind w:left="396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4" w:tentative="0">
      <w:start w:val="1"/>
      <w:numFmt w:val="lowerLetter"/>
      <w:lvlText w:val="%5"/>
      <w:lvlJc w:val="left"/>
      <w:pPr>
        <w:ind w:left="468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5" w:tentative="0">
      <w:start w:val="1"/>
      <w:numFmt w:val="lowerRoman"/>
      <w:lvlText w:val="%6"/>
      <w:lvlJc w:val="left"/>
      <w:pPr>
        <w:ind w:left="540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6" w:tentative="0">
      <w:start w:val="1"/>
      <w:numFmt w:val="decimal"/>
      <w:lvlText w:val="%7"/>
      <w:lvlJc w:val="left"/>
      <w:pPr>
        <w:ind w:left="612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7" w:tentative="0">
      <w:start w:val="1"/>
      <w:numFmt w:val="lowerLetter"/>
      <w:lvlText w:val="%8"/>
      <w:lvlJc w:val="left"/>
      <w:pPr>
        <w:ind w:left="684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8" w:tentative="0">
      <w:start w:val="1"/>
      <w:numFmt w:val="lowerRoman"/>
      <w:lvlText w:val="%9"/>
      <w:lvlJc w:val="left"/>
      <w:pPr>
        <w:ind w:left="756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abstractNum>
  <w:abstractNum w:abstractNumId="93">
    <w:nsid w:val="46E105F8"/>
    <w:multiLevelType w:val="singleLevel"/>
    <w:tmpl w:val="46E105F8"/>
    <w:lvl w:ilvl="0" w:tentative="0">
      <w:start w:val="1"/>
      <w:numFmt w:val="decimal"/>
      <w:lvlText w:val="%1."/>
      <w:lvlJc w:val="left"/>
      <w:pPr>
        <w:ind w:left="425" w:hanging="425"/>
      </w:pPr>
      <w:rPr>
        <w:rFonts w:hint="default"/>
      </w:rPr>
    </w:lvl>
  </w:abstractNum>
  <w:abstractNum w:abstractNumId="94">
    <w:nsid w:val="477340CB"/>
    <w:multiLevelType w:val="multilevel"/>
    <w:tmpl w:val="477340CB"/>
    <w:lvl w:ilvl="0" w:tentative="0">
      <w:start w:val="1"/>
      <w:numFmt w:val="decimal"/>
      <w:lvlText w:val="%1."/>
      <w:lvlJc w:val="left"/>
      <w:pPr>
        <w:ind w:left="2145"/>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1" w:tentative="0">
      <w:start w:val="1"/>
      <w:numFmt w:val="lowerLetter"/>
      <w:lvlText w:val="%2"/>
      <w:lvlJc w:val="left"/>
      <w:pPr>
        <w:ind w:left="252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2" w:tentative="0">
      <w:start w:val="1"/>
      <w:numFmt w:val="lowerRoman"/>
      <w:lvlText w:val="%3"/>
      <w:lvlJc w:val="left"/>
      <w:pPr>
        <w:ind w:left="324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3" w:tentative="0">
      <w:start w:val="1"/>
      <w:numFmt w:val="decimal"/>
      <w:lvlText w:val="%4"/>
      <w:lvlJc w:val="left"/>
      <w:pPr>
        <w:ind w:left="396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4" w:tentative="0">
      <w:start w:val="1"/>
      <w:numFmt w:val="lowerLetter"/>
      <w:lvlText w:val="%5"/>
      <w:lvlJc w:val="left"/>
      <w:pPr>
        <w:ind w:left="468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5" w:tentative="0">
      <w:start w:val="1"/>
      <w:numFmt w:val="lowerRoman"/>
      <w:lvlText w:val="%6"/>
      <w:lvlJc w:val="left"/>
      <w:pPr>
        <w:ind w:left="540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6" w:tentative="0">
      <w:start w:val="1"/>
      <w:numFmt w:val="decimal"/>
      <w:lvlText w:val="%7"/>
      <w:lvlJc w:val="left"/>
      <w:pPr>
        <w:ind w:left="612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7" w:tentative="0">
      <w:start w:val="1"/>
      <w:numFmt w:val="lowerLetter"/>
      <w:lvlText w:val="%8"/>
      <w:lvlJc w:val="left"/>
      <w:pPr>
        <w:ind w:left="684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8" w:tentative="0">
      <w:start w:val="1"/>
      <w:numFmt w:val="lowerRoman"/>
      <w:lvlText w:val="%9"/>
      <w:lvlJc w:val="left"/>
      <w:pPr>
        <w:ind w:left="756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abstractNum>
  <w:abstractNum w:abstractNumId="95">
    <w:nsid w:val="47F7175E"/>
    <w:multiLevelType w:val="multilevel"/>
    <w:tmpl w:val="47F7175E"/>
    <w:lvl w:ilvl="0" w:tentative="0">
      <w:start w:val="1"/>
      <w:numFmt w:val="lowerLetter"/>
      <w:lvlText w:val="%1)"/>
      <w:lvlJc w:val="left"/>
      <w:pPr>
        <w:ind w:left="420" w:hanging="420"/>
      </w:pPr>
      <w:rPr>
        <w:rFonts w:hint="default"/>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96">
    <w:nsid w:val="48496D70"/>
    <w:multiLevelType w:val="multilevel"/>
    <w:tmpl w:val="48496D70"/>
    <w:lvl w:ilvl="0" w:tentative="0">
      <w:start w:val="1"/>
      <w:numFmt w:val="decimal"/>
      <w:lvlText w:val="%1)"/>
      <w:lvlJc w:val="left"/>
      <w:pPr>
        <w:ind w:left="840"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97">
    <w:nsid w:val="487D1A08"/>
    <w:multiLevelType w:val="multilevel"/>
    <w:tmpl w:val="487D1A08"/>
    <w:lvl w:ilvl="0" w:tentative="0">
      <w:start w:val="1"/>
      <w:numFmt w:val="decimal"/>
      <w:lvlText w:val="%1."/>
      <w:lvlJc w:val="left"/>
      <w:pPr>
        <w:ind w:left="2145"/>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1" w:tentative="0">
      <w:start w:val="1"/>
      <w:numFmt w:val="lowerLetter"/>
      <w:lvlText w:val="%2"/>
      <w:lvlJc w:val="left"/>
      <w:pPr>
        <w:ind w:left="252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2" w:tentative="0">
      <w:start w:val="1"/>
      <w:numFmt w:val="lowerRoman"/>
      <w:lvlText w:val="%3"/>
      <w:lvlJc w:val="left"/>
      <w:pPr>
        <w:ind w:left="324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3" w:tentative="0">
      <w:start w:val="1"/>
      <w:numFmt w:val="decimal"/>
      <w:lvlText w:val="%4"/>
      <w:lvlJc w:val="left"/>
      <w:pPr>
        <w:ind w:left="396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4" w:tentative="0">
      <w:start w:val="1"/>
      <w:numFmt w:val="lowerLetter"/>
      <w:lvlText w:val="%5"/>
      <w:lvlJc w:val="left"/>
      <w:pPr>
        <w:ind w:left="468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5" w:tentative="0">
      <w:start w:val="1"/>
      <w:numFmt w:val="lowerRoman"/>
      <w:lvlText w:val="%6"/>
      <w:lvlJc w:val="left"/>
      <w:pPr>
        <w:ind w:left="540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6" w:tentative="0">
      <w:start w:val="1"/>
      <w:numFmt w:val="decimal"/>
      <w:lvlText w:val="%7"/>
      <w:lvlJc w:val="left"/>
      <w:pPr>
        <w:ind w:left="612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7" w:tentative="0">
      <w:start w:val="1"/>
      <w:numFmt w:val="lowerLetter"/>
      <w:lvlText w:val="%8"/>
      <w:lvlJc w:val="left"/>
      <w:pPr>
        <w:ind w:left="684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8" w:tentative="0">
      <w:start w:val="1"/>
      <w:numFmt w:val="lowerRoman"/>
      <w:lvlText w:val="%9"/>
      <w:lvlJc w:val="left"/>
      <w:pPr>
        <w:ind w:left="756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abstractNum>
  <w:abstractNum w:abstractNumId="98">
    <w:nsid w:val="48FA5DC1"/>
    <w:multiLevelType w:val="multilevel"/>
    <w:tmpl w:val="48FA5DC1"/>
    <w:lvl w:ilvl="0" w:tentative="0">
      <w:start w:val="1"/>
      <w:numFmt w:val="lowerLetter"/>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99">
    <w:nsid w:val="49743888"/>
    <w:multiLevelType w:val="multilevel"/>
    <w:tmpl w:val="49743888"/>
    <w:lvl w:ilvl="0" w:tentative="0">
      <w:start w:val="1"/>
      <w:numFmt w:val="decimal"/>
      <w:lvlText w:val="%1."/>
      <w:lvlJc w:val="left"/>
      <w:pPr>
        <w:ind w:left="870" w:hanging="420"/>
      </w:pPr>
      <w:rPr>
        <w:rFonts w:hint="eastAsia"/>
      </w:rPr>
    </w:lvl>
    <w:lvl w:ilvl="1" w:tentative="0">
      <w:start w:val="1"/>
      <w:numFmt w:val="lowerLetter"/>
      <w:lvlText w:val="%2)"/>
      <w:lvlJc w:val="left"/>
      <w:pPr>
        <w:ind w:left="1290" w:hanging="420"/>
      </w:pPr>
    </w:lvl>
    <w:lvl w:ilvl="2" w:tentative="0">
      <w:start w:val="1"/>
      <w:numFmt w:val="lowerRoman"/>
      <w:lvlText w:val="%3."/>
      <w:lvlJc w:val="right"/>
      <w:pPr>
        <w:ind w:left="1710" w:hanging="420"/>
      </w:pPr>
    </w:lvl>
    <w:lvl w:ilvl="3" w:tentative="0">
      <w:start w:val="1"/>
      <w:numFmt w:val="decimal"/>
      <w:lvlText w:val="%4."/>
      <w:lvlJc w:val="left"/>
      <w:pPr>
        <w:ind w:left="2130" w:hanging="420"/>
      </w:pPr>
    </w:lvl>
    <w:lvl w:ilvl="4" w:tentative="0">
      <w:start w:val="1"/>
      <w:numFmt w:val="lowerLetter"/>
      <w:lvlText w:val="%5)"/>
      <w:lvlJc w:val="left"/>
      <w:pPr>
        <w:ind w:left="2550" w:hanging="420"/>
      </w:pPr>
    </w:lvl>
    <w:lvl w:ilvl="5" w:tentative="0">
      <w:start w:val="1"/>
      <w:numFmt w:val="lowerRoman"/>
      <w:lvlText w:val="%6."/>
      <w:lvlJc w:val="right"/>
      <w:pPr>
        <w:ind w:left="2970" w:hanging="420"/>
      </w:pPr>
    </w:lvl>
    <w:lvl w:ilvl="6" w:tentative="0">
      <w:start w:val="1"/>
      <w:numFmt w:val="decimal"/>
      <w:lvlText w:val="%7."/>
      <w:lvlJc w:val="left"/>
      <w:pPr>
        <w:ind w:left="3390" w:hanging="420"/>
      </w:pPr>
    </w:lvl>
    <w:lvl w:ilvl="7" w:tentative="0">
      <w:start w:val="1"/>
      <w:numFmt w:val="lowerLetter"/>
      <w:lvlText w:val="%8)"/>
      <w:lvlJc w:val="left"/>
      <w:pPr>
        <w:ind w:left="3810" w:hanging="420"/>
      </w:pPr>
    </w:lvl>
    <w:lvl w:ilvl="8" w:tentative="0">
      <w:start w:val="1"/>
      <w:numFmt w:val="lowerRoman"/>
      <w:lvlText w:val="%9."/>
      <w:lvlJc w:val="right"/>
      <w:pPr>
        <w:ind w:left="4230" w:hanging="420"/>
      </w:pPr>
    </w:lvl>
  </w:abstractNum>
  <w:abstractNum w:abstractNumId="100">
    <w:nsid w:val="4A0ED646"/>
    <w:multiLevelType w:val="singleLevel"/>
    <w:tmpl w:val="4A0ED646"/>
    <w:lvl w:ilvl="0" w:tentative="0">
      <w:start w:val="1"/>
      <w:numFmt w:val="chineseCounting"/>
      <w:suff w:val="nothing"/>
      <w:lvlText w:val="%1、"/>
      <w:lvlJc w:val="left"/>
      <w:rPr>
        <w:rFonts w:hint="eastAsia"/>
        <w:b/>
        <w:bCs/>
      </w:rPr>
    </w:lvl>
  </w:abstractNum>
  <w:abstractNum w:abstractNumId="101">
    <w:nsid w:val="4AA27CC2"/>
    <w:multiLevelType w:val="multilevel"/>
    <w:tmpl w:val="4AA27CC2"/>
    <w:lvl w:ilvl="0" w:tentative="0">
      <w:start w:val="1"/>
      <w:numFmt w:val="bullet"/>
      <w:lvlText w:val=""/>
      <w:lvlJc w:val="left"/>
      <w:pPr>
        <w:ind w:left="900" w:hanging="420"/>
      </w:pPr>
      <w:rPr>
        <w:rFonts w:hint="default" w:ascii="Wingdings" w:hAnsi="Wingdings"/>
      </w:rPr>
    </w:lvl>
    <w:lvl w:ilvl="1" w:tentative="0">
      <w:start w:val="1"/>
      <w:numFmt w:val="bullet"/>
      <w:lvlText w:val=""/>
      <w:lvlJc w:val="left"/>
      <w:pPr>
        <w:ind w:left="1320" w:hanging="420"/>
      </w:pPr>
      <w:rPr>
        <w:rFonts w:hint="default" w:ascii="Wingdings" w:hAnsi="Wingdings"/>
      </w:rPr>
    </w:lvl>
    <w:lvl w:ilvl="2" w:tentative="0">
      <w:start w:val="1"/>
      <w:numFmt w:val="bullet"/>
      <w:lvlText w:val=""/>
      <w:lvlJc w:val="left"/>
      <w:pPr>
        <w:ind w:left="1740" w:hanging="420"/>
      </w:pPr>
      <w:rPr>
        <w:rFonts w:hint="default" w:ascii="Wingdings" w:hAnsi="Wingdings"/>
      </w:rPr>
    </w:lvl>
    <w:lvl w:ilvl="3" w:tentative="0">
      <w:start w:val="1"/>
      <w:numFmt w:val="bullet"/>
      <w:lvlText w:val=""/>
      <w:lvlJc w:val="left"/>
      <w:pPr>
        <w:ind w:left="2160" w:hanging="420"/>
      </w:pPr>
      <w:rPr>
        <w:rFonts w:hint="default" w:ascii="Wingdings" w:hAnsi="Wingdings"/>
      </w:rPr>
    </w:lvl>
    <w:lvl w:ilvl="4" w:tentative="0">
      <w:start w:val="1"/>
      <w:numFmt w:val="bullet"/>
      <w:lvlText w:val=""/>
      <w:lvlJc w:val="left"/>
      <w:pPr>
        <w:ind w:left="2580" w:hanging="420"/>
      </w:pPr>
      <w:rPr>
        <w:rFonts w:hint="default" w:ascii="Wingdings" w:hAnsi="Wingdings"/>
      </w:rPr>
    </w:lvl>
    <w:lvl w:ilvl="5" w:tentative="0">
      <w:start w:val="1"/>
      <w:numFmt w:val="bullet"/>
      <w:lvlText w:val=""/>
      <w:lvlJc w:val="left"/>
      <w:pPr>
        <w:ind w:left="3000" w:hanging="420"/>
      </w:pPr>
      <w:rPr>
        <w:rFonts w:hint="default" w:ascii="Wingdings" w:hAnsi="Wingdings"/>
      </w:rPr>
    </w:lvl>
    <w:lvl w:ilvl="6" w:tentative="0">
      <w:start w:val="1"/>
      <w:numFmt w:val="bullet"/>
      <w:lvlText w:val=""/>
      <w:lvlJc w:val="left"/>
      <w:pPr>
        <w:ind w:left="3420" w:hanging="420"/>
      </w:pPr>
      <w:rPr>
        <w:rFonts w:hint="default" w:ascii="Wingdings" w:hAnsi="Wingdings"/>
      </w:rPr>
    </w:lvl>
    <w:lvl w:ilvl="7" w:tentative="0">
      <w:start w:val="1"/>
      <w:numFmt w:val="bullet"/>
      <w:lvlText w:val=""/>
      <w:lvlJc w:val="left"/>
      <w:pPr>
        <w:ind w:left="3840" w:hanging="420"/>
      </w:pPr>
      <w:rPr>
        <w:rFonts w:hint="default" w:ascii="Wingdings" w:hAnsi="Wingdings"/>
      </w:rPr>
    </w:lvl>
    <w:lvl w:ilvl="8" w:tentative="0">
      <w:start w:val="1"/>
      <w:numFmt w:val="bullet"/>
      <w:lvlText w:val=""/>
      <w:lvlJc w:val="left"/>
      <w:pPr>
        <w:ind w:left="4260" w:hanging="420"/>
      </w:pPr>
      <w:rPr>
        <w:rFonts w:hint="default" w:ascii="Wingdings" w:hAnsi="Wingdings"/>
      </w:rPr>
    </w:lvl>
  </w:abstractNum>
  <w:abstractNum w:abstractNumId="102">
    <w:nsid w:val="4AC5213D"/>
    <w:multiLevelType w:val="multilevel"/>
    <w:tmpl w:val="4AC5213D"/>
    <w:lvl w:ilvl="0" w:tentative="0">
      <w:start w:val="1"/>
      <w:numFmt w:val="decimal"/>
      <w:lvlText w:val="%1."/>
      <w:lvlJc w:val="left"/>
      <w:pPr>
        <w:ind w:left="2145"/>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1" w:tentative="0">
      <w:start w:val="1"/>
      <w:numFmt w:val="lowerLetter"/>
      <w:lvlText w:val="%2"/>
      <w:lvlJc w:val="left"/>
      <w:pPr>
        <w:ind w:left="252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2" w:tentative="0">
      <w:start w:val="1"/>
      <w:numFmt w:val="lowerRoman"/>
      <w:lvlText w:val="%3"/>
      <w:lvlJc w:val="left"/>
      <w:pPr>
        <w:ind w:left="324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3" w:tentative="0">
      <w:start w:val="1"/>
      <w:numFmt w:val="decimal"/>
      <w:lvlText w:val="%4"/>
      <w:lvlJc w:val="left"/>
      <w:pPr>
        <w:ind w:left="396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4" w:tentative="0">
      <w:start w:val="1"/>
      <w:numFmt w:val="lowerLetter"/>
      <w:lvlText w:val="%5"/>
      <w:lvlJc w:val="left"/>
      <w:pPr>
        <w:ind w:left="468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5" w:tentative="0">
      <w:start w:val="1"/>
      <w:numFmt w:val="lowerRoman"/>
      <w:lvlText w:val="%6"/>
      <w:lvlJc w:val="left"/>
      <w:pPr>
        <w:ind w:left="540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6" w:tentative="0">
      <w:start w:val="1"/>
      <w:numFmt w:val="decimal"/>
      <w:lvlText w:val="%7"/>
      <w:lvlJc w:val="left"/>
      <w:pPr>
        <w:ind w:left="612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7" w:tentative="0">
      <w:start w:val="1"/>
      <w:numFmt w:val="lowerLetter"/>
      <w:lvlText w:val="%8"/>
      <w:lvlJc w:val="left"/>
      <w:pPr>
        <w:ind w:left="684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8" w:tentative="0">
      <w:start w:val="1"/>
      <w:numFmt w:val="lowerRoman"/>
      <w:lvlText w:val="%9"/>
      <w:lvlJc w:val="left"/>
      <w:pPr>
        <w:ind w:left="756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abstractNum>
  <w:abstractNum w:abstractNumId="103">
    <w:nsid w:val="4BD56752"/>
    <w:multiLevelType w:val="multilevel"/>
    <w:tmpl w:val="4BD56752"/>
    <w:lvl w:ilvl="0" w:tentative="0">
      <w:start w:val="1"/>
      <w:numFmt w:val="decimal"/>
      <w:lvlText w:val="%1."/>
      <w:lvlJc w:val="left"/>
      <w:pPr>
        <w:ind w:left="1177" w:hanging="420"/>
      </w:pPr>
    </w:lvl>
    <w:lvl w:ilvl="1" w:tentative="0">
      <w:start w:val="1"/>
      <w:numFmt w:val="lowerLetter"/>
      <w:lvlText w:val="%2)"/>
      <w:lvlJc w:val="left"/>
      <w:pPr>
        <w:ind w:left="1597" w:hanging="420"/>
      </w:pPr>
    </w:lvl>
    <w:lvl w:ilvl="2" w:tentative="0">
      <w:start w:val="1"/>
      <w:numFmt w:val="lowerRoman"/>
      <w:lvlText w:val="%3."/>
      <w:lvlJc w:val="right"/>
      <w:pPr>
        <w:ind w:left="2017" w:hanging="420"/>
      </w:pPr>
    </w:lvl>
    <w:lvl w:ilvl="3" w:tentative="0">
      <w:start w:val="1"/>
      <w:numFmt w:val="decimal"/>
      <w:lvlText w:val="%4."/>
      <w:lvlJc w:val="left"/>
      <w:pPr>
        <w:ind w:left="2437" w:hanging="420"/>
      </w:pPr>
    </w:lvl>
    <w:lvl w:ilvl="4" w:tentative="0">
      <w:start w:val="1"/>
      <w:numFmt w:val="lowerLetter"/>
      <w:lvlText w:val="%5)"/>
      <w:lvlJc w:val="left"/>
      <w:pPr>
        <w:ind w:left="2857" w:hanging="420"/>
      </w:pPr>
    </w:lvl>
    <w:lvl w:ilvl="5" w:tentative="0">
      <w:start w:val="1"/>
      <w:numFmt w:val="lowerRoman"/>
      <w:lvlText w:val="%6."/>
      <w:lvlJc w:val="right"/>
      <w:pPr>
        <w:ind w:left="3277" w:hanging="420"/>
      </w:pPr>
    </w:lvl>
    <w:lvl w:ilvl="6" w:tentative="0">
      <w:start w:val="1"/>
      <w:numFmt w:val="decimal"/>
      <w:lvlText w:val="%7."/>
      <w:lvlJc w:val="left"/>
      <w:pPr>
        <w:ind w:left="3697" w:hanging="420"/>
      </w:pPr>
    </w:lvl>
    <w:lvl w:ilvl="7" w:tentative="0">
      <w:start w:val="1"/>
      <w:numFmt w:val="lowerLetter"/>
      <w:lvlText w:val="%8)"/>
      <w:lvlJc w:val="left"/>
      <w:pPr>
        <w:ind w:left="4117" w:hanging="420"/>
      </w:pPr>
    </w:lvl>
    <w:lvl w:ilvl="8" w:tentative="0">
      <w:start w:val="1"/>
      <w:numFmt w:val="lowerRoman"/>
      <w:lvlText w:val="%9."/>
      <w:lvlJc w:val="right"/>
      <w:pPr>
        <w:ind w:left="4537" w:hanging="420"/>
      </w:pPr>
    </w:lvl>
  </w:abstractNum>
  <w:abstractNum w:abstractNumId="104">
    <w:nsid w:val="4C32743B"/>
    <w:multiLevelType w:val="singleLevel"/>
    <w:tmpl w:val="4C32743B"/>
    <w:lvl w:ilvl="0" w:tentative="0">
      <w:start w:val="1"/>
      <w:numFmt w:val="decimal"/>
      <w:lvlText w:val="%1."/>
      <w:lvlJc w:val="left"/>
      <w:pPr>
        <w:ind w:left="425" w:hanging="425"/>
      </w:pPr>
      <w:rPr>
        <w:rFonts w:hint="default"/>
      </w:rPr>
    </w:lvl>
  </w:abstractNum>
  <w:abstractNum w:abstractNumId="105">
    <w:nsid w:val="4E3918AC"/>
    <w:multiLevelType w:val="multilevel"/>
    <w:tmpl w:val="4E3918AC"/>
    <w:lvl w:ilvl="0" w:tentative="0">
      <w:start w:val="1"/>
      <w:numFmt w:val="bullet"/>
      <w:lvlText w:val=""/>
      <w:lvlJc w:val="left"/>
      <w:pPr>
        <w:ind w:left="840" w:hanging="420"/>
      </w:pPr>
      <w:rPr>
        <w:rFonts w:hint="default" w:ascii="Wingdings" w:hAnsi="Wingdings"/>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106">
    <w:nsid w:val="4FF952A4"/>
    <w:multiLevelType w:val="multilevel"/>
    <w:tmpl w:val="4FF952A4"/>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07">
    <w:nsid w:val="532602E7"/>
    <w:multiLevelType w:val="multilevel"/>
    <w:tmpl w:val="532602E7"/>
    <w:lvl w:ilvl="0" w:tentative="0">
      <w:start w:val="1"/>
      <w:numFmt w:val="decimal"/>
      <w:lvlText w:val="%1."/>
      <w:lvlJc w:val="left"/>
      <w:pPr>
        <w:ind w:left="2145"/>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1" w:tentative="0">
      <w:start w:val="1"/>
      <w:numFmt w:val="lowerLetter"/>
      <w:lvlText w:val="%2"/>
      <w:lvlJc w:val="left"/>
      <w:pPr>
        <w:ind w:left="252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2" w:tentative="0">
      <w:start w:val="1"/>
      <w:numFmt w:val="lowerRoman"/>
      <w:lvlText w:val="%3"/>
      <w:lvlJc w:val="left"/>
      <w:pPr>
        <w:ind w:left="324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3" w:tentative="0">
      <w:start w:val="1"/>
      <w:numFmt w:val="decimal"/>
      <w:lvlText w:val="%4"/>
      <w:lvlJc w:val="left"/>
      <w:pPr>
        <w:ind w:left="396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4" w:tentative="0">
      <w:start w:val="1"/>
      <w:numFmt w:val="lowerLetter"/>
      <w:lvlText w:val="%5"/>
      <w:lvlJc w:val="left"/>
      <w:pPr>
        <w:ind w:left="468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5" w:tentative="0">
      <w:start w:val="1"/>
      <w:numFmt w:val="lowerRoman"/>
      <w:lvlText w:val="%6"/>
      <w:lvlJc w:val="left"/>
      <w:pPr>
        <w:ind w:left="540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6" w:tentative="0">
      <w:start w:val="1"/>
      <w:numFmt w:val="decimal"/>
      <w:lvlText w:val="%7"/>
      <w:lvlJc w:val="left"/>
      <w:pPr>
        <w:ind w:left="612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7" w:tentative="0">
      <w:start w:val="1"/>
      <w:numFmt w:val="lowerLetter"/>
      <w:lvlText w:val="%8"/>
      <w:lvlJc w:val="left"/>
      <w:pPr>
        <w:ind w:left="684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8" w:tentative="0">
      <w:start w:val="1"/>
      <w:numFmt w:val="lowerRoman"/>
      <w:lvlText w:val="%9"/>
      <w:lvlJc w:val="left"/>
      <w:pPr>
        <w:ind w:left="756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abstractNum>
  <w:abstractNum w:abstractNumId="108">
    <w:nsid w:val="542B2E88"/>
    <w:multiLevelType w:val="multilevel"/>
    <w:tmpl w:val="542B2E88"/>
    <w:lvl w:ilvl="0" w:tentative="0">
      <w:start w:val="1"/>
      <w:numFmt w:val="decimal"/>
      <w:lvlText w:val="%1."/>
      <w:lvlJc w:val="left"/>
      <w:pPr>
        <w:ind w:left="910" w:hanging="420"/>
      </w:pPr>
      <w:rPr>
        <w:rFonts w:hint="eastAsia"/>
      </w:rPr>
    </w:lvl>
    <w:lvl w:ilvl="1" w:tentative="0">
      <w:start w:val="1"/>
      <w:numFmt w:val="lowerLetter"/>
      <w:lvlText w:val="%2)"/>
      <w:lvlJc w:val="left"/>
      <w:pPr>
        <w:ind w:left="1330" w:hanging="420"/>
      </w:pPr>
    </w:lvl>
    <w:lvl w:ilvl="2" w:tentative="0">
      <w:start w:val="1"/>
      <w:numFmt w:val="lowerRoman"/>
      <w:lvlText w:val="%3."/>
      <w:lvlJc w:val="right"/>
      <w:pPr>
        <w:ind w:left="1750" w:hanging="420"/>
      </w:pPr>
    </w:lvl>
    <w:lvl w:ilvl="3" w:tentative="0">
      <w:start w:val="1"/>
      <w:numFmt w:val="decimal"/>
      <w:lvlText w:val="%4."/>
      <w:lvlJc w:val="left"/>
      <w:pPr>
        <w:ind w:left="2170" w:hanging="420"/>
      </w:pPr>
    </w:lvl>
    <w:lvl w:ilvl="4" w:tentative="0">
      <w:start w:val="1"/>
      <w:numFmt w:val="lowerLetter"/>
      <w:lvlText w:val="%5)"/>
      <w:lvlJc w:val="left"/>
      <w:pPr>
        <w:ind w:left="2590" w:hanging="420"/>
      </w:pPr>
    </w:lvl>
    <w:lvl w:ilvl="5" w:tentative="0">
      <w:start w:val="1"/>
      <w:numFmt w:val="lowerRoman"/>
      <w:lvlText w:val="%6."/>
      <w:lvlJc w:val="right"/>
      <w:pPr>
        <w:ind w:left="3010" w:hanging="420"/>
      </w:pPr>
    </w:lvl>
    <w:lvl w:ilvl="6" w:tentative="0">
      <w:start w:val="1"/>
      <w:numFmt w:val="decimal"/>
      <w:lvlText w:val="%7."/>
      <w:lvlJc w:val="left"/>
      <w:pPr>
        <w:ind w:left="3430" w:hanging="420"/>
      </w:pPr>
    </w:lvl>
    <w:lvl w:ilvl="7" w:tentative="0">
      <w:start w:val="1"/>
      <w:numFmt w:val="lowerLetter"/>
      <w:lvlText w:val="%8)"/>
      <w:lvlJc w:val="left"/>
      <w:pPr>
        <w:ind w:left="3850" w:hanging="420"/>
      </w:pPr>
    </w:lvl>
    <w:lvl w:ilvl="8" w:tentative="0">
      <w:start w:val="1"/>
      <w:numFmt w:val="lowerRoman"/>
      <w:lvlText w:val="%9."/>
      <w:lvlJc w:val="right"/>
      <w:pPr>
        <w:ind w:left="4270" w:hanging="420"/>
      </w:pPr>
    </w:lvl>
  </w:abstractNum>
  <w:abstractNum w:abstractNumId="109">
    <w:nsid w:val="5477306A"/>
    <w:multiLevelType w:val="multilevel"/>
    <w:tmpl w:val="5477306A"/>
    <w:lvl w:ilvl="0" w:tentative="0">
      <w:start w:val="1"/>
      <w:numFmt w:val="decimal"/>
      <w:lvlText w:val="%1."/>
      <w:lvlJc w:val="left"/>
      <w:pPr>
        <w:ind w:left="870" w:hanging="420"/>
      </w:pPr>
      <w:rPr>
        <w:rFonts w:hint="eastAsia"/>
      </w:rPr>
    </w:lvl>
    <w:lvl w:ilvl="1" w:tentative="0">
      <w:start w:val="1"/>
      <w:numFmt w:val="lowerLetter"/>
      <w:lvlText w:val="%2)"/>
      <w:lvlJc w:val="left"/>
      <w:pPr>
        <w:ind w:left="1290" w:hanging="420"/>
      </w:pPr>
    </w:lvl>
    <w:lvl w:ilvl="2" w:tentative="0">
      <w:start w:val="1"/>
      <w:numFmt w:val="lowerRoman"/>
      <w:lvlText w:val="%3."/>
      <w:lvlJc w:val="right"/>
      <w:pPr>
        <w:ind w:left="1710" w:hanging="420"/>
      </w:pPr>
    </w:lvl>
    <w:lvl w:ilvl="3" w:tentative="0">
      <w:start w:val="1"/>
      <w:numFmt w:val="decimal"/>
      <w:lvlText w:val="%4."/>
      <w:lvlJc w:val="left"/>
      <w:pPr>
        <w:ind w:left="2130" w:hanging="420"/>
      </w:pPr>
    </w:lvl>
    <w:lvl w:ilvl="4" w:tentative="0">
      <w:start w:val="1"/>
      <w:numFmt w:val="lowerLetter"/>
      <w:lvlText w:val="%5)"/>
      <w:lvlJc w:val="left"/>
      <w:pPr>
        <w:ind w:left="2550" w:hanging="420"/>
      </w:pPr>
    </w:lvl>
    <w:lvl w:ilvl="5" w:tentative="0">
      <w:start w:val="1"/>
      <w:numFmt w:val="lowerRoman"/>
      <w:lvlText w:val="%6."/>
      <w:lvlJc w:val="right"/>
      <w:pPr>
        <w:ind w:left="2970" w:hanging="420"/>
      </w:pPr>
    </w:lvl>
    <w:lvl w:ilvl="6" w:tentative="0">
      <w:start w:val="1"/>
      <w:numFmt w:val="decimal"/>
      <w:lvlText w:val="%7."/>
      <w:lvlJc w:val="left"/>
      <w:pPr>
        <w:ind w:left="3390" w:hanging="420"/>
      </w:pPr>
    </w:lvl>
    <w:lvl w:ilvl="7" w:tentative="0">
      <w:start w:val="1"/>
      <w:numFmt w:val="lowerLetter"/>
      <w:lvlText w:val="%8)"/>
      <w:lvlJc w:val="left"/>
      <w:pPr>
        <w:ind w:left="3810" w:hanging="420"/>
      </w:pPr>
    </w:lvl>
    <w:lvl w:ilvl="8" w:tentative="0">
      <w:start w:val="1"/>
      <w:numFmt w:val="lowerRoman"/>
      <w:lvlText w:val="%9."/>
      <w:lvlJc w:val="right"/>
      <w:pPr>
        <w:ind w:left="4230" w:hanging="420"/>
      </w:pPr>
    </w:lvl>
  </w:abstractNum>
  <w:abstractNum w:abstractNumId="110">
    <w:nsid w:val="54AA3C70"/>
    <w:multiLevelType w:val="multilevel"/>
    <w:tmpl w:val="54AA3C70"/>
    <w:lvl w:ilvl="0" w:tentative="0">
      <w:start w:val="1"/>
      <w:numFmt w:val="lowerRoman"/>
      <w:lvlText w:val="%1."/>
      <w:lvlJc w:val="left"/>
      <w:pPr>
        <w:ind w:left="2970"/>
      </w:pPr>
      <w:rPr>
        <w:rFonts w:ascii="等线" w:hAnsi="等线" w:eastAsia="等线" w:cs="等线"/>
        <w:b w:val="0"/>
        <w:i w:val="0"/>
        <w:strike w:val="0"/>
        <w:dstrike w:val="0"/>
        <w:color w:val="000000"/>
        <w:sz w:val="24"/>
        <w:szCs w:val="24"/>
        <w:u w:val="none" w:color="000000"/>
        <w:shd w:val="clear" w:color="auto" w:fill="auto"/>
        <w:vertAlign w:val="baseline"/>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11">
    <w:nsid w:val="54D4095E"/>
    <w:multiLevelType w:val="multilevel"/>
    <w:tmpl w:val="54D4095E"/>
    <w:lvl w:ilvl="0" w:tentative="0">
      <w:start w:val="1"/>
      <w:numFmt w:val="decimal"/>
      <w:lvlText w:val="%1."/>
      <w:lvlJc w:val="left"/>
      <w:pPr>
        <w:ind w:left="870" w:hanging="420"/>
      </w:pPr>
      <w:rPr>
        <w:rFonts w:hint="eastAsia"/>
      </w:rPr>
    </w:lvl>
    <w:lvl w:ilvl="1" w:tentative="0">
      <w:start w:val="1"/>
      <w:numFmt w:val="lowerLetter"/>
      <w:lvlText w:val="%2)"/>
      <w:lvlJc w:val="left"/>
      <w:pPr>
        <w:ind w:left="1290" w:hanging="420"/>
      </w:pPr>
    </w:lvl>
    <w:lvl w:ilvl="2" w:tentative="0">
      <w:start w:val="1"/>
      <w:numFmt w:val="lowerRoman"/>
      <w:lvlText w:val="%3."/>
      <w:lvlJc w:val="right"/>
      <w:pPr>
        <w:ind w:left="1710" w:hanging="420"/>
      </w:pPr>
    </w:lvl>
    <w:lvl w:ilvl="3" w:tentative="0">
      <w:start w:val="1"/>
      <w:numFmt w:val="decimal"/>
      <w:lvlText w:val="%4."/>
      <w:lvlJc w:val="left"/>
      <w:pPr>
        <w:ind w:left="2130" w:hanging="420"/>
      </w:pPr>
    </w:lvl>
    <w:lvl w:ilvl="4" w:tentative="0">
      <w:start w:val="1"/>
      <w:numFmt w:val="lowerLetter"/>
      <w:lvlText w:val="%5)"/>
      <w:lvlJc w:val="left"/>
      <w:pPr>
        <w:ind w:left="2550" w:hanging="420"/>
      </w:pPr>
    </w:lvl>
    <w:lvl w:ilvl="5" w:tentative="0">
      <w:start w:val="1"/>
      <w:numFmt w:val="lowerRoman"/>
      <w:lvlText w:val="%6."/>
      <w:lvlJc w:val="right"/>
      <w:pPr>
        <w:ind w:left="2970" w:hanging="420"/>
      </w:pPr>
    </w:lvl>
    <w:lvl w:ilvl="6" w:tentative="0">
      <w:start w:val="1"/>
      <w:numFmt w:val="decimal"/>
      <w:lvlText w:val="%7."/>
      <w:lvlJc w:val="left"/>
      <w:pPr>
        <w:ind w:left="3390" w:hanging="420"/>
      </w:pPr>
    </w:lvl>
    <w:lvl w:ilvl="7" w:tentative="0">
      <w:start w:val="1"/>
      <w:numFmt w:val="lowerLetter"/>
      <w:lvlText w:val="%8)"/>
      <w:lvlJc w:val="left"/>
      <w:pPr>
        <w:ind w:left="3810" w:hanging="420"/>
      </w:pPr>
    </w:lvl>
    <w:lvl w:ilvl="8" w:tentative="0">
      <w:start w:val="1"/>
      <w:numFmt w:val="lowerRoman"/>
      <w:lvlText w:val="%9."/>
      <w:lvlJc w:val="right"/>
      <w:pPr>
        <w:ind w:left="4230" w:hanging="420"/>
      </w:pPr>
    </w:lvl>
  </w:abstractNum>
  <w:abstractNum w:abstractNumId="112">
    <w:nsid w:val="54E89296"/>
    <w:multiLevelType w:val="singleLevel"/>
    <w:tmpl w:val="54E89296"/>
    <w:lvl w:ilvl="0" w:tentative="0">
      <w:start w:val="1"/>
      <w:numFmt w:val="decimal"/>
      <w:lvlText w:val="%1."/>
      <w:lvlJc w:val="left"/>
      <w:pPr>
        <w:ind w:left="425" w:hanging="425"/>
      </w:pPr>
      <w:rPr>
        <w:rFonts w:hint="default"/>
      </w:rPr>
    </w:lvl>
  </w:abstractNum>
  <w:abstractNum w:abstractNumId="113">
    <w:nsid w:val="5557442B"/>
    <w:multiLevelType w:val="multilevel"/>
    <w:tmpl w:val="5557442B"/>
    <w:lvl w:ilvl="0" w:tentative="0">
      <w:start w:val="1"/>
      <w:numFmt w:val="decimal"/>
      <w:lvlText w:val="%1."/>
      <w:lvlJc w:val="left"/>
      <w:pPr>
        <w:ind w:left="870" w:hanging="420"/>
      </w:pPr>
      <w:rPr>
        <w:rFonts w:hint="eastAsia"/>
      </w:rPr>
    </w:lvl>
    <w:lvl w:ilvl="1" w:tentative="0">
      <w:start w:val="1"/>
      <w:numFmt w:val="lowerLetter"/>
      <w:lvlText w:val="%2)"/>
      <w:lvlJc w:val="left"/>
      <w:pPr>
        <w:ind w:left="1290" w:hanging="420"/>
      </w:pPr>
    </w:lvl>
    <w:lvl w:ilvl="2" w:tentative="0">
      <w:start w:val="1"/>
      <w:numFmt w:val="lowerRoman"/>
      <w:lvlText w:val="%3."/>
      <w:lvlJc w:val="right"/>
      <w:pPr>
        <w:ind w:left="1710" w:hanging="420"/>
      </w:pPr>
    </w:lvl>
    <w:lvl w:ilvl="3" w:tentative="0">
      <w:start w:val="1"/>
      <w:numFmt w:val="decimal"/>
      <w:lvlText w:val="%4."/>
      <w:lvlJc w:val="left"/>
      <w:pPr>
        <w:ind w:left="2130" w:hanging="420"/>
      </w:pPr>
    </w:lvl>
    <w:lvl w:ilvl="4" w:tentative="0">
      <w:start w:val="1"/>
      <w:numFmt w:val="lowerLetter"/>
      <w:lvlText w:val="%5)"/>
      <w:lvlJc w:val="left"/>
      <w:pPr>
        <w:ind w:left="2550" w:hanging="420"/>
      </w:pPr>
    </w:lvl>
    <w:lvl w:ilvl="5" w:tentative="0">
      <w:start w:val="1"/>
      <w:numFmt w:val="lowerRoman"/>
      <w:lvlText w:val="%6."/>
      <w:lvlJc w:val="right"/>
      <w:pPr>
        <w:ind w:left="2970" w:hanging="420"/>
      </w:pPr>
    </w:lvl>
    <w:lvl w:ilvl="6" w:tentative="0">
      <w:start w:val="1"/>
      <w:numFmt w:val="decimal"/>
      <w:lvlText w:val="%7."/>
      <w:lvlJc w:val="left"/>
      <w:pPr>
        <w:ind w:left="3390" w:hanging="420"/>
      </w:pPr>
    </w:lvl>
    <w:lvl w:ilvl="7" w:tentative="0">
      <w:start w:val="1"/>
      <w:numFmt w:val="lowerLetter"/>
      <w:lvlText w:val="%8)"/>
      <w:lvlJc w:val="left"/>
      <w:pPr>
        <w:ind w:left="3810" w:hanging="420"/>
      </w:pPr>
    </w:lvl>
    <w:lvl w:ilvl="8" w:tentative="0">
      <w:start w:val="1"/>
      <w:numFmt w:val="lowerRoman"/>
      <w:lvlText w:val="%9."/>
      <w:lvlJc w:val="right"/>
      <w:pPr>
        <w:ind w:left="4230" w:hanging="420"/>
      </w:pPr>
    </w:lvl>
  </w:abstractNum>
  <w:abstractNum w:abstractNumId="114">
    <w:nsid w:val="555A262A"/>
    <w:multiLevelType w:val="multilevel"/>
    <w:tmpl w:val="555A262A"/>
    <w:lvl w:ilvl="0" w:tentative="0">
      <w:start w:val="1"/>
      <w:numFmt w:val="decimal"/>
      <w:lvlText w:val="%1."/>
      <w:lvlJc w:val="left"/>
      <w:pPr>
        <w:ind w:left="2145"/>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1" w:tentative="0">
      <w:start w:val="1"/>
      <w:numFmt w:val="lowerLetter"/>
      <w:lvlText w:val="%2"/>
      <w:lvlJc w:val="left"/>
      <w:pPr>
        <w:ind w:left="252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2" w:tentative="0">
      <w:start w:val="1"/>
      <w:numFmt w:val="lowerRoman"/>
      <w:lvlText w:val="%3"/>
      <w:lvlJc w:val="left"/>
      <w:pPr>
        <w:ind w:left="324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3" w:tentative="0">
      <w:start w:val="1"/>
      <w:numFmt w:val="decimal"/>
      <w:lvlText w:val="%4"/>
      <w:lvlJc w:val="left"/>
      <w:pPr>
        <w:ind w:left="396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4" w:tentative="0">
      <w:start w:val="1"/>
      <w:numFmt w:val="lowerLetter"/>
      <w:lvlText w:val="%5"/>
      <w:lvlJc w:val="left"/>
      <w:pPr>
        <w:ind w:left="468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5" w:tentative="0">
      <w:start w:val="1"/>
      <w:numFmt w:val="lowerRoman"/>
      <w:lvlText w:val="%6"/>
      <w:lvlJc w:val="left"/>
      <w:pPr>
        <w:ind w:left="540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6" w:tentative="0">
      <w:start w:val="1"/>
      <w:numFmt w:val="decimal"/>
      <w:lvlText w:val="%7"/>
      <w:lvlJc w:val="left"/>
      <w:pPr>
        <w:ind w:left="612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7" w:tentative="0">
      <w:start w:val="1"/>
      <w:numFmt w:val="lowerLetter"/>
      <w:lvlText w:val="%8"/>
      <w:lvlJc w:val="left"/>
      <w:pPr>
        <w:ind w:left="684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8" w:tentative="0">
      <w:start w:val="1"/>
      <w:numFmt w:val="lowerRoman"/>
      <w:lvlText w:val="%9"/>
      <w:lvlJc w:val="left"/>
      <w:pPr>
        <w:ind w:left="756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abstractNum>
  <w:abstractNum w:abstractNumId="115">
    <w:nsid w:val="55AE46CF"/>
    <w:multiLevelType w:val="multilevel"/>
    <w:tmpl w:val="55AE46CF"/>
    <w:lvl w:ilvl="0" w:tentative="0">
      <w:start w:val="1"/>
      <w:numFmt w:val="chineseCountingThousand"/>
      <w:lvlText w:val="(%1)"/>
      <w:lvlJc w:val="left"/>
      <w:pPr>
        <w:ind w:left="1177" w:hanging="420"/>
      </w:pPr>
    </w:lvl>
    <w:lvl w:ilvl="1" w:tentative="0">
      <w:start w:val="1"/>
      <w:numFmt w:val="lowerLetter"/>
      <w:lvlText w:val="%2)"/>
      <w:lvlJc w:val="left"/>
      <w:pPr>
        <w:ind w:left="1597" w:hanging="420"/>
      </w:pPr>
    </w:lvl>
    <w:lvl w:ilvl="2" w:tentative="0">
      <w:start w:val="1"/>
      <w:numFmt w:val="lowerRoman"/>
      <w:lvlText w:val="%3."/>
      <w:lvlJc w:val="right"/>
      <w:pPr>
        <w:ind w:left="2017" w:hanging="420"/>
      </w:pPr>
    </w:lvl>
    <w:lvl w:ilvl="3" w:tentative="0">
      <w:start w:val="1"/>
      <w:numFmt w:val="decimal"/>
      <w:lvlText w:val="%4."/>
      <w:lvlJc w:val="left"/>
      <w:pPr>
        <w:ind w:left="2437" w:hanging="420"/>
      </w:pPr>
    </w:lvl>
    <w:lvl w:ilvl="4" w:tentative="0">
      <w:start w:val="1"/>
      <w:numFmt w:val="lowerLetter"/>
      <w:lvlText w:val="%5)"/>
      <w:lvlJc w:val="left"/>
      <w:pPr>
        <w:ind w:left="2857" w:hanging="420"/>
      </w:pPr>
    </w:lvl>
    <w:lvl w:ilvl="5" w:tentative="0">
      <w:start w:val="1"/>
      <w:numFmt w:val="lowerRoman"/>
      <w:lvlText w:val="%6."/>
      <w:lvlJc w:val="right"/>
      <w:pPr>
        <w:ind w:left="3277" w:hanging="420"/>
      </w:pPr>
    </w:lvl>
    <w:lvl w:ilvl="6" w:tentative="0">
      <w:start w:val="1"/>
      <w:numFmt w:val="decimal"/>
      <w:lvlText w:val="%7."/>
      <w:lvlJc w:val="left"/>
      <w:pPr>
        <w:ind w:left="3697" w:hanging="420"/>
      </w:pPr>
    </w:lvl>
    <w:lvl w:ilvl="7" w:tentative="0">
      <w:start w:val="1"/>
      <w:numFmt w:val="lowerLetter"/>
      <w:lvlText w:val="%8)"/>
      <w:lvlJc w:val="left"/>
      <w:pPr>
        <w:ind w:left="4117" w:hanging="420"/>
      </w:pPr>
    </w:lvl>
    <w:lvl w:ilvl="8" w:tentative="0">
      <w:start w:val="1"/>
      <w:numFmt w:val="lowerRoman"/>
      <w:lvlText w:val="%9."/>
      <w:lvlJc w:val="right"/>
      <w:pPr>
        <w:ind w:left="4537" w:hanging="420"/>
      </w:pPr>
    </w:lvl>
  </w:abstractNum>
  <w:abstractNum w:abstractNumId="116">
    <w:nsid w:val="55C409D6"/>
    <w:multiLevelType w:val="multilevel"/>
    <w:tmpl w:val="55C409D6"/>
    <w:lvl w:ilvl="0" w:tentative="0">
      <w:start w:val="1"/>
      <w:numFmt w:val="decimal"/>
      <w:lvlText w:val="%1"/>
      <w:lvlJc w:val="left"/>
      <w:pPr>
        <w:ind w:left="425" w:hanging="425"/>
      </w:pPr>
      <w:rPr>
        <w:rFonts w:hint="default"/>
      </w:rPr>
    </w:lvl>
    <w:lvl w:ilvl="1" w:tentative="0">
      <w:start w:val="1"/>
      <w:numFmt w:val="decimal"/>
      <w:lvlText w:val="%1.%2"/>
      <w:lvlJc w:val="left"/>
      <w:pPr>
        <w:ind w:left="567" w:hanging="567"/>
      </w:pPr>
      <w:rPr>
        <w:rFonts w:hint="eastAsia"/>
      </w:rPr>
    </w:lvl>
    <w:lvl w:ilvl="2" w:tentative="0">
      <w:start w:val="1"/>
      <w:numFmt w:val="decimal"/>
      <w:lvlText w:val="%1.%2.%3"/>
      <w:lvlJc w:val="left"/>
      <w:pPr>
        <w:ind w:left="567" w:hanging="567"/>
      </w:pPr>
      <w:rPr>
        <w:rFonts w:hint="default"/>
      </w:rPr>
    </w:lvl>
    <w:lvl w:ilvl="3" w:tentative="0">
      <w:start w:val="1"/>
      <w:numFmt w:val="decimal"/>
      <w:lvlText w:val="%1.%2.%3.%4"/>
      <w:lvlJc w:val="left"/>
      <w:pPr>
        <w:ind w:left="1984" w:hanging="708"/>
      </w:pPr>
      <w:rPr>
        <w:rFonts w:hint="default"/>
      </w:rPr>
    </w:lvl>
    <w:lvl w:ilvl="4" w:tentative="0">
      <w:start w:val="1"/>
      <w:numFmt w:val="decimal"/>
      <w:lvlText w:val="%1.%2.%3.%4.%5"/>
      <w:lvlJc w:val="left"/>
      <w:pPr>
        <w:ind w:left="2551" w:hanging="850"/>
      </w:pPr>
      <w:rPr>
        <w:rFonts w:hint="default"/>
      </w:rPr>
    </w:lvl>
    <w:lvl w:ilvl="5" w:tentative="0">
      <w:start w:val="1"/>
      <w:numFmt w:val="decimal"/>
      <w:lvlText w:val="%1.%2.%3.%4.%5.%6"/>
      <w:lvlJc w:val="left"/>
      <w:pPr>
        <w:ind w:left="3260" w:hanging="1134"/>
      </w:pPr>
      <w:rPr>
        <w:rFonts w:hint="default"/>
      </w:rPr>
    </w:lvl>
    <w:lvl w:ilvl="6" w:tentative="0">
      <w:start w:val="1"/>
      <w:numFmt w:val="decimal"/>
      <w:lvlText w:val="%1.%2.%3.%4.%5.%6.%7"/>
      <w:lvlJc w:val="left"/>
      <w:pPr>
        <w:ind w:left="3827" w:hanging="1276"/>
      </w:pPr>
      <w:rPr>
        <w:rFonts w:hint="default"/>
      </w:rPr>
    </w:lvl>
    <w:lvl w:ilvl="7" w:tentative="0">
      <w:start w:val="1"/>
      <w:numFmt w:val="decimal"/>
      <w:lvlText w:val="%1.%2.%3.%4.%5.%6.%7.%8"/>
      <w:lvlJc w:val="left"/>
      <w:pPr>
        <w:ind w:left="4394" w:hanging="1418"/>
      </w:pPr>
      <w:rPr>
        <w:rFonts w:hint="default"/>
      </w:rPr>
    </w:lvl>
    <w:lvl w:ilvl="8" w:tentative="0">
      <w:start w:val="1"/>
      <w:numFmt w:val="decimal"/>
      <w:lvlText w:val="%1.%2.%3.%4.%5.%6.%7.%8.%9"/>
      <w:lvlJc w:val="left"/>
      <w:pPr>
        <w:ind w:left="5102" w:hanging="1700"/>
      </w:pPr>
      <w:rPr>
        <w:rFonts w:hint="default"/>
      </w:rPr>
    </w:lvl>
  </w:abstractNum>
  <w:abstractNum w:abstractNumId="117">
    <w:nsid w:val="579F381E"/>
    <w:multiLevelType w:val="multilevel"/>
    <w:tmpl w:val="579F381E"/>
    <w:lvl w:ilvl="0" w:tentative="0">
      <w:start w:val="1"/>
      <w:numFmt w:val="decimal"/>
      <w:lvlText w:val="%1."/>
      <w:lvlJc w:val="left"/>
      <w:pPr>
        <w:ind w:left="870" w:hanging="420"/>
      </w:pPr>
      <w:rPr>
        <w:rFonts w:hint="eastAsia"/>
      </w:rPr>
    </w:lvl>
    <w:lvl w:ilvl="1" w:tentative="0">
      <w:start w:val="1"/>
      <w:numFmt w:val="lowerLetter"/>
      <w:lvlText w:val="%2)"/>
      <w:lvlJc w:val="left"/>
      <w:pPr>
        <w:ind w:left="1290" w:hanging="420"/>
      </w:pPr>
    </w:lvl>
    <w:lvl w:ilvl="2" w:tentative="0">
      <w:start w:val="1"/>
      <w:numFmt w:val="lowerRoman"/>
      <w:lvlText w:val="%3."/>
      <w:lvlJc w:val="right"/>
      <w:pPr>
        <w:ind w:left="1710" w:hanging="420"/>
      </w:pPr>
    </w:lvl>
    <w:lvl w:ilvl="3" w:tentative="0">
      <w:start w:val="1"/>
      <w:numFmt w:val="decimal"/>
      <w:lvlText w:val="%4."/>
      <w:lvlJc w:val="left"/>
      <w:pPr>
        <w:ind w:left="2130" w:hanging="420"/>
      </w:pPr>
    </w:lvl>
    <w:lvl w:ilvl="4" w:tentative="0">
      <w:start w:val="1"/>
      <w:numFmt w:val="lowerLetter"/>
      <w:lvlText w:val="%5)"/>
      <w:lvlJc w:val="left"/>
      <w:pPr>
        <w:ind w:left="2550" w:hanging="420"/>
      </w:pPr>
    </w:lvl>
    <w:lvl w:ilvl="5" w:tentative="0">
      <w:start w:val="1"/>
      <w:numFmt w:val="lowerRoman"/>
      <w:lvlText w:val="%6."/>
      <w:lvlJc w:val="right"/>
      <w:pPr>
        <w:ind w:left="2970" w:hanging="420"/>
      </w:pPr>
    </w:lvl>
    <w:lvl w:ilvl="6" w:tentative="0">
      <w:start w:val="1"/>
      <w:numFmt w:val="decimal"/>
      <w:lvlText w:val="%7."/>
      <w:lvlJc w:val="left"/>
      <w:pPr>
        <w:ind w:left="3390" w:hanging="420"/>
      </w:pPr>
    </w:lvl>
    <w:lvl w:ilvl="7" w:tentative="0">
      <w:start w:val="1"/>
      <w:numFmt w:val="lowerLetter"/>
      <w:lvlText w:val="%8)"/>
      <w:lvlJc w:val="left"/>
      <w:pPr>
        <w:ind w:left="3810" w:hanging="420"/>
      </w:pPr>
    </w:lvl>
    <w:lvl w:ilvl="8" w:tentative="0">
      <w:start w:val="1"/>
      <w:numFmt w:val="lowerRoman"/>
      <w:lvlText w:val="%9."/>
      <w:lvlJc w:val="right"/>
      <w:pPr>
        <w:ind w:left="4230" w:hanging="420"/>
      </w:pPr>
    </w:lvl>
  </w:abstractNum>
  <w:abstractNum w:abstractNumId="118">
    <w:nsid w:val="57DCE34E"/>
    <w:multiLevelType w:val="multilevel"/>
    <w:tmpl w:val="57DCE34E"/>
    <w:lvl w:ilvl="0" w:tentative="0">
      <w:start w:val="1"/>
      <w:numFmt w:val="decimal"/>
      <w:lvlText w:val="%1."/>
      <w:lvlJc w:val="left"/>
      <w:pPr>
        <w:ind w:left="2145"/>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1" w:tentative="0">
      <w:start w:val="1"/>
      <w:numFmt w:val="lowerLetter"/>
      <w:lvlText w:val="%2"/>
      <w:lvlJc w:val="left"/>
      <w:pPr>
        <w:ind w:left="252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2" w:tentative="0">
      <w:start w:val="1"/>
      <w:numFmt w:val="lowerRoman"/>
      <w:lvlText w:val="%3"/>
      <w:lvlJc w:val="left"/>
      <w:pPr>
        <w:ind w:left="324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3" w:tentative="0">
      <w:start w:val="1"/>
      <w:numFmt w:val="decimal"/>
      <w:lvlText w:val="%4"/>
      <w:lvlJc w:val="left"/>
      <w:pPr>
        <w:ind w:left="396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4" w:tentative="0">
      <w:start w:val="1"/>
      <w:numFmt w:val="lowerLetter"/>
      <w:lvlText w:val="%5"/>
      <w:lvlJc w:val="left"/>
      <w:pPr>
        <w:ind w:left="468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5" w:tentative="0">
      <w:start w:val="1"/>
      <w:numFmt w:val="lowerRoman"/>
      <w:lvlText w:val="%6"/>
      <w:lvlJc w:val="left"/>
      <w:pPr>
        <w:ind w:left="540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6" w:tentative="0">
      <w:start w:val="1"/>
      <w:numFmt w:val="decimal"/>
      <w:lvlText w:val="%7"/>
      <w:lvlJc w:val="left"/>
      <w:pPr>
        <w:ind w:left="612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7" w:tentative="0">
      <w:start w:val="1"/>
      <w:numFmt w:val="lowerLetter"/>
      <w:lvlText w:val="%8"/>
      <w:lvlJc w:val="left"/>
      <w:pPr>
        <w:ind w:left="684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8" w:tentative="0">
      <w:start w:val="1"/>
      <w:numFmt w:val="lowerRoman"/>
      <w:lvlText w:val="%9"/>
      <w:lvlJc w:val="left"/>
      <w:pPr>
        <w:ind w:left="756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abstractNum>
  <w:abstractNum w:abstractNumId="119">
    <w:nsid w:val="590DAFAD"/>
    <w:multiLevelType w:val="singleLevel"/>
    <w:tmpl w:val="590DAFAD"/>
    <w:lvl w:ilvl="0" w:tentative="0">
      <w:start w:val="1"/>
      <w:numFmt w:val="decimal"/>
      <w:lvlText w:val="%1."/>
      <w:lvlJc w:val="left"/>
      <w:pPr>
        <w:ind w:left="425" w:hanging="425"/>
      </w:pPr>
      <w:rPr>
        <w:rFonts w:hint="default"/>
      </w:rPr>
    </w:lvl>
  </w:abstractNum>
  <w:abstractNum w:abstractNumId="120">
    <w:nsid w:val="5C445E89"/>
    <w:multiLevelType w:val="multilevel"/>
    <w:tmpl w:val="5C445E89"/>
    <w:lvl w:ilvl="0" w:tentative="0">
      <w:start w:val="1"/>
      <w:numFmt w:val="decimal"/>
      <w:lvlText w:val="%1"/>
      <w:lvlJc w:val="left"/>
      <w:pPr>
        <w:ind w:left="1530" w:hanging="1530"/>
      </w:pPr>
      <w:rPr>
        <w:rFonts w:hint="default" w:ascii="宋体" w:hAnsi="宋体" w:eastAsia="宋体" w:cs="宋体"/>
      </w:rPr>
    </w:lvl>
    <w:lvl w:ilvl="1" w:tentative="0">
      <w:start w:val="1"/>
      <w:numFmt w:val="decimal"/>
      <w:isLgl/>
      <w:lvlText w:val="%1.%2"/>
      <w:lvlJc w:val="left"/>
      <w:pPr>
        <w:ind w:left="1350" w:hanging="1350"/>
      </w:pPr>
      <w:rPr>
        <w:rFonts w:hint="default"/>
      </w:rPr>
    </w:lvl>
    <w:lvl w:ilvl="2" w:tentative="0">
      <w:start w:val="1"/>
      <w:numFmt w:val="decimal"/>
      <w:isLgl/>
      <w:lvlText w:val="%1.%2.%3"/>
      <w:lvlJc w:val="left"/>
      <w:pPr>
        <w:ind w:left="1350" w:hanging="1350"/>
      </w:pPr>
      <w:rPr>
        <w:rFonts w:hint="default"/>
      </w:rPr>
    </w:lvl>
    <w:lvl w:ilvl="3" w:tentative="0">
      <w:start w:val="1"/>
      <w:numFmt w:val="decimal"/>
      <w:isLgl/>
      <w:lvlText w:val="%1.%2.%3.%4"/>
      <w:lvlJc w:val="left"/>
      <w:pPr>
        <w:ind w:left="1350" w:hanging="1350"/>
      </w:pPr>
      <w:rPr>
        <w:rFonts w:hint="default"/>
      </w:rPr>
    </w:lvl>
    <w:lvl w:ilvl="4" w:tentative="0">
      <w:start w:val="1"/>
      <w:numFmt w:val="decimal"/>
      <w:isLgl/>
      <w:lvlText w:val="%1.%2.%3.%4.%5"/>
      <w:lvlJc w:val="left"/>
      <w:pPr>
        <w:ind w:left="1440" w:hanging="1440"/>
      </w:pPr>
      <w:rPr>
        <w:rFonts w:hint="default"/>
      </w:rPr>
    </w:lvl>
    <w:lvl w:ilvl="5" w:tentative="0">
      <w:start w:val="1"/>
      <w:numFmt w:val="decimal"/>
      <w:isLgl/>
      <w:lvlText w:val="%1.%2.%3.%4.%5.%6"/>
      <w:lvlJc w:val="left"/>
      <w:pPr>
        <w:ind w:left="1440" w:hanging="1440"/>
      </w:pPr>
      <w:rPr>
        <w:rFonts w:hint="default"/>
      </w:rPr>
    </w:lvl>
    <w:lvl w:ilvl="6" w:tentative="0">
      <w:start w:val="1"/>
      <w:numFmt w:val="decimal"/>
      <w:isLgl/>
      <w:lvlText w:val="%1.%2.%3.%4.%5.%6.%7"/>
      <w:lvlJc w:val="left"/>
      <w:pPr>
        <w:ind w:left="1800" w:hanging="1800"/>
      </w:pPr>
      <w:rPr>
        <w:rFonts w:hint="default"/>
      </w:rPr>
    </w:lvl>
    <w:lvl w:ilvl="7" w:tentative="0">
      <w:start w:val="1"/>
      <w:numFmt w:val="decimal"/>
      <w:isLgl/>
      <w:lvlText w:val="%1.%2.%3.%4.%5.%6.%7.%8"/>
      <w:lvlJc w:val="left"/>
      <w:pPr>
        <w:ind w:left="2160" w:hanging="2160"/>
      </w:pPr>
      <w:rPr>
        <w:rFonts w:hint="default"/>
      </w:rPr>
    </w:lvl>
    <w:lvl w:ilvl="8" w:tentative="0">
      <w:start w:val="1"/>
      <w:numFmt w:val="decimal"/>
      <w:isLgl/>
      <w:lvlText w:val="%1.%2.%3.%4.%5.%6.%7.%8.%9"/>
      <w:lvlJc w:val="left"/>
      <w:pPr>
        <w:ind w:left="2160" w:hanging="2160"/>
      </w:pPr>
      <w:rPr>
        <w:rFonts w:hint="default"/>
      </w:rPr>
    </w:lvl>
  </w:abstractNum>
  <w:abstractNum w:abstractNumId="121">
    <w:nsid w:val="5C951ACC"/>
    <w:multiLevelType w:val="multilevel"/>
    <w:tmpl w:val="5C951ACC"/>
    <w:lvl w:ilvl="0" w:tentative="0">
      <w:start w:val="1"/>
      <w:numFmt w:val="decimal"/>
      <w:lvlText w:val="%1."/>
      <w:lvlJc w:val="left"/>
      <w:pPr>
        <w:ind w:left="2145"/>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1" w:tentative="0">
      <w:start w:val="1"/>
      <w:numFmt w:val="lowerLetter"/>
      <w:lvlText w:val="%2"/>
      <w:lvlJc w:val="left"/>
      <w:pPr>
        <w:ind w:left="252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2" w:tentative="0">
      <w:start w:val="1"/>
      <w:numFmt w:val="lowerRoman"/>
      <w:lvlText w:val="%3"/>
      <w:lvlJc w:val="left"/>
      <w:pPr>
        <w:ind w:left="324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3" w:tentative="0">
      <w:start w:val="1"/>
      <w:numFmt w:val="decimal"/>
      <w:lvlText w:val="%4"/>
      <w:lvlJc w:val="left"/>
      <w:pPr>
        <w:ind w:left="396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4" w:tentative="0">
      <w:start w:val="1"/>
      <w:numFmt w:val="lowerLetter"/>
      <w:lvlText w:val="%5"/>
      <w:lvlJc w:val="left"/>
      <w:pPr>
        <w:ind w:left="468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5" w:tentative="0">
      <w:start w:val="1"/>
      <w:numFmt w:val="lowerRoman"/>
      <w:lvlText w:val="%6"/>
      <w:lvlJc w:val="left"/>
      <w:pPr>
        <w:ind w:left="540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6" w:tentative="0">
      <w:start w:val="1"/>
      <w:numFmt w:val="decimal"/>
      <w:lvlText w:val="%7"/>
      <w:lvlJc w:val="left"/>
      <w:pPr>
        <w:ind w:left="612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7" w:tentative="0">
      <w:start w:val="1"/>
      <w:numFmt w:val="lowerLetter"/>
      <w:lvlText w:val="%8"/>
      <w:lvlJc w:val="left"/>
      <w:pPr>
        <w:ind w:left="684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8" w:tentative="0">
      <w:start w:val="1"/>
      <w:numFmt w:val="lowerRoman"/>
      <w:lvlText w:val="%9"/>
      <w:lvlJc w:val="left"/>
      <w:pPr>
        <w:ind w:left="756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abstractNum>
  <w:abstractNum w:abstractNumId="122">
    <w:nsid w:val="5D195308"/>
    <w:multiLevelType w:val="multilevel"/>
    <w:tmpl w:val="5D195308"/>
    <w:lvl w:ilvl="0" w:tentative="0">
      <w:start w:val="1"/>
      <w:numFmt w:val="lowerRoman"/>
      <w:lvlText w:val="%1."/>
      <w:lvlJc w:val="left"/>
      <w:pPr>
        <w:ind w:left="2970"/>
      </w:pPr>
      <w:rPr>
        <w:rFonts w:ascii="等线" w:hAnsi="等线" w:eastAsia="等线" w:cs="等线"/>
        <w:b w:val="0"/>
        <w:i w:val="0"/>
        <w:strike w:val="0"/>
        <w:dstrike w:val="0"/>
        <w:color w:val="000000"/>
        <w:sz w:val="24"/>
        <w:szCs w:val="24"/>
        <w:u w:val="none" w:color="000000"/>
        <w:shd w:val="clear" w:color="auto" w:fill="auto"/>
        <w:vertAlign w:val="baseline"/>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23">
    <w:nsid w:val="5DB07C12"/>
    <w:multiLevelType w:val="multilevel"/>
    <w:tmpl w:val="5DB07C12"/>
    <w:lvl w:ilvl="0" w:tentative="0">
      <w:start w:val="1"/>
      <w:numFmt w:val="chineseCountingThousand"/>
      <w:lvlText w:val="(%1)"/>
      <w:lvlJc w:val="left"/>
      <w:pPr>
        <w:ind w:left="704" w:hanging="420"/>
      </w:pPr>
    </w:lvl>
    <w:lvl w:ilvl="1" w:tentative="0">
      <w:start w:val="1"/>
      <w:numFmt w:val="lowerLetter"/>
      <w:lvlText w:val="%2)"/>
      <w:lvlJc w:val="left"/>
      <w:pPr>
        <w:ind w:left="1124" w:hanging="420"/>
      </w:pPr>
    </w:lvl>
    <w:lvl w:ilvl="2" w:tentative="0">
      <w:start w:val="1"/>
      <w:numFmt w:val="lowerRoman"/>
      <w:lvlText w:val="%3."/>
      <w:lvlJc w:val="right"/>
      <w:pPr>
        <w:ind w:left="1544" w:hanging="420"/>
      </w:pPr>
    </w:lvl>
    <w:lvl w:ilvl="3" w:tentative="0">
      <w:start w:val="1"/>
      <w:numFmt w:val="decimal"/>
      <w:lvlText w:val="%4."/>
      <w:lvlJc w:val="left"/>
      <w:pPr>
        <w:ind w:left="1964" w:hanging="420"/>
      </w:pPr>
    </w:lvl>
    <w:lvl w:ilvl="4" w:tentative="0">
      <w:start w:val="1"/>
      <w:numFmt w:val="lowerLetter"/>
      <w:lvlText w:val="%5)"/>
      <w:lvlJc w:val="left"/>
      <w:pPr>
        <w:ind w:left="2384" w:hanging="420"/>
      </w:pPr>
    </w:lvl>
    <w:lvl w:ilvl="5" w:tentative="0">
      <w:start w:val="1"/>
      <w:numFmt w:val="lowerRoman"/>
      <w:lvlText w:val="%6."/>
      <w:lvlJc w:val="right"/>
      <w:pPr>
        <w:ind w:left="2804" w:hanging="420"/>
      </w:pPr>
    </w:lvl>
    <w:lvl w:ilvl="6" w:tentative="0">
      <w:start w:val="1"/>
      <w:numFmt w:val="decimal"/>
      <w:lvlText w:val="%7."/>
      <w:lvlJc w:val="left"/>
      <w:pPr>
        <w:ind w:left="3224" w:hanging="420"/>
      </w:pPr>
    </w:lvl>
    <w:lvl w:ilvl="7" w:tentative="0">
      <w:start w:val="1"/>
      <w:numFmt w:val="lowerLetter"/>
      <w:lvlText w:val="%8)"/>
      <w:lvlJc w:val="left"/>
      <w:pPr>
        <w:ind w:left="3644" w:hanging="420"/>
      </w:pPr>
    </w:lvl>
    <w:lvl w:ilvl="8" w:tentative="0">
      <w:start w:val="1"/>
      <w:numFmt w:val="lowerRoman"/>
      <w:lvlText w:val="%9."/>
      <w:lvlJc w:val="right"/>
      <w:pPr>
        <w:ind w:left="4064" w:hanging="420"/>
      </w:pPr>
    </w:lvl>
  </w:abstractNum>
  <w:abstractNum w:abstractNumId="124">
    <w:nsid w:val="5E385B4D"/>
    <w:multiLevelType w:val="multilevel"/>
    <w:tmpl w:val="5E385B4D"/>
    <w:lvl w:ilvl="0" w:tentative="0">
      <w:start w:val="1"/>
      <w:numFmt w:val="decimal"/>
      <w:lvlText w:val="%1."/>
      <w:lvlJc w:val="left"/>
      <w:pPr>
        <w:ind w:left="1177" w:hanging="420"/>
      </w:pPr>
    </w:lvl>
    <w:lvl w:ilvl="1" w:tentative="0">
      <w:start w:val="1"/>
      <w:numFmt w:val="lowerLetter"/>
      <w:lvlText w:val="%2)"/>
      <w:lvlJc w:val="left"/>
      <w:pPr>
        <w:ind w:left="1597" w:hanging="420"/>
      </w:pPr>
    </w:lvl>
    <w:lvl w:ilvl="2" w:tentative="0">
      <w:start w:val="1"/>
      <w:numFmt w:val="lowerRoman"/>
      <w:lvlText w:val="%3."/>
      <w:lvlJc w:val="right"/>
      <w:pPr>
        <w:ind w:left="2017" w:hanging="420"/>
      </w:pPr>
    </w:lvl>
    <w:lvl w:ilvl="3" w:tentative="0">
      <w:start w:val="1"/>
      <w:numFmt w:val="decimal"/>
      <w:lvlText w:val="%4."/>
      <w:lvlJc w:val="left"/>
      <w:pPr>
        <w:ind w:left="2437" w:hanging="420"/>
      </w:pPr>
    </w:lvl>
    <w:lvl w:ilvl="4" w:tentative="0">
      <w:start w:val="1"/>
      <w:numFmt w:val="lowerLetter"/>
      <w:lvlText w:val="%5)"/>
      <w:lvlJc w:val="left"/>
      <w:pPr>
        <w:ind w:left="2857" w:hanging="420"/>
      </w:pPr>
    </w:lvl>
    <w:lvl w:ilvl="5" w:tentative="0">
      <w:start w:val="1"/>
      <w:numFmt w:val="lowerRoman"/>
      <w:lvlText w:val="%6."/>
      <w:lvlJc w:val="right"/>
      <w:pPr>
        <w:ind w:left="3277" w:hanging="420"/>
      </w:pPr>
    </w:lvl>
    <w:lvl w:ilvl="6" w:tentative="0">
      <w:start w:val="1"/>
      <w:numFmt w:val="decimal"/>
      <w:lvlText w:val="%7."/>
      <w:lvlJc w:val="left"/>
      <w:pPr>
        <w:ind w:left="3697" w:hanging="420"/>
      </w:pPr>
    </w:lvl>
    <w:lvl w:ilvl="7" w:tentative="0">
      <w:start w:val="1"/>
      <w:numFmt w:val="lowerLetter"/>
      <w:lvlText w:val="%8)"/>
      <w:lvlJc w:val="left"/>
      <w:pPr>
        <w:ind w:left="4117" w:hanging="420"/>
      </w:pPr>
    </w:lvl>
    <w:lvl w:ilvl="8" w:tentative="0">
      <w:start w:val="1"/>
      <w:numFmt w:val="lowerRoman"/>
      <w:lvlText w:val="%9."/>
      <w:lvlJc w:val="right"/>
      <w:pPr>
        <w:ind w:left="4537" w:hanging="420"/>
      </w:pPr>
    </w:lvl>
  </w:abstractNum>
  <w:abstractNum w:abstractNumId="125">
    <w:nsid w:val="5E5D5A1D"/>
    <w:multiLevelType w:val="multilevel"/>
    <w:tmpl w:val="5E5D5A1D"/>
    <w:lvl w:ilvl="0" w:tentative="0">
      <w:start w:val="1"/>
      <w:numFmt w:val="decimal"/>
      <w:lvlText w:val="%1."/>
      <w:lvlJc w:val="left"/>
      <w:pPr>
        <w:ind w:left="910" w:hanging="420"/>
      </w:pPr>
      <w:rPr>
        <w:rFonts w:hint="eastAsia"/>
      </w:rPr>
    </w:lvl>
    <w:lvl w:ilvl="1" w:tentative="0">
      <w:start w:val="1"/>
      <w:numFmt w:val="lowerLetter"/>
      <w:lvlText w:val="%2)"/>
      <w:lvlJc w:val="left"/>
      <w:pPr>
        <w:ind w:left="1330" w:hanging="420"/>
      </w:pPr>
    </w:lvl>
    <w:lvl w:ilvl="2" w:tentative="0">
      <w:start w:val="1"/>
      <w:numFmt w:val="lowerRoman"/>
      <w:lvlText w:val="%3."/>
      <w:lvlJc w:val="right"/>
      <w:pPr>
        <w:ind w:left="1750" w:hanging="420"/>
      </w:pPr>
    </w:lvl>
    <w:lvl w:ilvl="3" w:tentative="0">
      <w:start w:val="1"/>
      <w:numFmt w:val="decimal"/>
      <w:lvlText w:val="%4."/>
      <w:lvlJc w:val="left"/>
      <w:pPr>
        <w:ind w:left="2170" w:hanging="420"/>
      </w:pPr>
    </w:lvl>
    <w:lvl w:ilvl="4" w:tentative="0">
      <w:start w:val="1"/>
      <w:numFmt w:val="lowerLetter"/>
      <w:lvlText w:val="%5)"/>
      <w:lvlJc w:val="left"/>
      <w:pPr>
        <w:ind w:left="2590" w:hanging="420"/>
      </w:pPr>
    </w:lvl>
    <w:lvl w:ilvl="5" w:tentative="0">
      <w:start w:val="1"/>
      <w:numFmt w:val="lowerRoman"/>
      <w:lvlText w:val="%6."/>
      <w:lvlJc w:val="right"/>
      <w:pPr>
        <w:ind w:left="3010" w:hanging="420"/>
      </w:pPr>
    </w:lvl>
    <w:lvl w:ilvl="6" w:tentative="0">
      <w:start w:val="1"/>
      <w:numFmt w:val="decimal"/>
      <w:lvlText w:val="%7."/>
      <w:lvlJc w:val="left"/>
      <w:pPr>
        <w:ind w:left="3430" w:hanging="420"/>
      </w:pPr>
    </w:lvl>
    <w:lvl w:ilvl="7" w:tentative="0">
      <w:start w:val="1"/>
      <w:numFmt w:val="lowerLetter"/>
      <w:lvlText w:val="%8)"/>
      <w:lvlJc w:val="left"/>
      <w:pPr>
        <w:ind w:left="3850" w:hanging="420"/>
      </w:pPr>
    </w:lvl>
    <w:lvl w:ilvl="8" w:tentative="0">
      <w:start w:val="1"/>
      <w:numFmt w:val="lowerRoman"/>
      <w:lvlText w:val="%9."/>
      <w:lvlJc w:val="right"/>
      <w:pPr>
        <w:ind w:left="4270" w:hanging="420"/>
      </w:pPr>
    </w:lvl>
  </w:abstractNum>
  <w:abstractNum w:abstractNumId="126">
    <w:nsid w:val="610C5060"/>
    <w:multiLevelType w:val="multilevel"/>
    <w:tmpl w:val="610C5060"/>
    <w:lvl w:ilvl="0" w:tentative="0">
      <w:start w:val="1"/>
      <w:numFmt w:val="decimal"/>
      <w:lvlText w:val="%1."/>
      <w:lvlJc w:val="left"/>
      <w:pPr>
        <w:ind w:left="870" w:hanging="420"/>
      </w:pPr>
      <w:rPr>
        <w:rFonts w:hint="eastAsia"/>
      </w:rPr>
    </w:lvl>
    <w:lvl w:ilvl="1" w:tentative="0">
      <w:start w:val="1"/>
      <w:numFmt w:val="lowerLetter"/>
      <w:lvlText w:val="%2)"/>
      <w:lvlJc w:val="left"/>
      <w:pPr>
        <w:ind w:left="1290" w:hanging="420"/>
      </w:pPr>
    </w:lvl>
    <w:lvl w:ilvl="2" w:tentative="0">
      <w:start w:val="1"/>
      <w:numFmt w:val="lowerRoman"/>
      <w:lvlText w:val="%3."/>
      <w:lvlJc w:val="right"/>
      <w:pPr>
        <w:ind w:left="1710" w:hanging="420"/>
      </w:pPr>
    </w:lvl>
    <w:lvl w:ilvl="3" w:tentative="0">
      <w:start w:val="1"/>
      <w:numFmt w:val="decimal"/>
      <w:lvlText w:val="%4."/>
      <w:lvlJc w:val="left"/>
      <w:pPr>
        <w:ind w:left="2130" w:hanging="420"/>
      </w:pPr>
    </w:lvl>
    <w:lvl w:ilvl="4" w:tentative="0">
      <w:start w:val="1"/>
      <w:numFmt w:val="lowerLetter"/>
      <w:lvlText w:val="%5)"/>
      <w:lvlJc w:val="left"/>
      <w:pPr>
        <w:ind w:left="2550" w:hanging="420"/>
      </w:pPr>
    </w:lvl>
    <w:lvl w:ilvl="5" w:tentative="0">
      <w:start w:val="1"/>
      <w:numFmt w:val="lowerRoman"/>
      <w:lvlText w:val="%6."/>
      <w:lvlJc w:val="right"/>
      <w:pPr>
        <w:ind w:left="2970" w:hanging="420"/>
      </w:pPr>
    </w:lvl>
    <w:lvl w:ilvl="6" w:tentative="0">
      <w:start w:val="1"/>
      <w:numFmt w:val="decimal"/>
      <w:lvlText w:val="%7."/>
      <w:lvlJc w:val="left"/>
      <w:pPr>
        <w:ind w:left="3390" w:hanging="420"/>
      </w:pPr>
    </w:lvl>
    <w:lvl w:ilvl="7" w:tentative="0">
      <w:start w:val="1"/>
      <w:numFmt w:val="lowerLetter"/>
      <w:lvlText w:val="%8)"/>
      <w:lvlJc w:val="left"/>
      <w:pPr>
        <w:ind w:left="3810" w:hanging="420"/>
      </w:pPr>
    </w:lvl>
    <w:lvl w:ilvl="8" w:tentative="0">
      <w:start w:val="1"/>
      <w:numFmt w:val="lowerRoman"/>
      <w:lvlText w:val="%9."/>
      <w:lvlJc w:val="right"/>
      <w:pPr>
        <w:ind w:left="4230" w:hanging="420"/>
      </w:pPr>
    </w:lvl>
  </w:abstractNum>
  <w:abstractNum w:abstractNumId="127">
    <w:nsid w:val="614720A0"/>
    <w:multiLevelType w:val="multilevel"/>
    <w:tmpl w:val="614720A0"/>
    <w:lvl w:ilvl="0" w:tentative="0">
      <w:start w:val="1"/>
      <w:numFmt w:val="decimal"/>
      <w:lvlText w:val="%1)"/>
      <w:lvlJc w:val="left"/>
      <w:pPr>
        <w:ind w:left="840"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128">
    <w:nsid w:val="63D649C3"/>
    <w:multiLevelType w:val="multilevel"/>
    <w:tmpl w:val="63D649C3"/>
    <w:lvl w:ilvl="0" w:tentative="0">
      <w:start w:val="1"/>
      <w:numFmt w:val="decimal"/>
      <w:lvlText w:val="%1."/>
      <w:lvlJc w:val="left"/>
      <w:pPr>
        <w:ind w:left="870" w:hanging="420"/>
      </w:pPr>
      <w:rPr>
        <w:rFonts w:hint="eastAsia"/>
      </w:rPr>
    </w:lvl>
    <w:lvl w:ilvl="1" w:tentative="0">
      <w:start w:val="1"/>
      <w:numFmt w:val="lowerLetter"/>
      <w:lvlText w:val="%2)"/>
      <w:lvlJc w:val="left"/>
      <w:pPr>
        <w:ind w:left="1290" w:hanging="420"/>
      </w:pPr>
    </w:lvl>
    <w:lvl w:ilvl="2" w:tentative="0">
      <w:start w:val="1"/>
      <w:numFmt w:val="lowerRoman"/>
      <w:lvlText w:val="%3."/>
      <w:lvlJc w:val="right"/>
      <w:pPr>
        <w:ind w:left="1710" w:hanging="420"/>
      </w:pPr>
    </w:lvl>
    <w:lvl w:ilvl="3" w:tentative="0">
      <w:start w:val="1"/>
      <w:numFmt w:val="decimal"/>
      <w:lvlText w:val="%4."/>
      <w:lvlJc w:val="left"/>
      <w:pPr>
        <w:ind w:left="2130" w:hanging="420"/>
      </w:pPr>
    </w:lvl>
    <w:lvl w:ilvl="4" w:tentative="0">
      <w:start w:val="1"/>
      <w:numFmt w:val="lowerLetter"/>
      <w:lvlText w:val="%5)"/>
      <w:lvlJc w:val="left"/>
      <w:pPr>
        <w:ind w:left="2550" w:hanging="420"/>
      </w:pPr>
    </w:lvl>
    <w:lvl w:ilvl="5" w:tentative="0">
      <w:start w:val="1"/>
      <w:numFmt w:val="lowerRoman"/>
      <w:lvlText w:val="%6."/>
      <w:lvlJc w:val="right"/>
      <w:pPr>
        <w:ind w:left="2970" w:hanging="420"/>
      </w:pPr>
    </w:lvl>
    <w:lvl w:ilvl="6" w:tentative="0">
      <w:start w:val="1"/>
      <w:numFmt w:val="decimal"/>
      <w:lvlText w:val="%7."/>
      <w:lvlJc w:val="left"/>
      <w:pPr>
        <w:ind w:left="3390" w:hanging="420"/>
      </w:pPr>
    </w:lvl>
    <w:lvl w:ilvl="7" w:tentative="0">
      <w:start w:val="1"/>
      <w:numFmt w:val="lowerLetter"/>
      <w:lvlText w:val="%8)"/>
      <w:lvlJc w:val="left"/>
      <w:pPr>
        <w:ind w:left="3810" w:hanging="420"/>
      </w:pPr>
    </w:lvl>
    <w:lvl w:ilvl="8" w:tentative="0">
      <w:start w:val="1"/>
      <w:numFmt w:val="lowerRoman"/>
      <w:lvlText w:val="%9."/>
      <w:lvlJc w:val="right"/>
      <w:pPr>
        <w:ind w:left="4230" w:hanging="420"/>
      </w:pPr>
    </w:lvl>
  </w:abstractNum>
  <w:abstractNum w:abstractNumId="129">
    <w:nsid w:val="63FF77ED"/>
    <w:multiLevelType w:val="multilevel"/>
    <w:tmpl w:val="63FF77ED"/>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30">
    <w:nsid w:val="6944249B"/>
    <w:multiLevelType w:val="multilevel"/>
    <w:tmpl w:val="6944249B"/>
    <w:lvl w:ilvl="0" w:tentative="0">
      <w:start w:val="1"/>
      <w:numFmt w:val="decimal"/>
      <w:lvlText w:val="%1."/>
      <w:lvlJc w:val="left"/>
      <w:pPr>
        <w:ind w:left="910" w:hanging="420"/>
      </w:pPr>
      <w:rPr>
        <w:rFonts w:hint="eastAsia"/>
      </w:rPr>
    </w:lvl>
    <w:lvl w:ilvl="1" w:tentative="0">
      <w:start w:val="1"/>
      <w:numFmt w:val="lowerLetter"/>
      <w:lvlText w:val="%2)"/>
      <w:lvlJc w:val="left"/>
      <w:pPr>
        <w:ind w:left="1330" w:hanging="420"/>
      </w:pPr>
    </w:lvl>
    <w:lvl w:ilvl="2" w:tentative="0">
      <w:start w:val="1"/>
      <w:numFmt w:val="lowerRoman"/>
      <w:lvlText w:val="%3."/>
      <w:lvlJc w:val="right"/>
      <w:pPr>
        <w:ind w:left="1750" w:hanging="420"/>
      </w:pPr>
    </w:lvl>
    <w:lvl w:ilvl="3" w:tentative="0">
      <w:start w:val="1"/>
      <w:numFmt w:val="decimal"/>
      <w:lvlText w:val="%4."/>
      <w:lvlJc w:val="left"/>
      <w:pPr>
        <w:ind w:left="2170" w:hanging="420"/>
      </w:pPr>
    </w:lvl>
    <w:lvl w:ilvl="4" w:tentative="0">
      <w:start w:val="1"/>
      <w:numFmt w:val="lowerLetter"/>
      <w:lvlText w:val="%5)"/>
      <w:lvlJc w:val="left"/>
      <w:pPr>
        <w:ind w:left="2590" w:hanging="420"/>
      </w:pPr>
    </w:lvl>
    <w:lvl w:ilvl="5" w:tentative="0">
      <w:start w:val="1"/>
      <w:numFmt w:val="lowerRoman"/>
      <w:lvlText w:val="%6."/>
      <w:lvlJc w:val="right"/>
      <w:pPr>
        <w:ind w:left="3010" w:hanging="420"/>
      </w:pPr>
    </w:lvl>
    <w:lvl w:ilvl="6" w:tentative="0">
      <w:start w:val="1"/>
      <w:numFmt w:val="decimal"/>
      <w:lvlText w:val="%7."/>
      <w:lvlJc w:val="left"/>
      <w:pPr>
        <w:ind w:left="3430" w:hanging="420"/>
      </w:pPr>
    </w:lvl>
    <w:lvl w:ilvl="7" w:tentative="0">
      <w:start w:val="1"/>
      <w:numFmt w:val="lowerLetter"/>
      <w:lvlText w:val="%8)"/>
      <w:lvlJc w:val="left"/>
      <w:pPr>
        <w:ind w:left="3850" w:hanging="420"/>
      </w:pPr>
    </w:lvl>
    <w:lvl w:ilvl="8" w:tentative="0">
      <w:start w:val="1"/>
      <w:numFmt w:val="lowerRoman"/>
      <w:lvlText w:val="%9."/>
      <w:lvlJc w:val="right"/>
      <w:pPr>
        <w:ind w:left="4270" w:hanging="420"/>
      </w:pPr>
    </w:lvl>
  </w:abstractNum>
  <w:abstractNum w:abstractNumId="131">
    <w:nsid w:val="69470A66"/>
    <w:multiLevelType w:val="multilevel"/>
    <w:tmpl w:val="69470A66"/>
    <w:lvl w:ilvl="0" w:tentative="0">
      <w:start w:val="1"/>
      <w:numFmt w:val="lowerLetter"/>
      <w:lvlText w:val="%1)"/>
      <w:lvlJc w:val="left"/>
      <w:pPr>
        <w:ind w:left="420" w:hanging="420"/>
      </w:pPr>
      <w:rPr>
        <w:rFonts w:hint="default"/>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32">
    <w:nsid w:val="6A5C2BF2"/>
    <w:multiLevelType w:val="multilevel"/>
    <w:tmpl w:val="6A5C2BF2"/>
    <w:lvl w:ilvl="0" w:tentative="0">
      <w:start w:val="1"/>
      <w:numFmt w:val="decimal"/>
      <w:lvlText w:val="5.3.3.%1"/>
      <w:lvlJc w:val="left"/>
      <w:pPr>
        <w:ind w:left="43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33">
    <w:nsid w:val="6A8006CE"/>
    <w:multiLevelType w:val="multilevel"/>
    <w:tmpl w:val="6A8006CE"/>
    <w:lvl w:ilvl="0" w:tentative="0">
      <w:start w:val="1"/>
      <w:numFmt w:val="decimal"/>
      <w:lvlText w:val="%1."/>
      <w:lvlJc w:val="left"/>
      <w:pPr>
        <w:ind w:left="2145"/>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1" w:tentative="0">
      <w:start w:val="1"/>
      <w:numFmt w:val="lowerLetter"/>
      <w:lvlText w:val="%2"/>
      <w:lvlJc w:val="left"/>
      <w:pPr>
        <w:ind w:left="252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2" w:tentative="0">
      <w:start w:val="1"/>
      <w:numFmt w:val="lowerRoman"/>
      <w:lvlText w:val="%3"/>
      <w:lvlJc w:val="left"/>
      <w:pPr>
        <w:ind w:left="324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3" w:tentative="0">
      <w:start w:val="1"/>
      <w:numFmt w:val="decimal"/>
      <w:lvlText w:val="%4"/>
      <w:lvlJc w:val="left"/>
      <w:pPr>
        <w:ind w:left="396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4" w:tentative="0">
      <w:start w:val="1"/>
      <w:numFmt w:val="lowerLetter"/>
      <w:lvlText w:val="%5"/>
      <w:lvlJc w:val="left"/>
      <w:pPr>
        <w:ind w:left="468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5" w:tentative="0">
      <w:start w:val="1"/>
      <w:numFmt w:val="lowerRoman"/>
      <w:lvlText w:val="%6"/>
      <w:lvlJc w:val="left"/>
      <w:pPr>
        <w:ind w:left="540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6" w:tentative="0">
      <w:start w:val="1"/>
      <w:numFmt w:val="decimal"/>
      <w:lvlText w:val="%7"/>
      <w:lvlJc w:val="left"/>
      <w:pPr>
        <w:ind w:left="612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7" w:tentative="0">
      <w:start w:val="1"/>
      <w:numFmt w:val="lowerLetter"/>
      <w:lvlText w:val="%8"/>
      <w:lvlJc w:val="left"/>
      <w:pPr>
        <w:ind w:left="684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8" w:tentative="0">
      <w:start w:val="1"/>
      <w:numFmt w:val="lowerRoman"/>
      <w:lvlText w:val="%9"/>
      <w:lvlJc w:val="left"/>
      <w:pPr>
        <w:ind w:left="756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abstractNum>
  <w:abstractNum w:abstractNumId="134">
    <w:nsid w:val="6B5F59A7"/>
    <w:multiLevelType w:val="multilevel"/>
    <w:tmpl w:val="6B5F59A7"/>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35">
    <w:nsid w:val="6D337D83"/>
    <w:multiLevelType w:val="multilevel"/>
    <w:tmpl w:val="6D337D83"/>
    <w:lvl w:ilvl="0" w:tentative="0">
      <w:start w:val="1"/>
      <w:numFmt w:val="lowerRoman"/>
      <w:lvlText w:val="%1."/>
      <w:lvlJc w:val="left"/>
      <w:pPr>
        <w:ind w:left="2970"/>
      </w:pPr>
      <w:rPr>
        <w:rFonts w:ascii="等线" w:hAnsi="等线" w:eastAsia="等线" w:cs="等线"/>
        <w:b w:val="0"/>
        <w:i w:val="0"/>
        <w:strike w:val="0"/>
        <w:dstrike w:val="0"/>
        <w:color w:val="000000"/>
        <w:sz w:val="24"/>
        <w:szCs w:val="24"/>
        <w:u w:val="none" w:color="000000"/>
        <w:shd w:val="clear" w:color="auto" w:fill="auto"/>
        <w:vertAlign w:val="baseline"/>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36">
    <w:nsid w:val="6DC72C99"/>
    <w:multiLevelType w:val="multilevel"/>
    <w:tmpl w:val="6DC72C99"/>
    <w:lvl w:ilvl="0" w:tentative="0">
      <w:start w:val="1"/>
      <w:numFmt w:val="bullet"/>
      <w:lvlText w:val=""/>
      <w:lvlJc w:val="left"/>
      <w:pPr>
        <w:ind w:left="900" w:hanging="420"/>
      </w:pPr>
      <w:rPr>
        <w:rFonts w:hint="default" w:ascii="Wingdings" w:hAnsi="Wingdings"/>
      </w:rPr>
    </w:lvl>
    <w:lvl w:ilvl="1" w:tentative="0">
      <w:start w:val="1"/>
      <w:numFmt w:val="bullet"/>
      <w:lvlText w:val=""/>
      <w:lvlJc w:val="left"/>
      <w:pPr>
        <w:ind w:left="1320" w:hanging="420"/>
      </w:pPr>
      <w:rPr>
        <w:rFonts w:hint="default" w:ascii="Wingdings" w:hAnsi="Wingdings"/>
      </w:rPr>
    </w:lvl>
    <w:lvl w:ilvl="2" w:tentative="0">
      <w:start w:val="1"/>
      <w:numFmt w:val="bullet"/>
      <w:lvlText w:val=""/>
      <w:lvlJc w:val="left"/>
      <w:pPr>
        <w:ind w:left="1740" w:hanging="420"/>
      </w:pPr>
      <w:rPr>
        <w:rFonts w:hint="default" w:ascii="Wingdings" w:hAnsi="Wingdings"/>
      </w:rPr>
    </w:lvl>
    <w:lvl w:ilvl="3" w:tentative="0">
      <w:start w:val="1"/>
      <w:numFmt w:val="bullet"/>
      <w:lvlText w:val=""/>
      <w:lvlJc w:val="left"/>
      <w:pPr>
        <w:ind w:left="2160" w:hanging="420"/>
      </w:pPr>
      <w:rPr>
        <w:rFonts w:hint="default" w:ascii="Wingdings" w:hAnsi="Wingdings"/>
      </w:rPr>
    </w:lvl>
    <w:lvl w:ilvl="4" w:tentative="0">
      <w:start w:val="1"/>
      <w:numFmt w:val="bullet"/>
      <w:lvlText w:val=""/>
      <w:lvlJc w:val="left"/>
      <w:pPr>
        <w:ind w:left="2580" w:hanging="420"/>
      </w:pPr>
      <w:rPr>
        <w:rFonts w:hint="default" w:ascii="Wingdings" w:hAnsi="Wingdings"/>
      </w:rPr>
    </w:lvl>
    <w:lvl w:ilvl="5" w:tentative="0">
      <w:start w:val="1"/>
      <w:numFmt w:val="bullet"/>
      <w:lvlText w:val=""/>
      <w:lvlJc w:val="left"/>
      <w:pPr>
        <w:ind w:left="3000" w:hanging="420"/>
      </w:pPr>
      <w:rPr>
        <w:rFonts w:hint="default" w:ascii="Wingdings" w:hAnsi="Wingdings"/>
      </w:rPr>
    </w:lvl>
    <w:lvl w:ilvl="6" w:tentative="0">
      <w:start w:val="1"/>
      <w:numFmt w:val="bullet"/>
      <w:lvlText w:val=""/>
      <w:lvlJc w:val="left"/>
      <w:pPr>
        <w:ind w:left="3420" w:hanging="420"/>
      </w:pPr>
      <w:rPr>
        <w:rFonts w:hint="default" w:ascii="Wingdings" w:hAnsi="Wingdings"/>
      </w:rPr>
    </w:lvl>
    <w:lvl w:ilvl="7" w:tentative="0">
      <w:start w:val="1"/>
      <w:numFmt w:val="bullet"/>
      <w:lvlText w:val=""/>
      <w:lvlJc w:val="left"/>
      <w:pPr>
        <w:ind w:left="3840" w:hanging="420"/>
      </w:pPr>
      <w:rPr>
        <w:rFonts w:hint="default" w:ascii="Wingdings" w:hAnsi="Wingdings"/>
      </w:rPr>
    </w:lvl>
    <w:lvl w:ilvl="8" w:tentative="0">
      <w:start w:val="1"/>
      <w:numFmt w:val="bullet"/>
      <w:lvlText w:val=""/>
      <w:lvlJc w:val="left"/>
      <w:pPr>
        <w:ind w:left="4260" w:hanging="420"/>
      </w:pPr>
      <w:rPr>
        <w:rFonts w:hint="default" w:ascii="Wingdings" w:hAnsi="Wingdings"/>
      </w:rPr>
    </w:lvl>
  </w:abstractNum>
  <w:abstractNum w:abstractNumId="137">
    <w:nsid w:val="6F527F2F"/>
    <w:multiLevelType w:val="multilevel"/>
    <w:tmpl w:val="6F527F2F"/>
    <w:lvl w:ilvl="0" w:tentative="0">
      <w:start w:val="1"/>
      <w:numFmt w:val="decimal"/>
      <w:lvlText w:val="%1."/>
      <w:lvlJc w:val="left"/>
      <w:pPr>
        <w:ind w:left="840" w:hanging="360"/>
      </w:pPr>
      <w:rPr>
        <w:rFonts w:hint="eastAsia"/>
      </w:rPr>
    </w:lvl>
    <w:lvl w:ilvl="1" w:tentative="0">
      <w:start w:val="1"/>
      <w:numFmt w:val="lowerLetter"/>
      <w:lvlText w:val="%2)"/>
      <w:lvlJc w:val="left"/>
      <w:pPr>
        <w:ind w:left="1440" w:hanging="480"/>
      </w:pPr>
    </w:lvl>
    <w:lvl w:ilvl="2" w:tentative="0">
      <w:start w:val="1"/>
      <w:numFmt w:val="lowerRoman"/>
      <w:lvlText w:val="%3."/>
      <w:lvlJc w:val="right"/>
      <w:pPr>
        <w:ind w:left="1920" w:hanging="480"/>
      </w:pPr>
    </w:lvl>
    <w:lvl w:ilvl="3" w:tentative="0">
      <w:start w:val="1"/>
      <w:numFmt w:val="decimal"/>
      <w:lvlText w:val="%4."/>
      <w:lvlJc w:val="left"/>
      <w:pPr>
        <w:ind w:left="2400" w:hanging="480"/>
      </w:pPr>
    </w:lvl>
    <w:lvl w:ilvl="4" w:tentative="0">
      <w:start w:val="1"/>
      <w:numFmt w:val="lowerLetter"/>
      <w:lvlText w:val="%5)"/>
      <w:lvlJc w:val="left"/>
      <w:pPr>
        <w:ind w:left="2880" w:hanging="480"/>
      </w:pPr>
    </w:lvl>
    <w:lvl w:ilvl="5" w:tentative="0">
      <w:start w:val="1"/>
      <w:numFmt w:val="lowerRoman"/>
      <w:lvlText w:val="%6."/>
      <w:lvlJc w:val="right"/>
      <w:pPr>
        <w:ind w:left="3360" w:hanging="480"/>
      </w:pPr>
    </w:lvl>
    <w:lvl w:ilvl="6" w:tentative="0">
      <w:start w:val="1"/>
      <w:numFmt w:val="decimal"/>
      <w:lvlText w:val="%7."/>
      <w:lvlJc w:val="left"/>
      <w:pPr>
        <w:ind w:left="3840" w:hanging="480"/>
      </w:pPr>
    </w:lvl>
    <w:lvl w:ilvl="7" w:tentative="0">
      <w:start w:val="1"/>
      <w:numFmt w:val="lowerLetter"/>
      <w:lvlText w:val="%8)"/>
      <w:lvlJc w:val="left"/>
      <w:pPr>
        <w:ind w:left="4320" w:hanging="480"/>
      </w:pPr>
    </w:lvl>
    <w:lvl w:ilvl="8" w:tentative="0">
      <w:start w:val="1"/>
      <w:numFmt w:val="lowerRoman"/>
      <w:lvlText w:val="%9."/>
      <w:lvlJc w:val="right"/>
      <w:pPr>
        <w:ind w:left="4800" w:hanging="480"/>
      </w:pPr>
    </w:lvl>
  </w:abstractNum>
  <w:abstractNum w:abstractNumId="138">
    <w:nsid w:val="70177DB3"/>
    <w:multiLevelType w:val="singleLevel"/>
    <w:tmpl w:val="70177DB3"/>
    <w:lvl w:ilvl="0" w:tentative="0">
      <w:start w:val="1"/>
      <w:numFmt w:val="decimal"/>
      <w:lvlText w:val="%1)"/>
      <w:lvlJc w:val="left"/>
      <w:pPr>
        <w:ind w:left="425" w:hanging="425"/>
      </w:pPr>
      <w:rPr>
        <w:rFonts w:hint="default"/>
      </w:rPr>
    </w:lvl>
  </w:abstractNum>
  <w:abstractNum w:abstractNumId="139">
    <w:nsid w:val="704305F2"/>
    <w:multiLevelType w:val="multilevel"/>
    <w:tmpl w:val="704305F2"/>
    <w:lvl w:ilvl="0" w:tentative="0">
      <w:start w:val="1"/>
      <w:numFmt w:val="decimal"/>
      <w:lvlText w:val="%1."/>
      <w:lvlJc w:val="left"/>
      <w:pPr>
        <w:ind w:left="2145"/>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1" w:tentative="0">
      <w:start w:val="1"/>
      <w:numFmt w:val="lowerLetter"/>
      <w:lvlText w:val="%2"/>
      <w:lvlJc w:val="left"/>
      <w:pPr>
        <w:ind w:left="252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2" w:tentative="0">
      <w:start w:val="1"/>
      <w:numFmt w:val="lowerRoman"/>
      <w:lvlText w:val="%3"/>
      <w:lvlJc w:val="left"/>
      <w:pPr>
        <w:ind w:left="324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3" w:tentative="0">
      <w:start w:val="1"/>
      <w:numFmt w:val="decimal"/>
      <w:lvlText w:val="%4"/>
      <w:lvlJc w:val="left"/>
      <w:pPr>
        <w:ind w:left="396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4" w:tentative="0">
      <w:start w:val="1"/>
      <w:numFmt w:val="lowerLetter"/>
      <w:lvlText w:val="%5"/>
      <w:lvlJc w:val="left"/>
      <w:pPr>
        <w:ind w:left="468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5" w:tentative="0">
      <w:start w:val="1"/>
      <w:numFmt w:val="lowerRoman"/>
      <w:lvlText w:val="%6"/>
      <w:lvlJc w:val="left"/>
      <w:pPr>
        <w:ind w:left="540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6" w:tentative="0">
      <w:start w:val="1"/>
      <w:numFmt w:val="decimal"/>
      <w:lvlText w:val="%7"/>
      <w:lvlJc w:val="left"/>
      <w:pPr>
        <w:ind w:left="612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7" w:tentative="0">
      <w:start w:val="1"/>
      <w:numFmt w:val="lowerLetter"/>
      <w:lvlText w:val="%8"/>
      <w:lvlJc w:val="left"/>
      <w:pPr>
        <w:ind w:left="684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8" w:tentative="0">
      <w:start w:val="1"/>
      <w:numFmt w:val="lowerRoman"/>
      <w:lvlText w:val="%9"/>
      <w:lvlJc w:val="left"/>
      <w:pPr>
        <w:ind w:left="756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abstractNum>
  <w:abstractNum w:abstractNumId="140">
    <w:nsid w:val="70636375"/>
    <w:multiLevelType w:val="multilevel"/>
    <w:tmpl w:val="70636375"/>
    <w:lvl w:ilvl="0" w:tentative="0">
      <w:start w:val="1"/>
      <w:numFmt w:val="bullet"/>
      <w:lvlText w:val=""/>
      <w:lvlJc w:val="left"/>
      <w:pPr>
        <w:ind w:left="900" w:hanging="420"/>
      </w:pPr>
      <w:rPr>
        <w:rFonts w:hint="default" w:ascii="Wingdings" w:hAnsi="Wingdings"/>
      </w:rPr>
    </w:lvl>
    <w:lvl w:ilvl="1" w:tentative="0">
      <w:start w:val="1"/>
      <w:numFmt w:val="bullet"/>
      <w:lvlText w:val=""/>
      <w:lvlJc w:val="left"/>
      <w:pPr>
        <w:ind w:left="1320" w:hanging="420"/>
      </w:pPr>
      <w:rPr>
        <w:rFonts w:hint="default" w:ascii="Wingdings" w:hAnsi="Wingdings"/>
      </w:rPr>
    </w:lvl>
    <w:lvl w:ilvl="2" w:tentative="0">
      <w:start w:val="1"/>
      <w:numFmt w:val="bullet"/>
      <w:lvlText w:val=""/>
      <w:lvlJc w:val="left"/>
      <w:pPr>
        <w:ind w:left="1740" w:hanging="420"/>
      </w:pPr>
      <w:rPr>
        <w:rFonts w:hint="default" w:ascii="Wingdings" w:hAnsi="Wingdings"/>
      </w:rPr>
    </w:lvl>
    <w:lvl w:ilvl="3" w:tentative="0">
      <w:start w:val="1"/>
      <w:numFmt w:val="bullet"/>
      <w:lvlText w:val=""/>
      <w:lvlJc w:val="left"/>
      <w:pPr>
        <w:ind w:left="2160" w:hanging="420"/>
      </w:pPr>
      <w:rPr>
        <w:rFonts w:hint="default" w:ascii="Wingdings" w:hAnsi="Wingdings"/>
      </w:rPr>
    </w:lvl>
    <w:lvl w:ilvl="4" w:tentative="0">
      <w:start w:val="1"/>
      <w:numFmt w:val="bullet"/>
      <w:lvlText w:val=""/>
      <w:lvlJc w:val="left"/>
      <w:pPr>
        <w:ind w:left="2580" w:hanging="420"/>
      </w:pPr>
      <w:rPr>
        <w:rFonts w:hint="default" w:ascii="Wingdings" w:hAnsi="Wingdings"/>
      </w:rPr>
    </w:lvl>
    <w:lvl w:ilvl="5" w:tentative="0">
      <w:start w:val="1"/>
      <w:numFmt w:val="bullet"/>
      <w:lvlText w:val=""/>
      <w:lvlJc w:val="left"/>
      <w:pPr>
        <w:ind w:left="3000" w:hanging="420"/>
      </w:pPr>
      <w:rPr>
        <w:rFonts w:hint="default" w:ascii="Wingdings" w:hAnsi="Wingdings"/>
      </w:rPr>
    </w:lvl>
    <w:lvl w:ilvl="6" w:tentative="0">
      <w:start w:val="1"/>
      <w:numFmt w:val="bullet"/>
      <w:lvlText w:val=""/>
      <w:lvlJc w:val="left"/>
      <w:pPr>
        <w:ind w:left="3420" w:hanging="420"/>
      </w:pPr>
      <w:rPr>
        <w:rFonts w:hint="default" w:ascii="Wingdings" w:hAnsi="Wingdings"/>
      </w:rPr>
    </w:lvl>
    <w:lvl w:ilvl="7" w:tentative="0">
      <w:start w:val="1"/>
      <w:numFmt w:val="bullet"/>
      <w:lvlText w:val=""/>
      <w:lvlJc w:val="left"/>
      <w:pPr>
        <w:ind w:left="3840" w:hanging="420"/>
      </w:pPr>
      <w:rPr>
        <w:rFonts w:hint="default" w:ascii="Wingdings" w:hAnsi="Wingdings"/>
      </w:rPr>
    </w:lvl>
    <w:lvl w:ilvl="8" w:tentative="0">
      <w:start w:val="1"/>
      <w:numFmt w:val="bullet"/>
      <w:lvlText w:val=""/>
      <w:lvlJc w:val="left"/>
      <w:pPr>
        <w:ind w:left="4260" w:hanging="420"/>
      </w:pPr>
      <w:rPr>
        <w:rFonts w:hint="default" w:ascii="Wingdings" w:hAnsi="Wingdings"/>
      </w:rPr>
    </w:lvl>
  </w:abstractNum>
  <w:abstractNum w:abstractNumId="141">
    <w:nsid w:val="776C4003"/>
    <w:multiLevelType w:val="multilevel"/>
    <w:tmpl w:val="776C4003"/>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42">
    <w:nsid w:val="77A03733"/>
    <w:multiLevelType w:val="singleLevel"/>
    <w:tmpl w:val="77A03733"/>
    <w:lvl w:ilvl="0" w:tentative="0">
      <w:start w:val="1"/>
      <w:numFmt w:val="decimalEnclosedCircleChinese"/>
      <w:suff w:val="nothing"/>
      <w:lvlText w:val="%1　"/>
      <w:lvlJc w:val="left"/>
      <w:pPr>
        <w:ind w:left="0" w:firstLine="400"/>
      </w:pPr>
      <w:rPr>
        <w:rFonts w:hint="eastAsia"/>
      </w:rPr>
    </w:lvl>
  </w:abstractNum>
  <w:abstractNum w:abstractNumId="143">
    <w:nsid w:val="77FE1814"/>
    <w:multiLevelType w:val="multilevel"/>
    <w:tmpl w:val="77FE1814"/>
    <w:lvl w:ilvl="0" w:tentative="0">
      <w:start w:val="1"/>
      <w:numFmt w:val="decimal"/>
      <w:lvlText w:val="%1."/>
      <w:lvlJc w:val="left"/>
      <w:pPr>
        <w:ind w:left="2145"/>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1" w:tentative="0">
      <w:start w:val="1"/>
      <w:numFmt w:val="lowerLetter"/>
      <w:lvlText w:val="%2"/>
      <w:lvlJc w:val="left"/>
      <w:pPr>
        <w:ind w:left="252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2" w:tentative="0">
      <w:start w:val="1"/>
      <w:numFmt w:val="lowerRoman"/>
      <w:lvlText w:val="%3"/>
      <w:lvlJc w:val="left"/>
      <w:pPr>
        <w:ind w:left="324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3" w:tentative="0">
      <w:start w:val="1"/>
      <w:numFmt w:val="decimal"/>
      <w:lvlText w:val="%4"/>
      <w:lvlJc w:val="left"/>
      <w:pPr>
        <w:ind w:left="396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4" w:tentative="0">
      <w:start w:val="1"/>
      <w:numFmt w:val="lowerLetter"/>
      <w:lvlText w:val="%5"/>
      <w:lvlJc w:val="left"/>
      <w:pPr>
        <w:ind w:left="468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5" w:tentative="0">
      <w:start w:val="1"/>
      <w:numFmt w:val="lowerRoman"/>
      <w:lvlText w:val="%6"/>
      <w:lvlJc w:val="left"/>
      <w:pPr>
        <w:ind w:left="540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6" w:tentative="0">
      <w:start w:val="1"/>
      <w:numFmt w:val="decimal"/>
      <w:lvlText w:val="%7"/>
      <w:lvlJc w:val="left"/>
      <w:pPr>
        <w:ind w:left="612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7" w:tentative="0">
      <w:start w:val="1"/>
      <w:numFmt w:val="lowerLetter"/>
      <w:lvlText w:val="%8"/>
      <w:lvlJc w:val="left"/>
      <w:pPr>
        <w:ind w:left="684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8" w:tentative="0">
      <w:start w:val="1"/>
      <w:numFmt w:val="lowerRoman"/>
      <w:lvlText w:val="%9"/>
      <w:lvlJc w:val="left"/>
      <w:pPr>
        <w:ind w:left="756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abstractNum>
  <w:abstractNum w:abstractNumId="144">
    <w:nsid w:val="785F29D8"/>
    <w:multiLevelType w:val="multilevel"/>
    <w:tmpl w:val="785F29D8"/>
    <w:lvl w:ilvl="0" w:tentative="0">
      <w:start w:val="1"/>
      <w:numFmt w:val="lowerRoman"/>
      <w:lvlText w:val="%1."/>
      <w:lvlJc w:val="left"/>
      <w:pPr>
        <w:ind w:left="2970"/>
      </w:pPr>
      <w:rPr>
        <w:rFonts w:ascii="等线" w:hAnsi="等线" w:eastAsia="等线" w:cs="等线"/>
        <w:b w:val="0"/>
        <w:i w:val="0"/>
        <w:strike w:val="0"/>
        <w:dstrike w:val="0"/>
        <w:color w:val="000000"/>
        <w:sz w:val="24"/>
        <w:szCs w:val="24"/>
        <w:u w:val="none" w:color="000000"/>
        <w:shd w:val="clear" w:color="auto" w:fill="auto"/>
        <w:vertAlign w:val="baseline"/>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45">
    <w:nsid w:val="78F34B0B"/>
    <w:multiLevelType w:val="multilevel"/>
    <w:tmpl w:val="78F34B0B"/>
    <w:lvl w:ilvl="0" w:tentative="0">
      <w:start w:val="1"/>
      <w:numFmt w:val="decimal"/>
      <w:lvlText w:val="%1."/>
      <w:lvlJc w:val="left"/>
      <w:pPr>
        <w:ind w:left="840"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146">
    <w:nsid w:val="79435C1D"/>
    <w:multiLevelType w:val="multilevel"/>
    <w:tmpl w:val="79435C1D"/>
    <w:lvl w:ilvl="0" w:tentative="0">
      <w:start w:val="1"/>
      <w:numFmt w:val="decimal"/>
      <w:lvlText w:val="%1."/>
      <w:lvlJc w:val="left"/>
      <w:pPr>
        <w:ind w:left="2145"/>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1" w:tentative="0">
      <w:start w:val="1"/>
      <w:numFmt w:val="lowerLetter"/>
      <w:lvlText w:val="%2"/>
      <w:lvlJc w:val="left"/>
      <w:pPr>
        <w:ind w:left="252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2" w:tentative="0">
      <w:start w:val="1"/>
      <w:numFmt w:val="lowerRoman"/>
      <w:lvlText w:val="%3"/>
      <w:lvlJc w:val="left"/>
      <w:pPr>
        <w:ind w:left="324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3" w:tentative="0">
      <w:start w:val="1"/>
      <w:numFmt w:val="decimal"/>
      <w:lvlText w:val="%4"/>
      <w:lvlJc w:val="left"/>
      <w:pPr>
        <w:ind w:left="396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4" w:tentative="0">
      <w:start w:val="1"/>
      <w:numFmt w:val="lowerLetter"/>
      <w:lvlText w:val="%5"/>
      <w:lvlJc w:val="left"/>
      <w:pPr>
        <w:ind w:left="468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5" w:tentative="0">
      <w:start w:val="1"/>
      <w:numFmt w:val="lowerRoman"/>
      <w:lvlText w:val="%6"/>
      <w:lvlJc w:val="left"/>
      <w:pPr>
        <w:ind w:left="540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6" w:tentative="0">
      <w:start w:val="1"/>
      <w:numFmt w:val="decimal"/>
      <w:lvlText w:val="%7"/>
      <w:lvlJc w:val="left"/>
      <w:pPr>
        <w:ind w:left="612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7" w:tentative="0">
      <w:start w:val="1"/>
      <w:numFmt w:val="lowerLetter"/>
      <w:lvlText w:val="%8"/>
      <w:lvlJc w:val="left"/>
      <w:pPr>
        <w:ind w:left="684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8" w:tentative="0">
      <w:start w:val="1"/>
      <w:numFmt w:val="lowerRoman"/>
      <w:lvlText w:val="%9"/>
      <w:lvlJc w:val="left"/>
      <w:pPr>
        <w:ind w:left="756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abstractNum>
  <w:abstractNum w:abstractNumId="147">
    <w:nsid w:val="7992331C"/>
    <w:multiLevelType w:val="multilevel"/>
    <w:tmpl w:val="7992331C"/>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48">
    <w:nsid w:val="7ACF19DE"/>
    <w:multiLevelType w:val="multilevel"/>
    <w:tmpl w:val="7ACF19DE"/>
    <w:lvl w:ilvl="0" w:tentative="0">
      <w:start w:val="1"/>
      <w:numFmt w:val="decimal"/>
      <w:lvlText w:val="%1."/>
      <w:lvlJc w:val="left"/>
      <w:pPr>
        <w:ind w:left="840" w:hanging="360"/>
      </w:pPr>
      <w:rPr>
        <w:rFonts w:hint="eastAsia"/>
      </w:rPr>
    </w:lvl>
    <w:lvl w:ilvl="1" w:tentative="0">
      <w:start w:val="1"/>
      <w:numFmt w:val="lowerLetter"/>
      <w:lvlText w:val="%2)"/>
      <w:lvlJc w:val="left"/>
      <w:pPr>
        <w:ind w:left="1440" w:hanging="480"/>
      </w:pPr>
    </w:lvl>
    <w:lvl w:ilvl="2" w:tentative="0">
      <w:start w:val="1"/>
      <w:numFmt w:val="lowerRoman"/>
      <w:lvlText w:val="%3."/>
      <w:lvlJc w:val="right"/>
      <w:pPr>
        <w:ind w:left="1920" w:hanging="480"/>
      </w:pPr>
    </w:lvl>
    <w:lvl w:ilvl="3" w:tentative="0">
      <w:start w:val="1"/>
      <w:numFmt w:val="decimal"/>
      <w:lvlText w:val="%4."/>
      <w:lvlJc w:val="left"/>
      <w:pPr>
        <w:ind w:left="2400" w:hanging="480"/>
      </w:pPr>
    </w:lvl>
    <w:lvl w:ilvl="4" w:tentative="0">
      <w:start w:val="1"/>
      <w:numFmt w:val="lowerLetter"/>
      <w:lvlText w:val="%5)"/>
      <w:lvlJc w:val="left"/>
      <w:pPr>
        <w:ind w:left="2880" w:hanging="480"/>
      </w:pPr>
    </w:lvl>
    <w:lvl w:ilvl="5" w:tentative="0">
      <w:start w:val="1"/>
      <w:numFmt w:val="lowerRoman"/>
      <w:lvlText w:val="%6."/>
      <w:lvlJc w:val="right"/>
      <w:pPr>
        <w:ind w:left="3360" w:hanging="480"/>
      </w:pPr>
    </w:lvl>
    <w:lvl w:ilvl="6" w:tentative="0">
      <w:start w:val="1"/>
      <w:numFmt w:val="decimal"/>
      <w:lvlText w:val="%7."/>
      <w:lvlJc w:val="left"/>
      <w:pPr>
        <w:ind w:left="3840" w:hanging="480"/>
      </w:pPr>
    </w:lvl>
    <w:lvl w:ilvl="7" w:tentative="0">
      <w:start w:val="1"/>
      <w:numFmt w:val="lowerLetter"/>
      <w:lvlText w:val="%8)"/>
      <w:lvlJc w:val="left"/>
      <w:pPr>
        <w:ind w:left="4320" w:hanging="480"/>
      </w:pPr>
    </w:lvl>
    <w:lvl w:ilvl="8" w:tentative="0">
      <w:start w:val="1"/>
      <w:numFmt w:val="lowerRoman"/>
      <w:lvlText w:val="%9."/>
      <w:lvlJc w:val="right"/>
      <w:pPr>
        <w:ind w:left="4800" w:hanging="480"/>
      </w:pPr>
    </w:lvl>
  </w:abstractNum>
  <w:abstractNum w:abstractNumId="149">
    <w:nsid w:val="7B8617FE"/>
    <w:multiLevelType w:val="multilevel"/>
    <w:tmpl w:val="7B8617FE"/>
    <w:lvl w:ilvl="0" w:tentative="0">
      <w:start w:val="1"/>
      <w:numFmt w:val="chineseCountingThousand"/>
      <w:lvlText w:val="(%1)"/>
      <w:lvlJc w:val="left"/>
      <w:pPr>
        <w:tabs>
          <w:tab w:val="left" w:pos="757"/>
        </w:tabs>
        <w:ind w:left="757" w:hanging="360"/>
      </w:pPr>
      <w:rPr>
        <w:rFonts w:hint="default"/>
      </w:rPr>
    </w:lvl>
    <w:lvl w:ilvl="1" w:tentative="0">
      <w:start w:val="1"/>
      <w:numFmt w:val="chineseCountingThousand"/>
      <w:lvlText w:val="(%2)"/>
      <w:lvlJc w:val="left"/>
      <w:pPr>
        <w:tabs>
          <w:tab w:val="left" w:pos="1237"/>
        </w:tabs>
        <w:ind w:left="1237" w:hanging="420"/>
      </w:pPr>
    </w:lvl>
    <w:lvl w:ilvl="2" w:tentative="0">
      <w:start w:val="1"/>
      <w:numFmt w:val="lowerRoman"/>
      <w:lvlText w:val="%3."/>
      <w:lvlJc w:val="right"/>
      <w:pPr>
        <w:tabs>
          <w:tab w:val="left" w:pos="1657"/>
        </w:tabs>
        <w:ind w:left="1657" w:hanging="420"/>
      </w:pPr>
    </w:lvl>
    <w:lvl w:ilvl="3" w:tentative="0">
      <w:start w:val="1"/>
      <w:numFmt w:val="decimal"/>
      <w:lvlText w:val="%4."/>
      <w:lvlJc w:val="left"/>
      <w:pPr>
        <w:tabs>
          <w:tab w:val="left" w:pos="2077"/>
        </w:tabs>
        <w:ind w:left="2077" w:hanging="420"/>
      </w:pPr>
    </w:lvl>
    <w:lvl w:ilvl="4" w:tentative="0">
      <w:start w:val="1"/>
      <w:numFmt w:val="lowerLetter"/>
      <w:lvlText w:val="%5)"/>
      <w:lvlJc w:val="left"/>
      <w:pPr>
        <w:tabs>
          <w:tab w:val="left" w:pos="2497"/>
        </w:tabs>
        <w:ind w:left="2497" w:hanging="420"/>
      </w:pPr>
    </w:lvl>
    <w:lvl w:ilvl="5" w:tentative="0">
      <w:start w:val="1"/>
      <w:numFmt w:val="lowerRoman"/>
      <w:lvlText w:val="%6."/>
      <w:lvlJc w:val="right"/>
      <w:pPr>
        <w:tabs>
          <w:tab w:val="left" w:pos="2917"/>
        </w:tabs>
        <w:ind w:left="2917" w:hanging="420"/>
      </w:pPr>
    </w:lvl>
    <w:lvl w:ilvl="6" w:tentative="0">
      <w:start w:val="1"/>
      <w:numFmt w:val="decimal"/>
      <w:lvlText w:val="%7."/>
      <w:lvlJc w:val="left"/>
      <w:pPr>
        <w:tabs>
          <w:tab w:val="left" w:pos="3337"/>
        </w:tabs>
        <w:ind w:left="3337" w:hanging="420"/>
      </w:pPr>
    </w:lvl>
    <w:lvl w:ilvl="7" w:tentative="0">
      <w:start w:val="1"/>
      <w:numFmt w:val="lowerLetter"/>
      <w:lvlText w:val="%8)"/>
      <w:lvlJc w:val="left"/>
      <w:pPr>
        <w:tabs>
          <w:tab w:val="left" w:pos="3757"/>
        </w:tabs>
        <w:ind w:left="3757" w:hanging="420"/>
      </w:pPr>
    </w:lvl>
    <w:lvl w:ilvl="8" w:tentative="0">
      <w:start w:val="1"/>
      <w:numFmt w:val="lowerRoman"/>
      <w:lvlText w:val="%9."/>
      <w:lvlJc w:val="right"/>
      <w:pPr>
        <w:tabs>
          <w:tab w:val="left" w:pos="4177"/>
        </w:tabs>
        <w:ind w:left="4177" w:hanging="420"/>
      </w:pPr>
    </w:lvl>
  </w:abstractNum>
  <w:abstractNum w:abstractNumId="150">
    <w:nsid w:val="7C911D54"/>
    <w:multiLevelType w:val="multilevel"/>
    <w:tmpl w:val="7C911D54"/>
    <w:lvl w:ilvl="0" w:tentative="0">
      <w:start w:val="1"/>
      <w:numFmt w:val="lowerRoman"/>
      <w:lvlText w:val="%1."/>
      <w:lvlJc w:val="left"/>
      <w:pPr>
        <w:ind w:left="2970"/>
      </w:pPr>
      <w:rPr>
        <w:rFonts w:ascii="等线" w:hAnsi="等线" w:eastAsia="等线" w:cs="等线"/>
        <w:b w:val="0"/>
        <w:i w:val="0"/>
        <w:strike w:val="0"/>
        <w:dstrike w:val="0"/>
        <w:color w:val="000000"/>
        <w:sz w:val="24"/>
        <w:szCs w:val="24"/>
        <w:u w:val="none" w:color="000000"/>
        <w:shd w:val="clear" w:color="auto" w:fill="auto"/>
        <w:vertAlign w:val="baseline"/>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51">
    <w:nsid w:val="7D254576"/>
    <w:multiLevelType w:val="multilevel"/>
    <w:tmpl w:val="7D254576"/>
    <w:lvl w:ilvl="0" w:tentative="0">
      <w:start w:val="1"/>
      <w:numFmt w:val="bullet"/>
      <w:lvlText w:val=""/>
      <w:lvlJc w:val="left"/>
      <w:pPr>
        <w:ind w:left="840" w:hanging="420"/>
      </w:pPr>
      <w:rPr>
        <w:rFonts w:hint="default" w:ascii="Wingdings" w:hAnsi="Wingdings"/>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152">
    <w:nsid w:val="7DA2AF60"/>
    <w:multiLevelType w:val="multilevel"/>
    <w:tmpl w:val="7DA2AF60"/>
    <w:lvl w:ilvl="0" w:tentative="0">
      <w:start w:val="1"/>
      <w:numFmt w:val="decimal"/>
      <w:lvlText w:val="%1."/>
      <w:lvlJc w:val="left"/>
      <w:pPr>
        <w:ind w:left="2145"/>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1" w:tentative="0">
      <w:start w:val="1"/>
      <w:numFmt w:val="lowerLetter"/>
      <w:lvlText w:val="%2"/>
      <w:lvlJc w:val="left"/>
      <w:pPr>
        <w:ind w:left="252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2" w:tentative="0">
      <w:start w:val="1"/>
      <w:numFmt w:val="lowerRoman"/>
      <w:lvlText w:val="%3"/>
      <w:lvlJc w:val="left"/>
      <w:pPr>
        <w:ind w:left="324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3" w:tentative="0">
      <w:start w:val="1"/>
      <w:numFmt w:val="decimal"/>
      <w:lvlText w:val="%4"/>
      <w:lvlJc w:val="left"/>
      <w:pPr>
        <w:ind w:left="396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4" w:tentative="0">
      <w:start w:val="1"/>
      <w:numFmt w:val="lowerLetter"/>
      <w:lvlText w:val="%5"/>
      <w:lvlJc w:val="left"/>
      <w:pPr>
        <w:ind w:left="468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5" w:tentative="0">
      <w:start w:val="1"/>
      <w:numFmt w:val="lowerRoman"/>
      <w:lvlText w:val="%6"/>
      <w:lvlJc w:val="left"/>
      <w:pPr>
        <w:ind w:left="540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6" w:tentative="0">
      <w:start w:val="1"/>
      <w:numFmt w:val="decimal"/>
      <w:lvlText w:val="%7"/>
      <w:lvlJc w:val="left"/>
      <w:pPr>
        <w:ind w:left="612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7" w:tentative="0">
      <w:start w:val="1"/>
      <w:numFmt w:val="lowerLetter"/>
      <w:lvlText w:val="%8"/>
      <w:lvlJc w:val="left"/>
      <w:pPr>
        <w:ind w:left="684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8" w:tentative="0">
      <w:start w:val="1"/>
      <w:numFmt w:val="lowerRoman"/>
      <w:lvlText w:val="%9"/>
      <w:lvlJc w:val="left"/>
      <w:pPr>
        <w:ind w:left="756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abstractNum>
  <w:abstractNum w:abstractNumId="153">
    <w:nsid w:val="7DB029EB"/>
    <w:multiLevelType w:val="multilevel"/>
    <w:tmpl w:val="7DB029EB"/>
    <w:lvl w:ilvl="0" w:tentative="0">
      <w:start w:val="1"/>
      <w:numFmt w:val="decimal"/>
      <w:lvlText w:val="%1."/>
      <w:lvlJc w:val="left"/>
      <w:pPr>
        <w:ind w:left="2145"/>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1" w:tentative="0">
      <w:start w:val="1"/>
      <w:numFmt w:val="lowerLetter"/>
      <w:lvlText w:val="%2"/>
      <w:lvlJc w:val="left"/>
      <w:pPr>
        <w:ind w:left="252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2" w:tentative="0">
      <w:start w:val="1"/>
      <w:numFmt w:val="lowerRoman"/>
      <w:lvlText w:val="%3"/>
      <w:lvlJc w:val="left"/>
      <w:pPr>
        <w:ind w:left="324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3" w:tentative="0">
      <w:start w:val="1"/>
      <w:numFmt w:val="decimal"/>
      <w:lvlText w:val="%4"/>
      <w:lvlJc w:val="left"/>
      <w:pPr>
        <w:ind w:left="396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4" w:tentative="0">
      <w:start w:val="1"/>
      <w:numFmt w:val="lowerLetter"/>
      <w:lvlText w:val="%5"/>
      <w:lvlJc w:val="left"/>
      <w:pPr>
        <w:ind w:left="468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5" w:tentative="0">
      <w:start w:val="1"/>
      <w:numFmt w:val="lowerRoman"/>
      <w:lvlText w:val="%6"/>
      <w:lvlJc w:val="left"/>
      <w:pPr>
        <w:ind w:left="540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6" w:tentative="0">
      <w:start w:val="1"/>
      <w:numFmt w:val="decimal"/>
      <w:lvlText w:val="%7"/>
      <w:lvlJc w:val="left"/>
      <w:pPr>
        <w:ind w:left="612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7" w:tentative="0">
      <w:start w:val="1"/>
      <w:numFmt w:val="lowerLetter"/>
      <w:lvlText w:val="%8"/>
      <w:lvlJc w:val="left"/>
      <w:pPr>
        <w:ind w:left="684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8" w:tentative="0">
      <w:start w:val="1"/>
      <w:numFmt w:val="lowerRoman"/>
      <w:lvlText w:val="%9"/>
      <w:lvlJc w:val="left"/>
      <w:pPr>
        <w:ind w:left="756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abstractNum>
  <w:abstractNum w:abstractNumId="154">
    <w:nsid w:val="7E1D7995"/>
    <w:multiLevelType w:val="multilevel"/>
    <w:tmpl w:val="7E1D7995"/>
    <w:lvl w:ilvl="0" w:tentative="0">
      <w:start w:val="1"/>
      <w:numFmt w:val="lowerLetter"/>
      <w:lvlText w:val="%1)"/>
      <w:lvlJc w:val="left"/>
      <w:pPr>
        <w:ind w:left="900" w:hanging="420"/>
      </w:p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155">
    <w:nsid w:val="7E2B0FE0"/>
    <w:multiLevelType w:val="multilevel"/>
    <w:tmpl w:val="7E2B0FE0"/>
    <w:lvl w:ilvl="0" w:tentative="0">
      <w:start w:val="1"/>
      <w:numFmt w:val="decimal"/>
      <w:lvlText w:val="%1."/>
      <w:lvlJc w:val="left"/>
      <w:pPr>
        <w:ind w:left="870" w:hanging="420"/>
      </w:pPr>
      <w:rPr>
        <w:rFonts w:hint="eastAsia"/>
      </w:rPr>
    </w:lvl>
    <w:lvl w:ilvl="1" w:tentative="0">
      <w:start w:val="1"/>
      <w:numFmt w:val="lowerLetter"/>
      <w:lvlText w:val="%2)"/>
      <w:lvlJc w:val="left"/>
      <w:pPr>
        <w:ind w:left="1290" w:hanging="420"/>
      </w:pPr>
    </w:lvl>
    <w:lvl w:ilvl="2" w:tentative="0">
      <w:start w:val="1"/>
      <w:numFmt w:val="lowerRoman"/>
      <w:lvlText w:val="%3."/>
      <w:lvlJc w:val="right"/>
      <w:pPr>
        <w:ind w:left="1710" w:hanging="420"/>
      </w:pPr>
    </w:lvl>
    <w:lvl w:ilvl="3" w:tentative="0">
      <w:start w:val="1"/>
      <w:numFmt w:val="decimal"/>
      <w:lvlText w:val="%4."/>
      <w:lvlJc w:val="left"/>
      <w:pPr>
        <w:ind w:left="2130" w:hanging="420"/>
      </w:pPr>
    </w:lvl>
    <w:lvl w:ilvl="4" w:tentative="0">
      <w:start w:val="1"/>
      <w:numFmt w:val="lowerLetter"/>
      <w:lvlText w:val="%5)"/>
      <w:lvlJc w:val="left"/>
      <w:pPr>
        <w:ind w:left="2550" w:hanging="420"/>
      </w:pPr>
    </w:lvl>
    <w:lvl w:ilvl="5" w:tentative="0">
      <w:start w:val="1"/>
      <w:numFmt w:val="lowerRoman"/>
      <w:lvlText w:val="%6."/>
      <w:lvlJc w:val="right"/>
      <w:pPr>
        <w:ind w:left="2970" w:hanging="420"/>
      </w:pPr>
    </w:lvl>
    <w:lvl w:ilvl="6" w:tentative="0">
      <w:start w:val="1"/>
      <w:numFmt w:val="decimal"/>
      <w:lvlText w:val="%7."/>
      <w:lvlJc w:val="left"/>
      <w:pPr>
        <w:ind w:left="3390" w:hanging="420"/>
      </w:pPr>
    </w:lvl>
    <w:lvl w:ilvl="7" w:tentative="0">
      <w:start w:val="1"/>
      <w:numFmt w:val="lowerLetter"/>
      <w:lvlText w:val="%8)"/>
      <w:lvlJc w:val="left"/>
      <w:pPr>
        <w:ind w:left="3810" w:hanging="420"/>
      </w:pPr>
    </w:lvl>
    <w:lvl w:ilvl="8" w:tentative="0">
      <w:start w:val="1"/>
      <w:numFmt w:val="lowerRoman"/>
      <w:lvlText w:val="%9."/>
      <w:lvlJc w:val="right"/>
      <w:pPr>
        <w:ind w:left="4230" w:hanging="420"/>
      </w:pPr>
    </w:lvl>
  </w:abstractNum>
  <w:abstractNum w:abstractNumId="156">
    <w:nsid w:val="7E542D6A"/>
    <w:multiLevelType w:val="multilevel"/>
    <w:tmpl w:val="7E542D6A"/>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57">
    <w:nsid w:val="7EA60858"/>
    <w:multiLevelType w:val="multilevel"/>
    <w:tmpl w:val="7EA60858"/>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58">
    <w:nsid w:val="7F9C5A81"/>
    <w:multiLevelType w:val="multilevel"/>
    <w:tmpl w:val="7F9C5A81"/>
    <w:lvl w:ilvl="0" w:tentative="0">
      <w:start w:val="1"/>
      <w:numFmt w:val="decimal"/>
      <w:lvlText w:val="%1."/>
      <w:lvlJc w:val="left"/>
      <w:pPr>
        <w:ind w:left="870" w:hanging="420"/>
      </w:pPr>
      <w:rPr>
        <w:rFonts w:hint="eastAsia"/>
      </w:rPr>
    </w:lvl>
    <w:lvl w:ilvl="1" w:tentative="0">
      <w:start w:val="1"/>
      <w:numFmt w:val="lowerLetter"/>
      <w:lvlText w:val="%2)"/>
      <w:lvlJc w:val="left"/>
      <w:pPr>
        <w:ind w:left="1290" w:hanging="420"/>
      </w:pPr>
    </w:lvl>
    <w:lvl w:ilvl="2" w:tentative="0">
      <w:start w:val="1"/>
      <w:numFmt w:val="lowerRoman"/>
      <w:lvlText w:val="%3."/>
      <w:lvlJc w:val="right"/>
      <w:pPr>
        <w:ind w:left="1710" w:hanging="420"/>
      </w:pPr>
    </w:lvl>
    <w:lvl w:ilvl="3" w:tentative="0">
      <w:start w:val="1"/>
      <w:numFmt w:val="decimal"/>
      <w:lvlText w:val="%4."/>
      <w:lvlJc w:val="left"/>
      <w:pPr>
        <w:ind w:left="2130" w:hanging="420"/>
      </w:pPr>
    </w:lvl>
    <w:lvl w:ilvl="4" w:tentative="0">
      <w:start w:val="1"/>
      <w:numFmt w:val="lowerLetter"/>
      <w:lvlText w:val="%5)"/>
      <w:lvlJc w:val="left"/>
      <w:pPr>
        <w:ind w:left="2550" w:hanging="420"/>
      </w:pPr>
    </w:lvl>
    <w:lvl w:ilvl="5" w:tentative="0">
      <w:start w:val="1"/>
      <w:numFmt w:val="lowerRoman"/>
      <w:lvlText w:val="%6."/>
      <w:lvlJc w:val="right"/>
      <w:pPr>
        <w:ind w:left="2970" w:hanging="420"/>
      </w:pPr>
    </w:lvl>
    <w:lvl w:ilvl="6" w:tentative="0">
      <w:start w:val="1"/>
      <w:numFmt w:val="decimal"/>
      <w:lvlText w:val="%7."/>
      <w:lvlJc w:val="left"/>
      <w:pPr>
        <w:ind w:left="3390" w:hanging="420"/>
      </w:pPr>
    </w:lvl>
    <w:lvl w:ilvl="7" w:tentative="0">
      <w:start w:val="1"/>
      <w:numFmt w:val="lowerLetter"/>
      <w:lvlText w:val="%8)"/>
      <w:lvlJc w:val="left"/>
      <w:pPr>
        <w:ind w:left="3810" w:hanging="420"/>
      </w:pPr>
    </w:lvl>
    <w:lvl w:ilvl="8" w:tentative="0">
      <w:start w:val="1"/>
      <w:numFmt w:val="lowerRoman"/>
      <w:lvlText w:val="%9."/>
      <w:lvlJc w:val="right"/>
      <w:pPr>
        <w:ind w:left="4230" w:hanging="420"/>
      </w:pPr>
    </w:lvl>
  </w:abstractNum>
  <w:num w:numId="1">
    <w:abstractNumId w:val="28"/>
  </w:num>
  <w:num w:numId="2">
    <w:abstractNumId w:val="120"/>
  </w:num>
  <w:num w:numId="3">
    <w:abstractNumId w:val="56"/>
  </w:num>
  <w:num w:numId="4">
    <w:abstractNumId w:val="121"/>
  </w:num>
  <w:num w:numId="5">
    <w:abstractNumId w:val="58"/>
  </w:num>
  <w:num w:numId="6">
    <w:abstractNumId w:val="68"/>
  </w:num>
  <w:num w:numId="7">
    <w:abstractNumId w:val="49"/>
  </w:num>
  <w:num w:numId="8">
    <w:abstractNumId w:val="50"/>
  </w:num>
  <w:num w:numId="9">
    <w:abstractNumId w:val="23"/>
  </w:num>
  <w:num w:numId="10">
    <w:abstractNumId w:val="53"/>
  </w:num>
  <w:num w:numId="11">
    <w:abstractNumId w:val="84"/>
  </w:num>
  <w:num w:numId="12">
    <w:abstractNumId w:val="45"/>
  </w:num>
  <w:num w:numId="13">
    <w:abstractNumId w:val="1"/>
  </w:num>
  <w:num w:numId="14">
    <w:abstractNumId w:val="69"/>
  </w:num>
  <w:num w:numId="15">
    <w:abstractNumId w:val="133"/>
  </w:num>
  <w:num w:numId="16">
    <w:abstractNumId w:val="37"/>
  </w:num>
  <w:num w:numId="17">
    <w:abstractNumId w:val="70"/>
  </w:num>
  <w:num w:numId="18">
    <w:abstractNumId w:val="11"/>
  </w:num>
  <w:num w:numId="19">
    <w:abstractNumId w:val="91"/>
  </w:num>
  <w:num w:numId="20">
    <w:abstractNumId w:val="139"/>
  </w:num>
  <w:num w:numId="21">
    <w:abstractNumId w:val="67"/>
  </w:num>
  <w:num w:numId="22">
    <w:abstractNumId w:val="93"/>
  </w:num>
  <w:num w:numId="23">
    <w:abstractNumId w:val="143"/>
  </w:num>
  <w:num w:numId="24">
    <w:abstractNumId w:val="112"/>
  </w:num>
  <w:num w:numId="25">
    <w:abstractNumId w:val="46"/>
  </w:num>
  <w:num w:numId="26">
    <w:abstractNumId w:val="118"/>
  </w:num>
  <w:num w:numId="27">
    <w:abstractNumId w:val="12"/>
  </w:num>
  <w:num w:numId="28">
    <w:abstractNumId w:val="107"/>
  </w:num>
  <w:num w:numId="29">
    <w:abstractNumId w:val="57"/>
  </w:num>
  <w:num w:numId="30">
    <w:abstractNumId w:val="92"/>
  </w:num>
  <w:num w:numId="31">
    <w:abstractNumId w:val="87"/>
  </w:num>
  <w:num w:numId="32">
    <w:abstractNumId w:val="31"/>
  </w:num>
  <w:num w:numId="33">
    <w:abstractNumId w:val="27"/>
  </w:num>
  <w:num w:numId="34">
    <w:abstractNumId w:val="146"/>
  </w:num>
  <w:num w:numId="35">
    <w:abstractNumId w:val="77"/>
  </w:num>
  <w:num w:numId="36">
    <w:abstractNumId w:val="75"/>
  </w:num>
  <w:num w:numId="37">
    <w:abstractNumId w:val="152"/>
  </w:num>
  <w:num w:numId="38">
    <w:abstractNumId w:val="102"/>
  </w:num>
  <w:num w:numId="39">
    <w:abstractNumId w:val="72"/>
  </w:num>
  <w:num w:numId="40">
    <w:abstractNumId w:val="2"/>
  </w:num>
  <w:num w:numId="41">
    <w:abstractNumId w:val="6"/>
  </w:num>
  <w:num w:numId="42">
    <w:abstractNumId w:val="104"/>
  </w:num>
  <w:num w:numId="43">
    <w:abstractNumId w:val="119"/>
  </w:num>
  <w:num w:numId="44">
    <w:abstractNumId w:val="3"/>
  </w:num>
  <w:num w:numId="45">
    <w:abstractNumId w:val="0"/>
  </w:num>
  <w:num w:numId="46">
    <w:abstractNumId w:val="34"/>
  </w:num>
  <w:num w:numId="47">
    <w:abstractNumId w:val="13"/>
  </w:num>
  <w:num w:numId="48">
    <w:abstractNumId w:val="4"/>
  </w:num>
  <w:num w:numId="49">
    <w:abstractNumId w:val="64"/>
  </w:num>
  <w:num w:numId="50">
    <w:abstractNumId w:val="29"/>
  </w:num>
  <w:num w:numId="51">
    <w:abstractNumId w:val="147"/>
  </w:num>
  <w:num w:numId="52">
    <w:abstractNumId w:val="9"/>
  </w:num>
  <w:num w:numId="53">
    <w:abstractNumId w:val="129"/>
  </w:num>
  <w:num w:numId="54">
    <w:abstractNumId w:val="141"/>
  </w:num>
  <w:num w:numId="55">
    <w:abstractNumId w:val="20"/>
  </w:num>
  <w:num w:numId="56">
    <w:abstractNumId w:val="114"/>
  </w:num>
  <w:num w:numId="57">
    <w:abstractNumId w:val="19"/>
  </w:num>
  <w:num w:numId="58">
    <w:abstractNumId w:val="132"/>
  </w:num>
  <w:num w:numId="59">
    <w:abstractNumId w:val="154"/>
  </w:num>
  <w:num w:numId="60">
    <w:abstractNumId w:val="22"/>
  </w:num>
  <w:num w:numId="61">
    <w:abstractNumId w:val="136"/>
  </w:num>
  <w:num w:numId="62">
    <w:abstractNumId w:val="101"/>
  </w:num>
  <w:num w:numId="63">
    <w:abstractNumId w:val="96"/>
  </w:num>
  <w:num w:numId="64">
    <w:abstractNumId w:val="33"/>
  </w:num>
  <w:num w:numId="65">
    <w:abstractNumId w:val="32"/>
  </w:num>
  <w:num w:numId="66">
    <w:abstractNumId w:val="90"/>
  </w:num>
  <w:num w:numId="67">
    <w:abstractNumId w:val="98"/>
  </w:num>
  <w:num w:numId="68">
    <w:abstractNumId w:val="86"/>
  </w:num>
  <w:num w:numId="69">
    <w:abstractNumId w:val="106"/>
  </w:num>
  <w:num w:numId="70">
    <w:abstractNumId w:val="134"/>
  </w:num>
  <w:num w:numId="71">
    <w:abstractNumId w:val="80"/>
  </w:num>
  <w:num w:numId="72">
    <w:abstractNumId w:val="62"/>
  </w:num>
  <w:num w:numId="73">
    <w:abstractNumId w:val="142"/>
  </w:num>
  <w:num w:numId="74">
    <w:abstractNumId w:val="125"/>
  </w:num>
  <w:num w:numId="75">
    <w:abstractNumId w:val="108"/>
  </w:num>
  <w:num w:numId="76">
    <w:abstractNumId w:val="130"/>
  </w:num>
  <w:num w:numId="77">
    <w:abstractNumId w:val="17"/>
  </w:num>
  <w:num w:numId="78">
    <w:abstractNumId w:val="73"/>
  </w:num>
  <w:num w:numId="79">
    <w:abstractNumId w:val="25"/>
  </w:num>
  <w:num w:numId="80">
    <w:abstractNumId w:val="14"/>
  </w:num>
  <w:num w:numId="81">
    <w:abstractNumId w:val="30"/>
  </w:num>
  <w:num w:numId="82">
    <w:abstractNumId w:val="16"/>
  </w:num>
  <w:num w:numId="83">
    <w:abstractNumId w:val="54"/>
  </w:num>
  <w:num w:numId="84">
    <w:abstractNumId w:val="113"/>
  </w:num>
  <w:num w:numId="85">
    <w:abstractNumId w:val="89"/>
  </w:num>
  <w:num w:numId="86">
    <w:abstractNumId w:val="109"/>
  </w:num>
  <w:num w:numId="87">
    <w:abstractNumId w:val="74"/>
  </w:num>
  <w:num w:numId="88">
    <w:abstractNumId w:val="51"/>
  </w:num>
  <w:num w:numId="89">
    <w:abstractNumId w:val="126"/>
  </w:num>
  <w:num w:numId="90">
    <w:abstractNumId w:val="99"/>
  </w:num>
  <w:num w:numId="91">
    <w:abstractNumId w:val="88"/>
  </w:num>
  <w:num w:numId="92">
    <w:abstractNumId w:val="39"/>
  </w:num>
  <w:num w:numId="93">
    <w:abstractNumId w:val="111"/>
  </w:num>
  <w:num w:numId="94">
    <w:abstractNumId w:val="117"/>
  </w:num>
  <w:num w:numId="95">
    <w:abstractNumId w:val="128"/>
  </w:num>
  <w:num w:numId="96">
    <w:abstractNumId w:val="155"/>
  </w:num>
  <w:num w:numId="97">
    <w:abstractNumId w:val="47"/>
  </w:num>
  <w:num w:numId="98">
    <w:abstractNumId w:val="65"/>
  </w:num>
  <w:num w:numId="99">
    <w:abstractNumId w:val="158"/>
  </w:num>
  <w:num w:numId="100">
    <w:abstractNumId w:val="5"/>
  </w:num>
  <w:num w:numId="101">
    <w:abstractNumId w:val="7"/>
  </w:num>
  <w:num w:numId="102">
    <w:abstractNumId w:val="157"/>
  </w:num>
  <w:num w:numId="103">
    <w:abstractNumId w:val="82"/>
  </w:num>
  <w:num w:numId="104">
    <w:abstractNumId w:val="38"/>
  </w:num>
  <w:num w:numId="105">
    <w:abstractNumId w:val="43"/>
  </w:num>
  <w:num w:numId="106">
    <w:abstractNumId w:val="41"/>
  </w:num>
  <w:num w:numId="107">
    <w:abstractNumId w:val="127"/>
  </w:num>
  <w:num w:numId="108">
    <w:abstractNumId w:val="42"/>
  </w:num>
  <w:num w:numId="109">
    <w:abstractNumId w:val="153"/>
  </w:num>
  <w:num w:numId="110">
    <w:abstractNumId w:val="97"/>
  </w:num>
  <w:num w:numId="111">
    <w:abstractNumId w:val="24"/>
  </w:num>
  <w:num w:numId="112">
    <w:abstractNumId w:val="150"/>
  </w:num>
  <w:num w:numId="113">
    <w:abstractNumId w:val="94"/>
  </w:num>
  <w:num w:numId="114">
    <w:abstractNumId w:val="144"/>
  </w:num>
  <w:num w:numId="115">
    <w:abstractNumId w:val="135"/>
  </w:num>
  <w:num w:numId="116">
    <w:abstractNumId w:val="122"/>
  </w:num>
  <w:num w:numId="117">
    <w:abstractNumId w:val="85"/>
  </w:num>
  <w:num w:numId="118">
    <w:abstractNumId w:val="40"/>
  </w:num>
  <w:num w:numId="119">
    <w:abstractNumId w:val="110"/>
  </w:num>
  <w:num w:numId="120">
    <w:abstractNumId w:val="140"/>
  </w:num>
  <w:num w:numId="121">
    <w:abstractNumId w:val="21"/>
  </w:num>
  <w:num w:numId="122">
    <w:abstractNumId w:val="79"/>
  </w:num>
  <w:num w:numId="123">
    <w:abstractNumId w:val="83"/>
  </w:num>
  <w:num w:numId="124">
    <w:abstractNumId w:val="15"/>
  </w:num>
  <w:num w:numId="125">
    <w:abstractNumId w:val="59"/>
  </w:num>
  <w:num w:numId="126">
    <w:abstractNumId w:val="151"/>
  </w:num>
  <w:num w:numId="127">
    <w:abstractNumId w:val="105"/>
  </w:num>
  <w:num w:numId="128">
    <w:abstractNumId w:val="81"/>
  </w:num>
  <w:num w:numId="129">
    <w:abstractNumId w:val="35"/>
  </w:num>
  <w:num w:numId="130">
    <w:abstractNumId w:val="95"/>
  </w:num>
  <w:num w:numId="131">
    <w:abstractNumId w:val="131"/>
  </w:num>
  <w:num w:numId="132">
    <w:abstractNumId w:val="71"/>
  </w:num>
  <w:num w:numId="133">
    <w:abstractNumId w:val="55"/>
  </w:num>
  <w:num w:numId="134">
    <w:abstractNumId w:val="123"/>
  </w:num>
  <w:num w:numId="135">
    <w:abstractNumId w:val="149"/>
  </w:num>
  <w:num w:numId="136">
    <w:abstractNumId w:val="103"/>
  </w:num>
  <w:num w:numId="137">
    <w:abstractNumId w:val="61"/>
  </w:num>
  <w:num w:numId="138">
    <w:abstractNumId w:val="52"/>
  </w:num>
  <w:num w:numId="139">
    <w:abstractNumId w:val="18"/>
  </w:num>
  <w:num w:numId="140">
    <w:abstractNumId w:val="124"/>
  </w:num>
  <w:num w:numId="141">
    <w:abstractNumId w:val="78"/>
  </w:num>
  <w:num w:numId="142">
    <w:abstractNumId w:val="60"/>
  </w:num>
  <w:num w:numId="143">
    <w:abstractNumId w:val="10"/>
  </w:num>
  <w:num w:numId="144">
    <w:abstractNumId w:val="145"/>
  </w:num>
  <w:num w:numId="145">
    <w:abstractNumId w:val="76"/>
  </w:num>
  <w:num w:numId="146">
    <w:abstractNumId w:val="44"/>
  </w:num>
  <w:num w:numId="147">
    <w:abstractNumId w:val="115"/>
  </w:num>
  <w:num w:numId="148">
    <w:abstractNumId w:val="148"/>
  </w:num>
  <w:num w:numId="149">
    <w:abstractNumId w:val="63"/>
  </w:num>
  <w:num w:numId="150">
    <w:abstractNumId w:val="137"/>
  </w:num>
  <w:num w:numId="151">
    <w:abstractNumId w:val="36"/>
  </w:num>
  <w:num w:numId="152">
    <w:abstractNumId w:val="36"/>
    <w:lvlOverride w:ilvl="0">
      <w:lvl w:ilvl="0" w:tentative="1">
        <w:start w:val="1"/>
        <w:numFmt w:val="decimal"/>
        <w:lvlText w:val="%1"/>
        <w:lvlJc w:val="left"/>
        <w:pPr>
          <w:ind w:left="425" w:hanging="425"/>
        </w:pPr>
        <w:rPr>
          <w:rFonts w:hint="default"/>
        </w:rPr>
      </w:lvl>
    </w:lvlOverride>
    <w:lvlOverride w:ilvl="1">
      <w:lvl w:ilvl="1" w:tentative="1">
        <w:start w:val="1"/>
        <w:numFmt w:val="decimal"/>
        <w:lvlText w:val="%1.%2"/>
        <w:lvlJc w:val="left"/>
        <w:pPr>
          <w:ind w:left="567" w:hanging="567"/>
        </w:pPr>
        <w:rPr>
          <w:rFonts w:hint="eastAsia"/>
        </w:rPr>
      </w:lvl>
    </w:lvlOverride>
    <w:lvlOverride w:ilvl="2">
      <w:lvl w:ilvl="2" w:tentative="1">
        <w:start w:val="1"/>
        <w:numFmt w:val="decimal"/>
        <w:lvlText w:val="%1.%2.%3"/>
        <w:lvlJc w:val="left"/>
        <w:pPr>
          <w:ind w:left="567" w:hanging="567"/>
        </w:pPr>
        <w:rPr>
          <w:rFonts w:hint="default"/>
        </w:rPr>
      </w:lvl>
    </w:lvlOverride>
    <w:lvlOverride w:ilvl="3">
      <w:lvl w:ilvl="3" w:tentative="1">
        <w:start w:val="1"/>
        <w:numFmt w:val="decimal"/>
        <w:lvlText w:val="%1.%2.%3.%4"/>
        <w:lvlJc w:val="left"/>
        <w:pPr>
          <w:ind w:left="1984" w:hanging="708"/>
        </w:pPr>
        <w:rPr>
          <w:rFonts w:hint="default"/>
        </w:rPr>
      </w:lvl>
    </w:lvlOverride>
    <w:lvlOverride w:ilvl="4">
      <w:lvl w:ilvl="4" w:tentative="1">
        <w:start w:val="1"/>
        <w:numFmt w:val="decimal"/>
        <w:lvlText w:val="%1.%2.%3.%4.%5"/>
        <w:lvlJc w:val="left"/>
        <w:pPr>
          <w:ind w:left="2551" w:hanging="850"/>
        </w:pPr>
        <w:rPr>
          <w:rFonts w:hint="default"/>
        </w:rPr>
      </w:lvl>
    </w:lvlOverride>
    <w:lvlOverride w:ilvl="5">
      <w:lvl w:ilvl="5" w:tentative="1">
        <w:start w:val="1"/>
        <w:numFmt w:val="decimal"/>
        <w:lvlText w:val="%1.%2.%3.%4.%5.%6"/>
        <w:lvlJc w:val="left"/>
        <w:pPr>
          <w:ind w:left="3260" w:hanging="1134"/>
        </w:pPr>
        <w:rPr>
          <w:rFonts w:hint="default"/>
        </w:rPr>
      </w:lvl>
    </w:lvlOverride>
    <w:lvlOverride w:ilvl="6">
      <w:lvl w:ilvl="6" w:tentative="1">
        <w:start w:val="1"/>
        <w:numFmt w:val="decimal"/>
        <w:lvlText w:val="%1.%2.%3.%4.%5.%6.%7"/>
        <w:lvlJc w:val="left"/>
        <w:pPr>
          <w:ind w:left="3827" w:hanging="1276"/>
        </w:pPr>
        <w:rPr>
          <w:rFonts w:hint="default"/>
        </w:rPr>
      </w:lvl>
    </w:lvlOverride>
    <w:lvlOverride w:ilvl="7">
      <w:lvl w:ilvl="7" w:tentative="1">
        <w:start w:val="1"/>
        <w:numFmt w:val="decimal"/>
        <w:lvlText w:val="%1.%2.%3.%4.%5.%6.%7.%8"/>
        <w:lvlJc w:val="left"/>
        <w:pPr>
          <w:ind w:left="4394" w:hanging="1418"/>
        </w:pPr>
        <w:rPr>
          <w:rFonts w:hint="default"/>
        </w:rPr>
      </w:lvl>
    </w:lvlOverride>
    <w:lvlOverride w:ilvl="8">
      <w:lvl w:ilvl="8" w:tentative="1">
        <w:start w:val="1"/>
        <w:numFmt w:val="decimal"/>
        <w:lvlText w:val="%1.%2.%3.%4.%5.%6.%7.%8.%9"/>
        <w:lvlJc w:val="left"/>
        <w:pPr>
          <w:ind w:left="5102" w:hanging="1700"/>
        </w:pPr>
        <w:rPr>
          <w:rFonts w:hint="default"/>
        </w:rPr>
      </w:lvl>
    </w:lvlOverride>
  </w:num>
  <w:num w:numId="153">
    <w:abstractNumId w:val="156"/>
  </w:num>
  <w:num w:numId="154">
    <w:abstractNumId w:val="26"/>
  </w:num>
  <w:num w:numId="155">
    <w:abstractNumId w:val="116"/>
  </w:num>
  <w:num w:numId="156">
    <w:abstractNumId w:val="100"/>
  </w:num>
  <w:num w:numId="157">
    <w:abstractNumId w:val="8"/>
  </w:num>
  <w:num w:numId="158">
    <w:abstractNumId w:val="138"/>
  </w:num>
  <w:num w:numId="159">
    <w:abstractNumId w:val="48"/>
  </w:num>
  <w:num w:numId="160">
    <w:abstractNumId w:val="6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bordersDoNotSurroundHeader w:val="1"/>
  <w:bordersDoNotSurroundFooter w:val="1"/>
  <w:hideSpellingErrors/>
  <w:documentProtection w:enforcement="0"/>
  <w:defaultTabStop w:val="420"/>
  <w:noPunctuationKerning w:val="1"/>
  <w:characterSpacingControl w:val="doNotCompress"/>
  <w:footnotePr>
    <w:footnote w:id="0"/>
    <w:footnote w:id="1"/>
  </w:footnotePr>
  <w:endnotePr>
    <w:endnote w:id="0"/>
    <w:endnote w:id="1"/>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OWFiNWE4NTgzNjE1ZjEwZTA3NzY5NTljMmUxMmM3OGEifQ=="/>
  </w:docVars>
  <w:rsids>
    <w:rsidRoot w:val="00172A27"/>
    <w:rsid w:val="00015840"/>
    <w:rsid w:val="00016A3D"/>
    <w:rsid w:val="000236F7"/>
    <w:rsid w:val="00026124"/>
    <w:rsid w:val="0003732A"/>
    <w:rsid w:val="00053C25"/>
    <w:rsid w:val="000605E6"/>
    <w:rsid w:val="000772C7"/>
    <w:rsid w:val="00080D49"/>
    <w:rsid w:val="0008155F"/>
    <w:rsid w:val="000A122F"/>
    <w:rsid w:val="000A2A59"/>
    <w:rsid w:val="000B75F4"/>
    <w:rsid w:val="000C7896"/>
    <w:rsid w:val="000D387D"/>
    <w:rsid w:val="000D69BE"/>
    <w:rsid w:val="000E632D"/>
    <w:rsid w:val="00107D30"/>
    <w:rsid w:val="001125B9"/>
    <w:rsid w:val="0011726F"/>
    <w:rsid w:val="00127149"/>
    <w:rsid w:val="001500B2"/>
    <w:rsid w:val="00172A27"/>
    <w:rsid w:val="001953F9"/>
    <w:rsid w:val="001C49E3"/>
    <w:rsid w:val="001D7A68"/>
    <w:rsid w:val="001E05CF"/>
    <w:rsid w:val="001F091C"/>
    <w:rsid w:val="001F4DEB"/>
    <w:rsid w:val="00202AEC"/>
    <w:rsid w:val="002141E7"/>
    <w:rsid w:val="00214F28"/>
    <w:rsid w:val="00222165"/>
    <w:rsid w:val="00234499"/>
    <w:rsid w:val="002536A5"/>
    <w:rsid w:val="00281B2C"/>
    <w:rsid w:val="002825B9"/>
    <w:rsid w:val="002977C9"/>
    <w:rsid w:val="00297D17"/>
    <w:rsid w:val="002B54B8"/>
    <w:rsid w:val="002B61BE"/>
    <w:rsid w:val="002C4056"/>
    <w:rsid w:val="002E4413"/>
    <w:rsid w:val="002E5501"/>
    <w:rsid w:val="002E5848"/>
    <w:rsid w:val="002E5E64"/>
    <w:rsid w:val="002E6C7F"/>
    <w:rsid w:val="002F2846"/>
    <w:rsid w:val="00303080"/>
    <w:rsid w:val="00311397"/>
    <w:rsid w:val="003166E0"/>
    <w:rsid w:val="0032608F"/>
    <w:rsid w:val="003519F7"/>
    <w:rsid w:val="0035261C"/>
    <w:rsid w:val="00392969"/>
    <w:rsid w:val="003A78AA"/>
    <w:rsid w:val="003C4F92"/>
    <w:rsid w:val="003D72E3"/>
    <w:rsid w:val="00410090"/>
    <w:rsid w:val="004145C5"/>
    <w:rsid w:val="00417363"/>
    <w:rsid w:val="00446D72"/>
    <w:rsid w:val="0045128B"/>
    <w:rsid w:val="00464B5F"/>
    <w:rsid w:val="00485B25"/>
    <w:rsid w:val="004930C7"/>
    <w:rsid w:val="00496469"/>
    <w:rsid w:val="004968BE"/>
    <w:rsid w:val="004B5885"/>
    <w:rsid w:val="004C32F6"/>
    <w:rsid w:val="004E0D00"/>
    <w:rsid w:val="004E3E86"/>
    <w:rsid w:val="004F7EA8"/>
    <w:rsid w:val="005001A3"/>
    <w:rsid w:val="00503B91"/>
    <w:rsid w:val="00520E2E"/>
    <w:rsid w:val="00534C63"/>
    <w:rsid w:val="00535513"/>
    <w:rsid w:val="00542230"/>
    <w:rsid w:val="00571740"/>
    <w:rsid w:val="00573126"/>
    <w:rsid w:val="005908EB"/>
    <w:rsid w:val="005A027E"/>
    <w:rsid w:val="005E08B7"/>
    <w:rsid w:val="005E3B5F"/>
    <w:rsid w:val="005E5FA4"/>
    <w:rsid w:val="005F1FD7"/>
    <w:rsid w:val="005F3CEF"/>
    <w:rsid w:val="00601A1A"/>
    <w:rsid w:val="00625C3A"/>
    <w:rsid w:val="006766F0"/>
    <w:rsid w:val="006815A8"/>
    <w:rsid w:val="00682646"/>
    <w:rsid w:val="006839AF"/>
    <w:rsid w:val="00697212"/>
    <w:rsid w:val="006A384A"/>
    <w:rsid w:val="006A7379"/>
    <w:rsid w:val="006B3143"/>
    <w:rsid w:val="006C0189"/>
    <w:rsid w:val="006C7658"/>
    <w:rsid w:val="006D3014"/>
    <w:rsid w:val="006E2D5F"/>
    <w:rsid w:val="006F0617"/>
    <w:rsid w:val="00730881"/>
    <w:rsid w:val="00764905"/>
    <w:rsid w:val="00770CE0"/>
    <w:rsid w:val="0077390F"/>
    <w:rsid w:val="0077614F"/>
    <w:rsid w:val="007773F9"/>
    <w:rsid w:val="00777797"/>
    <w:rsid w:val="007A4A03"/>
    <w:rsid w:val="007A503F"/>
    <w:rsid w:val="007B4B25"/>
    <w:rsid w:val="007C52D7"/>
    <w:rsid w:val="007D22D4"/>
    <w:rsid w:val="007D4853"/>
    <w:rsid w:val="00802474"/>
    <w:rsid w:val="008025BF"/>
    <w:rsid w:val="0080295E"/>
    <w:rsid w:val="00805740"/>
    <w:rsid w:val="00820192"/>
    <w:rsid w:val="00824F90"/>
    <w:rsid w:val="00837F98"/>
    <w:rsid w:val="00842450"/>
    <w:rsid w:val="00842DE9"/>
    <w:rsid w:val="00856755"/>
    <w:rsid w:val="00871F57"/>
    <w:rsid w:val="00877077"/>
    <w:rsid w:val="008805D9"/>
    <w:rsid w:val="00881B3E"/>
    <w:rsid w:val="00887925"/>
    <w:rsid w:val="00892344"/>
    <w:rsid w:val="00897083"/>
    <w:rsid w:val="00897949"/>
    <w:rsid w:val="008A2CE1"/>
    <w:rsid w:val="008B5B49"/>
    <w:rsid w:val="008C3BE6"/>
    <w:rsid w:val="008E0303"/>
    <w:rsid w:val="008F7E02"/>
    <w:rsid w:val="00910551"/>
    <w:rsid w:val="00914BB8"/>
    <w:rsid w:val="00922C12"/>
    <w:rsid w:val="00925438"/>
    <w:rsid w:val="00944D5E"/>
    <w:rsid w:val="00950F49"/>
    <w:rsid w:val="00971542"/>
    <w:rsid w:val="009754E2"/>
    <w:rsid w:val="00996264"/>
    <w:rsid w:val="009B30B2"/>
    <w:rsid w:val="009B777F"/>
    <w:rsid w:val="009E1E48"/>
    <w:rsid w:val="009F5BB7"/>
    <w:rsid w:val="00A55F8B"/>
    <w:rsid w:val="00A6481E"/>
    <w:rsid w:val="00A72CE5"/>
    <w:rsid w:val="00AA6583"/>
    <w:rsid w:val="00AA79EE"/>
    <w:rsid w:val="00AB2604"/>
    <w:rsid w:val="00AB3CC8"/>
    <w:rsid w:val="00AE53EC"/>
    <w:rsid w:val="00AF63E9"/>
    <w:rsid w:val="00B00570"/>
    <w:rsid w:val="00B1452A"/>
    <w:rsid w:val="00B43F02"/>
    <w:rsid w:val="00B54781"/>
    <w:rsid w:val="00B61B0B"/>
    <w:rsid w:val="00B714AF"/>
    <w:rsid w:val="00B7413B"/>
    <w:rsid w:val="00B80AA5"/>
    <w:rsid w:val="00B90076"/>
    <w:rsid w:val="00B91373"/>
    <w:rsid w:val="00BA3E1F"/>
    <w:rsid w:val="00BB5088"/>
    <w:rsid w:val="00BC1EC3"/>
    <w:rsid w:val="00BE6229"/>
    <w:rsid w:val="00C21FF6"/>
    <w:rsid w:val="00C327DF"/>
    <w:rsid w:val="00C33AB4"/>
    <w:rsid w:val="00C41696"/>
    <w:rsid w:val="00C53EAF"/>
    <w:rsid w:val="00C55164"/>
    <w:rsid w:val="00C87121"/>
    <w:rsid w:val="00C875D3"/>
    <w:rsid w:val="00CB0674"/>
    <w:rsid w:val="00CC43CB"/>
    <w:rsid w:val="00CC46B1"/>
    <w:rsid w:val="00CE65C4"/>
    <w:rsid w:val="00CF400F"/>
    <w:rsid w:val="00D04305"/>
    <w:rsid w:val="00D12D6B"/>
    <w:rsid w:val="00D3275B"/>
    <w:rsid w:val="00D34B1D"/>
    <w:rsid w:val="00D6751D"/>
    <w:rsid w:val="00D7258E"/>
    <w:rsid w:val="00DB2886"/>
    <w:rsid w:val="00DD2A6A"/>
    <w:rsid w:val="00DF6F63"/>
    <w:rsid w:val="00E030C2"/>
    <w:rsid w:val="00E07812"/>
    <w:rsid w:val="00E2130F"/>
    <w:rsid w:val="00E250D6"/>
    <w:rsid w:val="00E2604D"/>
    <w:rsid w:val="00E377A9"/>
    <w:rsid w:val="00E45A0E"/>
    <w:rsid w:val="00E8442A"/>
    <w:rsid w:val="00ED3FCF"/>
    <w:rsid w:val="00ED6088"/>
    <w:rsid w:val="00ED6201"/>
    <w:rsid w:val="00EF7E93"/>
    <w:rsid w:val="00F03C7B"/>
    <w:rsid w:val="00F21048"/>
    <w:rsid w:val="00F368EC"/>
    <w:rsid w:val="00F466FA"/>
    <w:rsid w:val="00F52514"/>
    <w:rsid w:val="00F52F25"/>
    <w:rsid w:val="00F559C6"/>
    <w:rsid w:val="00F61E45"/>
    <w:rsid w:val="00F62904"/>
    <w:rsid w:val="00F729C7"/>
    <w:rsid w:val="00F733B6"/>
    <w:rsid w:val="00F83742"/>
    <w:rsid w:val="00F85928"/>
    <w:rsid w:val="00FB32B8"/>
    <w:rsid w:val="00FB5897"/>
    <w:rsid w:val="014573C4"/>
    <w:rsid w:val="014959AD"/>
    <w:rsid w:val="017F2355"/>
    <w:rsid w:val="017F501D"/>
    <w:rsid w:val="019C7455"/>
    <w:rsid w:val="02206C1A"/>
    <w:rsid w:val="027A7A53"/>
    <w:rsid w:val="02D800D7"/>
    <w:rsid w:val="031936F0"/>
    <w:rsid w:val="03462997"/>
    <w:rsid w:val="03AD0EB0"/>
    <w:rsid w:val="03B91135"/>
    <w:rsid w:val="03CE26B6"/>
    <w:rsid w:val="03E56DE9"/>
    <w:rsid w:val="03E85E3F"/>
    <w:rsid w:val="04432FCB"/>
    <w:rsid w:val="045F1CD5"/>
    <w:rsid w:val="047E0201"/>
    <w:rsid w:val="05335028"/>
    <w:rsid w:val="054261E4"/>
    <w:rsid w:val="0544308C"/>
    <w:rsid w:val="05676454"/>
    <w:rsid w:val="05EF315A"/>
    <w:rsid w:val="05F736D2"/>
    <w:rsid w:val="05FA68E6"/>
    <w:rsid w:val="067803E8"/>
    <w:rsid w:val="068874A4"/>
    <w:rsid w:val="069016E0"/>
    <w:rsid w:val="06CF509C"/>
    <w:rsid w:val="06D83848"/>
    <w:rsid w:val="07457A5D"/>
    <w:rsid w:val="07686C94"/>
    <w:rsid w:val="07B95D85"/>
    <w:rsid w:val="07C4764C"/>
    <w:rsid w:val="07CC7C80"/>
    <w:rsid w:val="07EE49CF"/>
    <w:rsid w:val="080F5686"/>
    <w:rsid w:val="084F3926"/>
    <w:rsid w:val="085D5218"/>
    <w:rsid w:val="0895621B"/>
    <w:rsid w:val="08A20C05"/>
    <w:rsid w:val="08DE4943"/>
    <w:rsid w:val="09723853"/>
    <w:rsid w:val="09744E36"/>
    <w:rsid w:val="097923AF"/>
    <w:rsid w:val="098529BE"/>
    <w:rsid w:val="09AA3DEC"/>
    <w:rsid w:val="0A4329DF"/>
    <w:rsid w:val="0ABA492D"/>
    <w:rsid w:val="0AC66172"/>
    <w:rsid w:val="0B202A50"/>
    <w:rsid w:val="0B2A059E"/>
    <w:rsid w:val="0B926108"/>
    <w:rsid w:val="0BC44681"/>
    <w:rsid w:val="0BCC6F6B"/>
    <w:rsid w:val="0BCD2851"/>
    <w:rsid w:val="0C066E29"/>
    <w:rsid w:val="0C251ED0"/>
    <w:rsid w:val="0C455EDC"/>
    <w:rsid w:val="0C4771F2"/>
    <w:rsid w:val="0CD94090"/>
    <w:rsid w:val="0D117F47"/>
    <w:rsid w:val="0D6945E7"/>
    <w:rsid w:val="0D7A3E92"/>
    <w:rsid w:val="0DE31811"/>
    <w:rsid w:val="0E7B1A38"/>
    <w:rsid w:val="0E96150D"/>
    <w:rsid w:val="0EC665CF"/>
    <w:rsid w:val="0EFB0C7F"/>
    <w:rsid w:val="0F946CCE"/>
    <w:rsid w:val="0FC01A9C"/>
    <w:rsid w:val="0FC70C20"/>
    <w:rsid w:val="1040443F"/>
    <w:rsid w:val="10441526"/>
    <w:rsid w:val="10715B2D"/>
    <w:rsid w:val="10A11E3F"/>
    <w:rsid w:val="113A1855"/>
    <w:rsid w:val="11655963"/>
    <w:rsid w:val="11B158F4"/>
    <w:rsid w:val="12096723"/>
    <w:rsid w:val="120B0389"/>
    <w:rsid w:val="123F5D15"/>
    <w:rsid w:val="12860A88"/>
    <w:rsid w:val="12B429CE"/>
    <w:rsid w:val="12BC0DCB"/>
    <w:rsid w:val="12C836FA"/>
    <w:rsid w:val="130F46EB"/>
    <w:rsid w:val="131E40C5"/>
    <w:rsid w:val="137934C8"/>
    <w:rsid w:val="13DA15A5"/>
    <w:rsid w:val="13F90992"/>
    <w:rsid w:val="14203EB6"/>
    <w:rsid w:val="14423D13"/>
    <w:rsid w:val="14814BFF"/>
    <w:rsid w:val="14D003AA"/>
    <w:rsid w:val="14F942EA"/>
    <w:rsid w:val="15020CA2"/>
    <w:rsid w:val="151D4E0E"/>
    <w:rsid w:val="154F0D99"/>
    <w:rsid w:val="15567ECE"/>
    <w:rsid w:val="15854378"/>
    <w:rsid w:val="16753782"/>
    <w:rsid w:val="16CC56F2"/>
    <w:rsid w:val="170B3748"/>
    <w:rsid w:val="170E6CE0"/>
    <w:rsid w:val="17294ABF"/>
    <w:rsid w:val="17435C83"/>
    <w:rsid w:val="17C8731D"/>
    <w:rsid w:val="17D56699"/>
    <w:rsid w:val="1804388A"/>
    <w:rsid w:val="18137F71"/>
    <w:rsid w:val="18A24775"/>
    <w:rsid w:val="18D40547"/>
    <w:rsid w:val="18EF3A72"/>
    <w:rsid w:val="18FA74CF"/>
    <w:rsid w:val="193C261C"/>
    <w:rsid w:val="19731E99"/>
    <w:rsid w:val="19853123"/>
    <w:rsid w:val="19C042AA"/>
    <w:rsid w:val="19D270D4"/>
    <w:rsid w:val="1A50725A"/>
    <w:rsid w:val="1A5573BE"/>
    <w:rsid w:val="1A5C561C"/>
    <w:rsid w:val="1A802A04"/>
    <w:rsid w:val="1A9442B3"/>
    <w:rsid w:val="1A9B7A0F"/>
    <w:rsid w:val="1B0A2EF6"/>
    <w:rsid w:val="1B3659B9"/>
    <w:rsid w:val="1B7660AB"/>
    <w:rsid w:val="1B811810"/>
    <w:rsid w:val="1C4210C3"/>
    <w:rsid w:val="1C716A13"/>
    <w:rsid w:val="1C821A79"/>
    <w:rsid w:val="1D0E2329"/>
    <w:rsid w:val="1D1E0C89"/>
    <w:rsid w:val="1D9D6D8D"/>
    <w:rsid w:val="1DA47306"/>
    <w:rsid w:val="1DA84CB7"/>
    <w:rsid w:val="1E457177"/>
    <w:rsid w:val="1E710F7E"/>
    <w:rsid w:val="1EE07A9F"/>
    <w:rsid w:val="1F59592B"/>
    <w:rsid w:val="1FA33539"/>
    <w:rsid w:val="1FEB4EB3"/>
    <w:rsid w:val="1FFF3138"/>
    <w:rsid w:val="201A0E75"/>
    <w:rsid w:val="20783067"/>
    <w:rsid w:val="20F87393"/>
    <w:rsid w:val="211F4609"/>
    <w:rsid w:val="21733173"/>
    <w:rsid w:val="220731D3"/>
    <w:rsid w:val="22206900"/>
    <w:rsid w:val="22763650"/>
    <w:rsid w:val="22E600E3"/>
    <w:rsid w:val="22FC5A01"/>
    <w:rsid w:val="231E7287"/>
    <w:rsid w:val="2388533A"/>
    <w:rsid w:val="23952182"/>
    <w:rsid w:val="23FA09DB"/>
    <w:rsid w:val="243E7E53"/>
    <w:rsid w:val="244247A1"/>
    <w:rsid w:val="245D6119"/>
    <w:rsid w:val="247A7241"/>
    <w:rsid w:val="24957343"/>
    <w:rsid w:val="254F63B1"/>
    <w:rsid w:val="25822717"/>
    <w:rsid w:val="25CC7B4A"/>
    <w:rsid w:val="26083315"/>
    <w:rsid w:val="261E0CC0"/>
    <w:rsid w:val="26636E9E"/>
    <w:rsid w:val="26873ABC"/>
    <w:rsid w:val="26F91FBF"/>
    <w:rsid w:val="271435F5"/>
    <w:rsid w:val="275E4F82"/>
    <w:rsid w:val="27B6797E"/>
    <w:rsid w:val="27C6290A"/>
    <w:rsid w:val="284C4D76"/>
    <w:rsid w:val="287458E7"/>
    <w:rsid w:val="28790EB1"/>
    <w:rsid w:val="28983AE6"/>
    <w:rsid w:val="28C36E49"/>
    <w:rsid w:val="292069F0"/>
    <w:rsid w:val="2958206E"/>
    <w:rsid w:val="29D10155"/>
    <w:rsid w:val="2A0819FD"/>
    <w:rsid w:val="2A5A4AC8"/>
    <w:rsid w:val="2A62780D"/>
    <w:rsid w:val="2A641F7C"/>
    <w:rsid w:val="2A6A05CB"/>
    <w:rsid w:val="2A8850B8"/>
    <w:rsid w:val="2A9A1E2C"/>
    <w:rsid w:val="2AFB195C"/>
    <w:rsid w:val="2AFB76E7"/>
    <w:rsid w:val="2B3855A3"/>
    <w:rsid w:val="2B5267B1"/>
    <w:rsid w:val="2B621FE9"/>
    <w:rsid w:val="2B68069E"/>
    <w:rsid w:val="2BC50E39"/>
    <w:rsid w:val="2C1B0D4A"/>
    <w:rsid w:val="2C5966B3"/>
    <w:rsid w:val="2C831BB3"/>
    <w:rsid w:val="2C9156AC"/>
    <w:rsid w:val="2CCB2855"/>
    <w:rsid w:val="2CDC6035"/>
    <w:rsid w:val="2CED18D2"/>
    <w:rsid w:val="2D2C0205"/>
    <w:rsid w:val="2D8F667B"/>
    <w:rsid w:val="2E3A4D6D"/>
    <w:rsid w:val="2E544D94"/>
    <w:rsid w:val="2EA62492"/>
    <w:rsid w:val="2EB02C00"/>
    <w:rsid w:val="2EE407F2"/>
    <w:rsid w:val="2EFA322D"/>
    <w:rsid w:val="2F1403FE"/>
    <w:rsid w:val="2F3F5E99"/>
    <w:rsid w:val="2F4564F8"/>
    <w:rsid w:val="2F777274"/>
    <w:rsid w:val="2FA7731D"/>
    <w:rsid w:val="2FBC4D98"/>
    <w:rsid w:val="2FDB1893"/>
    <w:rsid w:val="2FED2BEA"/>
    <w:rsid w:val="30342AB3"/>
    <w:rsid w:val="30562318"/>
    <w:rsid w:val="30692D46"/>
    <w:rsid w:val="30A664CF"/>
    <w:rsid w:val="310F1F53"/>
    <w:rsid w:val="31214889"/>
    <w:rsid w:val="31995B4B"/>
    <w:rsid w:val="31D53A98"/>
    <w:rsid w:val="322E7B59"/>
    <w:rsid w:val="3239017C"/>
    <w:rsid w:val="327F10DD"/>
    <w:rsid w:val="32852EC3"/>
    <w:rsid w:val="329A72AC"/>
    <w:rsid w:val="331A7149"/>
    <w:rsid w:val="335947C6"/>
    <w:rsid w:val="33D309DB"/>
    <w:rsid w:val="3452136E"/>
    <w:rsid w:val="34561276"/>
    <w:rsid w:val="34C50FB3"/>
    <w:rsid w:val="34EA7334"/>
    <w:rsid w:val="354E2AAD"/>
    <w:rsid w:val="35547C0D"/>
    <w:rsid w:val="358D43CA"/>
    <w:rsid w:val="359746B3"/>
    <w:rsid w:val="35D96500"/>
    <w:rsid w:val="35F50CBC"/>
    <w:rsid w:val="360836D4"/>
    <w:rsid w:val="36631DA3"/>
    <w:rsid w:val="36B26CFE"/>
    <w:rsid w:val="36BF684F"/>
    <w:rsid w:val="36CB1786"/>
    <w:rsid w:val="36FA3B5E"/>
    <w:rsid w:val="371512E2"/>
    <w:rsid w:val="377D6F64"/>
    <w:rsid w:val="378E451F"/>
    <w:rsid w:val="379D4639"/>
    <w:rsid w:val="37A836AF"/>
    <w:rsid w:val="38287996"/>
    <w:rsid w:val="383C2774"/>
    <w:rsid w:val="384803E4"/>
    <w:rsid w:val="385320B1"/>
    <w:rsid w:val="38B17975"/>
    <w:rsid w:val="38D52891"/>
    <w:rsid w:val="38D570C6"/>
    <w:rsid w:val="38FF2663"/>
    <w:rsid w:val="395564A2"/>
    <w:rsid w:val="39650C33"/>
    <w:rsid w:val="396F0646"/>
    <w:rsid w:val="39C84E9C"/>
    <w:rsid w:val="3A114B92"/>
    <w:rsid w:val="3A356ACB"/>
    <w:rsid w:val="3A766DDE"/>
    <w:rsid w:val="3AD673B2"/>
    <w:rsid w:val="3ADE05BE"/>
    <w:rsid w:val="3AF66D4D"/>
    <w:rsid w:val="3B421825"/>
    <w:rsid w:val="3BAC5CE5"/>
    <w:rsid w:val="3BB62B18"/>
    <w:rsid w:val="3BD175E8"/>
    <w:rsid w:val="3BEE455A"/>
    <w:rsid w:val="3C1C293E"/>
    <w:rsid w:val="3C236F10"/>
    <w:rsid w:val="3CA70D5A"/>
    <w:rsid w:val="3CAF00B1"/>
    <w:rsid w:val="3CB25F9B"/>
    <w:rsid w:val="3D012A71"/>
    <w:rsid w:val="3D2263DC"/>
    <w:rsid w:val="3D630DA8"/>
    <w:rsid w:val="3D760AF6"/>
    <w:rsid w:val="3DAE305D"/>
    <w:rsid w:val="3E767D02"/>
    <w:rsid w:val="3E8B7FB1"/>
    <w:rsid w:val="3F665CDD"/>
    <w:rsid w:val="3F8241D3"/>
    <w:rsid w:val="3FAF131A"/>
    <w:rsid w:val="3FF14834"/>
    <w:rsid w:val="4087566E"/>
    <w:rsid w:val="40D32BD9"/>
    <w:rsid w:val="40FA7452"/>
    <w:rsid w:val="410A00F6"/>
    <w:rsid w:val="41590FEE"/>
    <w:rsid w:val="415F023C"/>
    <w:rsid w:val="41C60CE0"/>
    <w:rsid w:val="41D546EE"/>
    <w:rsid w:val="42021EDE"/>
    <w:rsid w:val="429F2CC7"/>
    <w:rsid w:val="42D63188"/>
    <w:rsid w:val="42E64585"/>
    <w:rsid w:val="43437DBA"/>
    <w:rsid w:val="438727A3"/>
    <w:rsid w:val="43C21750"/>
    <w:rsid w:val="44267172"/>
    <w:rsid w:val="44572D87"/>
    <w:rsid w:val="4485682B"/>
    <w:rsid w:val="44894EF0"/>
    <w:rsid w:val="44B94B34"/>
    <w:rsid w:val="45212E0F"/>
    <w:rsid w:val="4521663B"/>
    <w:rsid w:val="458234D3"/>
    <w:rsid w:val="45D81293"/>
    <w:rsid w:val="45E75BC8"/>
    <w:rsid w:val="46222434"/>
    <w:rsid w:val="46474078"/>
    <w:rsid w:val="469A24B7"/>
    <w:rsid w:val="46BE26A2"/>
    <w:rsid w:val="46C2601A"/>
    <w:rsid w:val="46CE4EDF"/>
    <w:rsid w:val="46D5368E"/>
    <w:rsid w:val="471448D3"/>
    <w:rsid w:val="474D7426"/>
    <w:rsid w:val="47697CB6"/>
    <w:rsid w:val="4793511E"/>
    <w:rsid w:val="48173389"/>
    <w:rsid w:val="48776627"/>
    <w:rsid w:val="48916D75"/>
    <w:rsid w:val="48A335EB"/>
    <w:rsid w:val="48A51A1B"/>
    <w:rsid w:val="48CB2B1B"/>
    <w:rsid w:val="49085380"/>
    <w:rsid w:val="498D3CF7"/>
    <w:rsid w:val="49B53A52"/>
    <w:rsid w:val="49D1709F"/>
    <w:rsid w:val="49E901E8"/>
    <w:rsid w:val="4A2E57CC"/>
    <w:rsid w:val="4A2F38C3"/>
    <w:rsid w:val="4A79457F"/>
    <w:rsid w:val="4A8B1289"/>
    <w:rsid w:val="4ABC561D"/>
    <w:rsid w:val="4AED65D3"/>
    <w:rsid w:val="4AEF7C05"/>
    <w:rsid w:val="4B9E27C0"/>
    <w:rsid w:val="4BB15660"/>
    <w:rsid w:val="4BC554EC"/>
    <w:rsid w:val="4C261319"/>
    <w:rsid w:val="4C8B1729"/>
    <w:rsid w:val="4D2871D0"/>
    <w:rsid w:val="4D3A28FF"/>
    <w:rsid w:val="4D636C92"/>
    <w:rsid w:val="4D7401C0"/>
    <w:rsid w:val="4DCC30EF"/>
    <w:rsid w:val="4E035E4E"/>
    <w:rsid w:val="4E67683A"/>
    <w:rsid w:val="4E75028B"/>
    <w:rsid w:val="4F1E11A9"/>
    <w:rsid w:val="4F4314F4"/>
    <w:rsid w:val="4F64404E"/>
    <w:rsid w:val="4F927BC7"/>
    <w:rsid w:val="4FC95EAF"/>
    <w:rsid w:val="504B17C0"/>
    <w:rsid w:val="50917D2B"/>
    <w:rsid w:val="50A076DE"/>
    <w:rsid w:val="50AF4D79"/>
    <w:rsid w:val="50E415FC"/>
    <w:rsid w:val="50FE2E96"/>
    <w:rsid w:val="512474AD"/>
    <w:rsid w:val="512F4A99"/>
    <w:rsid w:val="513C4EDF"/>
    <w:rsid w:val="513E4DC6"/>
    <w:rsid w:val="51677F4C"/>
    <w:rsid w:val="519540FB"/>
    <w:rsid w:val="51AF6F69"/>
    <w:rsid w:val="5221648B"/>
    <w:rsid w:val="5230054B"/>
    <w:rsid w:val="52667567"/>
    <w:rsid w:val="5276300E"/>
    <w:rsid w:val="527C018A"/>
    <w:rsid w:val="52EB3F6D"/>
    <w:rsid w:val="52FF29E0"/>
    <w:rsid w:val="536749D0"/>
    <w:rsid w:val="53715E3B"/>
    <w:rsid w:val="53A10AF8"/>
    <w:rsid w:val="53B622AC"/>
    <w:rsid w:val="53E54958"/>
    <w:rsid w:val="54056A8C"/>
    <w:rsid w:val="541229E3"/>
    <w:rsid w:val="5467458C"/>
    <w:rsid w:val="547B742C"/>
    <w:rsid w:val="54BA5F0E"/>
    <w:rsid w:val="54F734AA"/>
    <w:rsid w:val="55020141"/>
    <w:rsid w:val="55115833"/>
    <w:rsid w:val="55226640"/>
    <w:rsid w:val="55392265"/>
    <w:rsid w:val="554A1E6E"/>
    <w:rsid w:val="55A236B6"/>
    <w:rsid w:val="55C0085D"/>
    <w:rsid w:val="55C97959"/>
    <w:rsid w:val="55F32A5E"/>
    <w:rsid w:val="55F81C04"/>
    <w:rsid w:val="56877E1C"/>
    <w:rsid w:val="56B04629"/>
    <w:rsid w:val="56B404AE"/>
    <w:rsid w:val="579D38DE"/>
    <w:rsid w:val="57D743DB"/>
    <w:rsid w:val="57DC663F"/>
    <w:rsid w:val="57FE466C"/>
    <w:rsid w:val="58487535"/>
    <w:rsid w:val="586771A9"/>
    <w:rsid w:val="58690AFE"/>
    <w:rsid w:val="58FA70C3"/>
    <w:rsid w:val="593C5212"/>
    <w:rsid w:val="59567EB6"/>
    <w:rsid w:val="59665D3C"/>
    <w:rsid w:val="59BB64D3"/>
    <w:rsid w:val="5A2519E6"/>
    <w:rsid w:val="5A300A63"/>
    <w:rsid w:val="5A927382"/>
    <w:rsid w:val="5AAF016F"/>
    <w:rsid w:val="5AE414EF"/>
    <w:rsid w:val="5B731FD7"/>
    <w:rsid w:val="5BC052E6"/>
    <w:rsid w:val="5C277BB4"/>
    <w:rsid w:val="5C3465D6"/>
    <w:rsid w:val="5CBE7211"/>
    <w:rsid w:val="5D1E2604"/>
    <w:rsid w:val="5D203BA7"/>
    <w:rsid w:val="5D4253E5"/>
    <w:rsid w:val="5D8C5BA8"/>
    <w:rsid w:val="5D983C28"/>
    <w:rsid w:val="5DB55B7C"/>
    <w:rsid w:val="5DE94847"/>
    <w:rsid w:val="5E0C2AD0"/>
    <w:rsid w:val="5E0F5977"/>
    <w:rsid w:val="5E33167A"/>
    <w:rsid w:val="5E353B90"/>
    <w:rsid w:val="5E8C06D2"/>
    <w:rsid w:val="5ECD01EE"/>
    <w:rsid w:val="5ED10B3D"/>
    <w:rsid w:val="5EF307CB"/>
    <w:rsid w:val="5EF447BC"/>
    <w:rsid w:val="5FF47CA4"/>
    <w:rsid w:val="601F035B"/>
    <w:rsid w:val="602F70AA"/>
    <w:rsid w:val="606D1FF8"/>
    <w:rsid w:val="607A463E"/>
    <w:rsid w:val="617F70AA"/>
    <w:rsid w:val="61A86223"/>
    <w:rsid w:val="62057920"/>
    <w:rsid w:val="625E13B5"/>
    <w:rsid w:val="62630A8F"/>
    <w:rsid w:val="62765187"/>
    <w:rsid w:val="62856C59"/>
    <w:rsid w:val="6290549F"/>
    <w:rsid w:val="62D83EA4"/>
    <w:rsid w:val="631054A3"/>
    <w:rsid w:val="631C2EA1"/>
    <w:rsid w:val="6346114F"/>
    <w:rsid w:val="634A1AEC"/>
    <w:rsid w:val="63DC1000"/>
    <w:rsid w:val="63DC4820"/>
    <w:rsid w:val="64397EDA"/>
    <w:rsid w:val="643C77E5"/>
    <w:rsid w:val="646227A9"/>
    <w:rsid w:val="646928FE"/>
    <w:rsid w:val="64696555"/>
    <w:rsid w:val="646B10C6"/>
    <w:rsid w:val="646B741A"/>
    <w:rsid w:val="64A02744"/>
    <w:rsid w:val="64CD5CAB"/>
    <w:rsid w:val="64DF7C80"/>
    <w:rsid w:val="64FF15D7"/>
    <w:rsid w:val="65197815"/>
    <w:rsid w:val="65337ED2"/>
    <w:rsid w:val="6536424B"/>
    <w:rsid w:val="6553631E"/>
    <w:rsid w:val="655B7CFC"/>
    <w:rsid w:val="658F2E29"/>
    <w:rsid w:val="65E75F97"/>
    <w:rsid w:val="660808ED"/>
    <w:rsid w:val="66580F47"/>
    <w:rsid w:val="66983A9E"/>
    <w:rsid w:val="66EF3FDB"/>
    <w:rsid w:val="67463B75"/>
    <w:rsid w:val="6748604C"/>
    <w:rsid w:val="677A266B"/>
    <w:rsid w:val="67D53875"/>
    <w:rsid w:val="682E197D"/>
    <w:rsid w:val="68BB6DCC"/>
    <w:rsid w:val="694064DF"/>
    <w:rsid w:val="69915626"/>
    <w:rsid w:val="69CC2FF8"/>
    <w:rsid w:val="69CF58F8"/>
    <w:rsid w:val="69FC63A5"/>
    <w:rsid w:val="6A204830"/>
    <w:rsid w:val="6A8C7B40"/>
    <w:rsid w:val="6AA765E7"/>
    <w:rsid w:val="6AB522C2"/>
    <w:rsid w:val="6AC721B8"/>
    <w:rsid w:val="6AF227CE"/>
    <w:rsid w:val="6B045BF6"/>
    <w:rsid w:val="6B1F466C"/>
    <w:rsid w:val="6B520103"/>
    <w:rsid w:val="6B8D61FD"/>
    <w:rsid w:val="6BB50DFA"/>
    <w:rsid w:val="6C0D2AC5"/>
    <w:rsid w:val="6C60179E"/>
    <w:rsid w:val="6D432CC5"/>
    <w:rsid w:val="6D451F5E"/>
    <w:rsid w:val="6D523E7C"/>
    <w:rsid w:val="6DAB376F"/>
    <w:rsid w:val="6DD65C11"/>
    <w:rsid w:val="6E252754"/>
    <w:rsid w:val="6E493AF5"/>
    <w:rsid w:val="6E7958DF"/>
    <w:rsid w:val="6E7B1A9C"/>
    <w:rsid w:val="6EE4791B"/>
    <w:rsid w:val="6F605300"/>
    <w:rsid w:val="6F607183"/>
    <w:rsid w:val="6F777126"/>
    <w:rsid w:val="6FAE46CD"/>
    <w:rsid w:val="6FC647C9"/>
    <w:rsid w:val="7000368D"/>
    <w:rsid w:val="70453B50"/>
    <w:rsid w:val="70493D01"/>
    <w:rsid w:val="706B1E24"/>
    <w:rsid w:val="707A543F"/>
    <w:rsid w:val="70B547CC"/>
    <w:rsid w:val="70C11E5F"/>
    <w:rsid w:val="70DD54F1"/>
    <w:rsid w:val="710D7154"/>
    <w:rsid w:val="7182241E"/>
    <w:rsid w:val="71872E76"/>
    <w:rsid w:val="71A238C7"/>
    <w:rsid w:val="71B0375D"/>
    <w:rsid w:val="72205EC9"/>
    <w:rsid w:val="7268395E"/>
    <w:rsid w:val="72983D67"/>
    <w:rsid w:val="72DE2EE5"/>
    <w:rsid w:val="7325302F"/>
    <w:rsid w:val="73347149"/>
    <w:rsid w:val="73792970"/>
    <w:rsid w:val="73857D03"/>
    <w:rsid w:val="739108BE"/>
    <w:rsid w:val="739E3E31"/>
    <w:rsid w:val="73A01AC3"/>
    <w:rsid w:val="73D2720E"/>
    <w:rsid w:val="73DD3EC8"/>
    <w:rsid w:val="74B37683"/>
    <w:rsid w:val="74D750F4"/>
    <w:rsid w:val="751C1EE1"/>
    <w:rsid w:val="75B55336"/>
    <w:rsid w:val="766B7037"/>
    <w:rsid w:val="7676328D"/>
    <w:rsid w:val="768671C7"/>
    <w:rsid w:val="76960D14"/>
    <w:rsid w:val="76DC6346"/>
    <w:rsid w:val="776C5223"/>
    <w:rsid w:val="77785DCA"/>
    <w:rsid w:val="77812EFF"/>
    <w:rsid w:val="778E2F76"/>
    <w:rsid w:val="77A7234B"/>
    <w:rsid w:val="77CA3477"/>
    <w:rsid w:val="78131D36"/>
    <w:rsid w:val="783356A9"/>
    <w:rsid w:val="785E7CDE"/>
    <w:rsid w:val="786F4239"/>
    <w:rsid w:val="788E54DD"/>
    <w:rsid w:val="78946AC6"/>
    <w:rsid w:val="789C67A5"/>
    <w:rsid w:val="78B877C8"/>
    <w:rsid w:val="78E55E97"/>
    <w:rsid w:val="78F53412"/>
    <w:rsid w:val="793130D0"/>
    <w:rsid w:val="7977508A"/>
    <w:rsid w:val="798830BD"/>
    <w:rsid w:val="79A67954"/>
    <w:rsid w:val="79CB5561"/>
    <w:rsid w:val="79F20C86"/>
    <w:rsid w:val="7A2111EE"/>
    <w:rsid w:val="7A505110"/>
    <w:rsid w:val="7A6B15E6"/>
    <w:rsid w:val="7A6C6340"/>
    <w:rsid w:val="7AB160CE"/>
    <w:rsid w:val="7AE93997"/>
    <w:rsid w:val="7B3378A3"/>
    <w:rsid w:val="7B3526DE"/>
    <w:rsid w:val="7B557BB0"/>
    <w:rsid w:val="7B620F60"/>
    <w:rsid w:val="7B8F3095"/>
    <w:rsid w:val="7B95550E"/>
    <w:rsid w:val="7BCD518A"/>
    <w:rsid w:val="7BCE7742"/>
    <w:rsid w:val="7C674808"/>
    <w:rsid w:val="7C8A406A"/>
    <w:rsid w:val="7CD253C3"/>
    <w:rsid w:val="7D0706E5"/>
    <w:rsid w:val="7D115B8F"/>
    <w:rsid w:val="7D224DA0"/>
    <w:rsid w:val="7D833CB1"/>
    <w:rsid w:val="7DBA1CEE"/>
    <w:rsid w:val="7E8E7BDF"/>
    <w:rsid w:val="7EB373BA"/>
    <w:rsid w:val="7F1260EE"/>
    <w:rsid w:val="7F4F212C"/>
    <w:rsid w:val="7FA55F9E"/>
    <w:rsid w:val="7FA93956"/>
    <w:rsid w:val="7FDC7EE6"/>
    <w:rsid w:val="7FE531E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name="heading 3"/>
    <w:lsdException w:qFormat="1" w:uiPriority="9" w:semiHidden="0" w:name="heading 4"/>
    <w:lsdException w:qFormat="1" w:uiPriority="9" w:semiHidden="0" w:name="heading 5"/>
    <w:lsdException w:qFormat="1" w:uiPriority="0" w:semiHidden="0" w:name="heading 6"/>
    <w:lsdException w:qFormat="1" w:uiPriority="0" w:semiHidden="0"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qFormat="1"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1"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0" w:semiHidden="0" w:name="Table Grid"/>
    <w:lsdException w:uiPriority="99"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69" w:line="258" w:lineRule="auto"/>
      <w:ind w:left="10" w:right="1596" w:hanging="10"/>
    </w:pPr>
    <w:rPr>
      <w:rFonts w:ascii="宋体" w:hAnsi="宋体" w:eastAsia="宋体" w:cs="宋体"/>
      <w:color w:val="000000"/>
      <w:kern w:val="2"/>
      <w:sz w:val="24"/>
      <w:szCs w:val="22"/>
      <w:lang w:val="en-US" w:eastAsia="zh-CN" w:bidi="ar-SA"/>
    </w:rPr>
  </w:style>
  <w:style w:type="paragraph" w:styleId="2">
    <w:name w:val="heading 1"/>
    <w:basedOn w:val="1"/>
    <w:next w:val="1"/>
    <w:link w:val="25"/>
    <w:qFormat/>
    <w:uiPriority w:val="9"/>
    <w:pPr>
      <w:keepNext/>
      <w:keepLines/>
      <w:outlineLvl w:val="0"/>
    </w:pPr>
  </w:style>
  <w:style w:type="paragraph" w:styleId="3">
    <w:name w:val="heading 2"/>
    <w:basedOn w:val="1"/>
    <w:next w:val="1"/>
    <w:link w:val="29"/>
    <w:unhideWhenUsed/>
    <w:qFormat/>
    <w:uiPriority w:val="9"/>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4">
    <w:name w:val="heading 3"/>
    <w:basedOn w:val="1"/>
    <w:next w:val="1"/>
    <w:link w:val="38"/>
    <w:semiHidden/>
    <w:unhideWhenUsed/>
    <w:qFormat/>
    <w:uiPriority w:val="9"/>
    <w:pPr>
      <w:keepNext/>
      <w:keepLines/>
      <w:spacing w:before="260" w:after="260" w:line="416" w:lineRule="auto"/>
      <w:outlineLvl w:val="2"/>
    </w:pPr>
    <w:rPr>
      <w:b/>
      <w:bCs/>
      <w:sz w:val="32"/>
      <w:szCs w:val="32"/>
    </w:rPr>
  </w:style>
  <w:style w:type="paragraph" w:styleId="5">
    <w:name w:val="heading 4"/>
    <w:basedOn w:val="1"/>
    <w:next w:val="1"/>
    <w:unhideWhenUsed/>
    <w:qFormat/>
    <w:uiPriority w:val="9"/>
    <w:pPr>
      <w:keepNext/>
      <w:keepLines/>
      <w:spacing w:before="280" w:after="290" w:line="376" w:lineRule="atLeast"/>
      <w:outlineLvl w:val="3"/>
    </w:pPr>
    <w:rPr>
      <w:rFonts w:ascii="等线 Light" w:hAnsi="等线 Light" w:eastAsia="等线 Light" w:cs="Times New Roman"/>
      <w:b/>
      <w:bCs/>
      <w:sz w:val="28"/>
      <w:szCs w:val="28"/>
    </w:rPr>
  </w:style>
  <w:style w:type="paragraph" w:styleId="6">
    <w:name w:val="heading 5"/>
    <w:basedOn w:val="1"/>
    <w:next w:val="1"/>
    <w:unhideWhenUsed/>
    <w:qFormat/>
    <w:uiPriority w:val="9"/>
    <w:pPr>
      <w:keepNext/>
      <w:keepLines/>
      <w:spacing w:before="280" w:after="290" w:line="376" w:lineRule="auto"/>
      <w:outlineLvl w:val="4"/>
    </w:pPr>
    <w:rPr>
      <w:b/>
      <w:bCs/>
      <w:sz w:val="28"/>
      <w:szCs w:val="28"/>
    </w:rPr>
  </w:style>
  <w:style w:type="paragraph" w:styleId="7">
    <w:name w:val="heading 6"/>
    <w:basedOn w:val="1"/>
    <w:next w:val="1"/>
    <w:unhideWhenUsed/>
    <w:qFormat/>
    <w:uiPriority w:val="0"/>
    <w:pPr>
      <w:keepNext/>
      <w:keepLines/>
      <w:spacing w:before="240" w:after="64" w:line="320" w:lineRule="auto"/>
      <w:outlineLvl w:val="5"/>
    </w:pPr>
    <w:rPr>
      <w:rFonts w:asciiTheme="majorHAnsi" w:hAnsiTheme="majorHAnsi" w:eastAsiaTheme="majorEastAsia" w:cstheme="majorBidi"/>
      <w:b/>
      <w:bCs/>
      <w:szCs w:val="24"/>
    </w:rPr>
  </w:style>
  <w:style w:type="paragraph" w:styleId="8">
    <w:name w:val="heading 7"/>
    <w:basedOn w:val="1"/>
    <w:next w:val="1"/>
    <w:unhideWhenUsed/>
    <w:qFormat/>
    <w:uiPriority w:val="0"/>
    <w:pPr>
      <w:keepNext/>
      <w:keepLines/>
      <w:spacing w:before="240" w:after="64" w:line="320" w:lineRule="auto"/>
      <w:outlineLvl w:val="6"/>
    </w:pPr>
    <w:rPr>
      <w:b/>
      <w:bCs/>
      <w:szCs w:val="24"/>
    </w:rPr>
  </w:style>
  <w:style w:type="character" w:default="1" w:styleId="20">
    <w:name w:val="Default Paragraph Font"/>
    <w:semiHidden/>
    <w:unhideWhenUsed/>
    <w:qFormat/>
    <w:uiPriority w:val="1"/>
  </w:style>
  <w:style w:type="table" w:default="1" w:styleId="18">
    <w:name w:val="Normal Table"/>
    <w:semiHidden/>
    <w:unhideWhenUsed/>
    <w:qFormat/>
    <w:uiPriority w:val="99"/>
    <w:tblPr>
      <w:tblCellMar>
        <w:top w:w="0" w:type="dxa"/>
        <w:left w:w="108" w:type="dxa"/>
        <w:bottom w:w="0" w:type="dxa"/>
        <w:right w:w="108" w:type="dxa"/>
      </w:tblCellMar>
    </w:tblPr>
  </w:style>
  <w:style w:type="paragraph" w:styleId="9">
    <w:name w:val="Normal Indent"/>
    <w:basedOn w:val="1"/>
    <w:qFormat/>
    <w:uiPriority w:val="0"/>
    <w:pPr>
      <w:snapToGrid w:val="0"/>
      <w:spacing w:before="120" w:after="120" w:line="360" w:lineRule="auto"/>
      <w:ind w:left="1134" w:leftChars="200" w:firstLine="420" w:firstLineChars="200"/>
    </w:pPr>
    <w:rPr>
      <w:rFonts w:ascii="Times New Roman" w:hAnsi="Times New Roman" w:eastAsia="华文细黑" w:cs="Times New Roman"/>
      <w:kern w:val="0"/>
      <w:szCs w:val="20"/>
    </w:rPr>
  </w:style>
  <w:style w:type="paragraph" w:styleId="10">
    <w:name w:val="annotation text"/>
    <w:basedOn w:val="1"/>
    <w:semiHidden/>
    <w:unhideWhenUsed/>
    <w:qFormat/>
    <w:uiPriority w:val="99"/>
  </w:style>
  <w:style w:type="paragraph" w:styleId="11">
    <w:name w:val="Body Text"/>
    <w:basedOn w:val="1"/>
    <w:link w:val="36"/>
    <w:qFormat/>
    <w:uiPriority w:val="1"/>
    <w:pPr>
      <w:widowControl w:val="0"/>
      <w:autoSpaceDE w:val="0"/>
      <w:autoSpaceDN w:val="0"/>
      <w:spacing w:after="0" w:line="240" w:lineRule="auto"/>
      <w:ind w:left="960" w:right="0" w:firstLine="0"/>
    </w:pPr>
    <w:rPr>
      <w:color w:val="auto"/>
      <w:kern w:val="0"/>
      <w:szCs w:val="24"/>
      <w:lang w:eastAsia="en-US"/>
    </w:rPr>
  </w:style>
  <w:style w:type="paragraph" w:styleId="12">
    <w:name w:val="Date"/>
    <w:basedOn w:val="1"/>
    <w:next w:val="1"/>
    <w:link w:val="34"/>
    <w:semiHidden/>
    <w:unhideWhenUsed/>
    <w:qFormat/>
    <w:uiPriority w:val="99"/>
    <w:pPr>
      <w:ind w:left="100" w:leftChars="2500"/>
    </w:pPr>
  </w:style>
  <w:style w:type="paragraph" w:styleId="13">
    <w:name w:val="Balloon Text"/>
    <w:basedOn w:val="1"/>
    <w:link w:val="43"/>
    <w:semiHidden/>
    <w:unhideWhenUsed/>
    <w:qFormat/>
    <w:uiPriority w:val="99"/>
    <w:pPr>
      <w:spacing w:after="0" w:line="240" w:lineRule="auto"/>
    </w:pPr>
    <w:rPr>
      <w:sz w:val="18"/>
      <w:szCs w:val="18"/>
    </w:rPr>
  </w:style>
  <w:style w:type="paragraph" w:styleId="14">
    <w:name w:val="footer"/>
    <w:basedOn w:val="1"/>
    <w:link w:val="28"/>
    <w:unhideWhenUsed/>
    <w:qFormat/>
    <w:uiPriority w:val="99"/>
    <w:pPr>
      <w:tabs>
        <w:tab w:val="center" w:pos="4153"/>
        <w:tab w:val="right" w:pos="8306"/>
      </w:tabs>
      <w:snapToGrid w:val="0"/>
      <w:spacing w:line="240" w:lineRule="auto"/>
    </w:pPr>
    <w:rPr>
      <w:sz w:val="18"/>
      <w:szCs w:val="18"/>
    </w:rPr>
  </w:style>
  <w:style w:type="paragraph" w:styleId="15">
    <w:name w:val="header"/>
    <w:basedOn w:val="1"/>
    <w:link w:val="27"/>
    <w:unhideWhenUsed/>
    <w:qFormat/>
    <w:uiPriority w:val="99"/>
    <w:pPr>
      <w:pBdr>
        <w:bottom w:val="single" w:color="auto" w:sz="6" w:space="1"/>
      </w:pBdr>
      <w:tabs>
        <w:tab w:val="center" w:pos="4153"/>
        <w:tab w:val="right" w:pos="8306"/>
      </w:tabs>
      <w:snapToGrid w:val="0"/>
      <w:spacing w:line="240" w:lineRule="auto"/>
      <w:jc w:val="center"/>
    </w:pPr>
    <w:rPr>
      <w:sz w:val="18"/>
      <w:szCs w:val="18"/>
    </w:rPr>
  </w:style>
  <w:style w:type="paragraph" w:styleId="16">
    <w:name w:val="toc 1"/>
    <w:next w:val="1"/>
    <w:hidden/>
    <w:qFormat/>
    <w:uiPriority w:val="39"/>
    <w:pPr>
      <w:spacing w:after="138" w:line="259" w:lineRule="auto"/>
      <w:ind w:left="25" w:right="302" w:hanging="10"/>
    </w:pPr>
    <w:rPr>
      <w:rFonts w:ascii="宋体" w:hAnsi="宋体" w:eastAsia="宋体" w:cs="宋体"/>
      <w:color w:val="000000"/>
      <w:kern w:val="2"/>
      <w:szCs w:val="22"/>
      <w:lang w:val="en-US" w:eastAsia="zh-CN" w:bidi="ar-SA"/>
    </w:rPr>
  </w:style>
  <w:style w:type="paragraph" w:styleId="17">
    <w:name w:val="Title"/>
    <w:basedOn w:val="1"/>
    <w:next w:val="1"/>
    <w:qFormat/>
    <w:uiPriority w:val="10"/>
    <w:pPr>
      <w:spacing w:before="240" w:after="60"/>
      <w:jc w:val="center"/>
      <w:outlineLvl w:val="0"/>
    </w:pPr>
    <w:rPr>
      <w:rFonts w:asciiTheme="majorHAnsi" w:hAnsiTheme="majorHAnsi" w:eastAsiaTheme="majorEastAsia" w:cstheme="majorBidi"/>
      <w:b/>
      <w:bCs/>
      <w:sz w:val="32"/>
      <w:szCs w:val="32"/>
    </w:rPr>
  </w:style>
  <w:style w:type="table" w:styleId="19">
    <w:name w:val="Table Grid"/>
    <w:basedOn w:val="18"/>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1">
    <w:name w:val="page number"/>
    <w:basedOn w:val="20"/>
    <w:qFormat/>
    <w:uiPriority w:val="0"/>
  </w:style>
  <w:style w:type="character" w:styleId="22">
    <w:name w:val="Hyperlink"/>
    <w:basedOn w:val="20"/>
    <w:unhideWhenUsed/>
    <w:qFormat/>
    <w:uiPriority w:val="99"/>
    <w:rPr>
      <w:color w:val="0563C1" w:themeColor="hyperlink"/>
      <w:u w:val="single"/>
      <w14:textFill>
        <w14:solidFill>
          <w14:schemeClr w14:val="hlink"/>
        </w14:solidFill>
      </w14:textFill>
    </w:rPr>
  </w:style>
  <w:style w:type="character" w:styleId="23">
    <w:name w:val="annotation reference"/>
    <w:basedOn w:val="20"/>
    <w:semiHidden/>
    <w:unhideWhenUsed/>
    <w:qFormat/>
    <w:uiPriority w:val="99"/>
    <w:rPr>
      <w:sz w:val="21"/>
      <w:szCs w:val="21"/>
    </w:rPr>
  </w:style>
  <w:style w:type="paragraph" w:customStyle="1" w:styleId="24">
    <w:name w:val="正文首缩两字"/>
    <w:basedOn w:val="1"/>
    <w:qFormat/>
    <w:uiPriority w:val="0"/>
    <w:pPr>
      <w:spacing w:line="360" w:lineRule="auto"/>
      <w:ind w:firstLine="200" w:firstLineChars="200"/>
    </w:pPr>
    <w:rPr>
      <w:rFonts w:ascii="Verdana" w:hAnsi="Verdana"/>
    </w:rPr>
  </w:style>
  <w:style w:type="character" w:customStyle="1" w:styleId="25">
    <w:name w:val="标题 1 字符"/>
    <w:link w:val="2"/>
    <w:qFormat/>
    <w:uiPriority w:val="0"/>
    <w:rPr>
      <w:rFonts w:ascii="宋体" w:hAnsi="宋体" w:eastAsia="宋体" w:cs="宋体"/>
      <w:color w:val="000000"/>
      <w:sz w:val="24"/>
    </w:rPr>
  </w:style>
  <w:style w:type="table" w:customStyle="1" w:styleId="26">
    <w:name w:val="TableGrid"/>
    <w:qFormat/>
    <w:uiPriority w:val="0"/>
    <w:tblPr>
      <w:tblCellMar>
        <w:top w:w="0" w:type="dxa"/>
        <w:left w:w="0" w:type="dxa"/>
        <w:bottom w:w="0" w:type="dxa"/>
        <w:right w:w="0" w:type="dxa"/>
      </w:tblCellMar>
    </w:tblPr>
  </w:style>
  <w:style w:type="character" w:customStyle="1" w:styleId="27">
    <w:name w:val="页眉 字符"/>
    <w:basedOn w:val="20"/>
    <w:link w:val="15"/>
    <w:qFormat/>
    <w:uiPriority w:val="99"/>
    <w:rPr>
      <w:rFonts w:ascii="宋体" w:hAnsi="宋体" w:eastAsia="宋体" w:cs="宋体"/>
      <w:color w:val="000000"/>
      <w:sz w:val="18"/>
      <w:szCs w:val="18"/>
    </w:rPr>
  </w:style>
  <w:style w:type="character" w:customStyle="1" w:styleId="28">
    <w:name w:val="页脚 字符"/>
    <w:basedOn w:val="20"/>
    <w:link w:val="14"/>
    <w:qFormat/>
    <w:uiPriority w:val="99"/>
    <w:rPr>
      <w:rFonts w:ascii="宋体" w:hAnsi="宋体" w:eastAsia="宋体" w:cs="宋体"/>
      <w:color w:val="000000"/>
      <w:sz w:val="18"/>
      <w:szCs w:val="18"/>
    </w:rPr>
  </w:style>
  <w:style w:type="character" w:customStyle="1" w:styleId="29">
    <w:name w:val="标题 2 字符"/>
    <w:basedOn w:val="20"/>
    <w:link w:val="3"/>
    <w:qFormat/>
    <w:uiPriority w:val="9"/>
    <w:rPr>
      <w:rFonts w:asciiTheme="majorHAnsi" w:hAnsiTheme="majorHAnsi" w:eastAsiaTheme="majorEastAsia" w:cstheme="majorBidi"/>
      <w:b/>
      <w:bCs/>
      <w:color w:val="000000"/>
      <w:sz w:val="32"/>
      <w:szCs w:val="32"/>
    </w:rPr>
  </w:style>
  <w:style w:type="paragraph" w:styleId="30">
    <w:name w:val="List Paragraph"/>
    <w:basedOn w:val="1"/>
    <w:qFormat/>
    <w:uiPriority w:val="34"/>
    <w:pPr>
      <w:ind w:firstLine="420" w:firstLineChars="200"/>
    </w:pPr>
  </w:style>
  <w:style w:type="character" w:customStyle="1" w:styleId="31">
    <w:name w:val="fontstyle01"/>
    <w:basedOn w:val="20"/>
    <w:qFormat/>
    <w:uiPriority w:val="0"/>
    <w:rPr>
      <w:rFonts w:hint="eastAsia" w:ascii="宋体" w:hAnsi="宋体" w:eastAsia="宋体"/>
      <w:color w:val="000000"/>
      <w:sz w:val="24"/>
      <w:szCs w:val="24"/>
    </w:rPr>
  </w:style>
  <w:style w:type="character" w:customStyle="1" w:styleId="32">
    <w:name w:val="fontstyle11"/>
    <w:basedOn w:val="20"/>
    <w:qFormat/>
    <w:uiPriority w:val="0"/>
    <w:rPr>
      <w:rFonts w:hint="default" w:ascii="TimesNewRomanPSMT" w:hAnsi="TimesNewRomanPSMT"/>
      <w:color w:val="000000"/>
      <w:sz w:val="24"/>
      <w:szCs w:val="24"/>
    </w:rPr>
  </w:style>
  <w:style w:type="character" w:customStyle="1" w:styleId="33">
    <w:name w:val="fontstyle21"/>
    <w:basedOn w:val="20"/>
    <w:qFormat/>
    <w:uiPriority w:val="0"/>
    <w:rPr>
      <w:rFonts w:hint="default" w:ascii="TimesNewRomanPSMT" w:hAnsi="TimesNewRomanPSMT"/>
      <w:color w:val="000000"/>
      <w:sz w:val="24"/>
      <w:szCs w:val="24"/>
    </w:rPr>
  </w:style>
  <w:style w:type="character" w:customStyle="1" w:styleId="34">
    <w:name w:val="日期 字符"/>
    <w:basedOn w:val="20"/>
    <w:link w:val="12"/>
    <w:semiHidden/>
    <w:qFormat/>
    <w:uiPriority w:val="99"/>
    <w:rPr>
      <w:rFonts w:ascii="宋体" w:hAnsi="宋体" w:eastAsia="宋体" w:cs="宋体"/>
      <w:color w:val="000000"/>
      <w:kern w:val="2"/>
      <w:sz w:val="24"/>
      <w:szCs w:val="22"/>
    </w:rPr>
  </w:style>
  <w:style w:type="paragraph" w:customStyle="1" w:styleId="35">
    <w:name w:val="1.正文"/>
    <w:qFormat/>
    <w:uiPriority w:val="0"/>
    <w:pPr>
      <w:widowControl w:val="0"/>
      <w:adjustRightInd w:val="0"/>
      <w:spacing w:line="360" w:lineRule="auto"/>
      <w:ind w:firstLine="397"/>
      <w:jc w:val="both"/>
      <w:textAlignment w:val="baseline"/>
    </w:pPr>
    <w:rPr>
      <w:rFonts w:ascii="Times New Roman" w:hAnsi="Times New Roman" w:eastAsia="宋体" w:cs="Times New Roman"/>
      <w:spacing w:val="20"/>
      <w:sz w:val="24"/>
      <w:szCs w:val="24"/>
      <w:lang w:val="en-US" w:eastAsia="zh-CN" w:bidi="ar-SA"/>
    </w:rPr>
  </w:style>
  <w:style w:type="character" w:customStyle="1" w:styleId="36">
    <w:name w:val="正文文本 字符"/>
    <w:basedOn w:val="20"/>
    <w:link w:val="11"/>
    <w:qFormat/>
    <w:uiPriority w:val="1"/>
    <w:rPr>
      <w:rFonts w:ascii="宋体" w:hAnsi="宋体" w:eastAsia="宋体" w:cs="宋体"/>
      <w:sz w:val="24"/>
      <w:szCs w:val="24"/>
      <w:lang w:eastAsia="en-US"/>
    </w:rPr>
  </w:style>
  <w:style w:type="paragraph" w:customStyle="1" w:styleId="37">
    <w:name w:val="列出段落2"/>
    <w:basedOn w:val="1"/>
    <w:qFormat/>
    <w:uiPriority w:val="34"/>
    <w:pPr>
      <w:widowControl w:val="0"/>
      <w:spacing w:after="0" w:line="360" w:lineRule="auto"/>
      <w:ind w:left="0" w:right="0" w:firstLine="200" w:firstLineChars="200"/>
      <w:jc w:val="both"/>
    </w:pPr>
    <w:rPr>
      <w:rFonts w:ascii="Calibri" w:hAnsi="Calibri" w:cs="Times New Roman"/>
      <w:color w:val="auto"/>
      <w:sz w:val="21"/>
      <w:szCs w:val="21"/>
    </w:rPr>
  </w:style>
  <w:style w:type="character" w:customStyle="1" w:styleId="38">
    <w:name w:val="标题 3 字符"/>
    <w:basedOn w:val="20"/>
    <w:link w:val="4"/>
    <w:semiHidden/>
    <w:qFormat/>
    <w:uiPriority w:val="9"/>
    <w:rPr>
      <w:rFonts w:ascii="宋体" w:hAnsi="宋体" w:eastAsia="宋体" w:cs="宋体"/>
      <w:b/>
      <w:bCs/>
      <w:color w:val="000000"/>
      <w:kern w:val="2"/>
      <w:sz w:val="32"/>
      <w:szCs w:val="32"/>
    </w:rPr>
  </w:style>
  <w:style w:type="table" w:customStyle="1" w:styleId="39">
    <w:name w:val="网格型2"/>
    <w:basedOn w:val="18"/>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40">
    <w:name w:val="列出段落1"/>
    <w:basedOn w:val="1"/>
    <w:qFormat/>
    <w:uiPriority w:val="34"/>
    <w:pPr>
      <w:ind w:firstLine="420" w:firstLineChars="200"/>
    </w:pPr>
    <w:rPr>
      <w:rFonts w:ascii="Calibri" w:hAnsi="Calibri" w:cs="黑体"/>
      <w:szCs w:val="21"/>
    </w:rPr>
  </w:style>
  <w:style w:type="table" w:customStyle="1" w:styleId="41">
    <w:name w:val="网格型1"/>
    <w:basedOn w:val="18"/>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42">
    <w:name w:val="Table Text"/>
    <w:basedOn w:val="1"/>
    <w:qFormat/>
    <w:uiPriority w:val="0"/>
    <w:pPr>
      <w:topLinePunct/>
      <w:adjustRightInd w:val="0"/>
      <w:snapToGrid w:val="0"/>
      <w:spacing w:before="80" w:after="80"/>
    </w:pPr>
    <w:rPr>
      <w:rFonts w:cs="Arial"/>
      <w:snapToGrid w:val="0"/>
      <w:kern w:val="0"/>
      <w:szCs w:val="21"/>
    </w:rPr>
  </w:style>
  <w:style w:type="character" w:customStyle="1" w:styleId="43">
    <w:name w:val="批注框文本 字符"/>
    <w:basedOn w:val="20"/>
    <w:link w:val="13"/>
    <w:semiHidden/>
    <w:qFormat/>
    <w:uiPriority w:val="99"/>
    <w:rPr>
      <w:rFonts w:ascii="宋体" w:hAnsi="宋体" w:cs="宋体"/>
      <w:color w:val="000000"/>
      <w:kern w:val="2"/>
      <w:sz w:val="18"/>
      <w:szCs w:val="18"/>
    </w:rPr>
  </w:style>
  <w:style w:type="paragraph" w:customStyle="1" w:styleId="44">
    <w:name w:val="Table Paragraph"/>
    <w:basedOn w:val="1"/>
    <w:qFormat/>
    <w:uiPriority w:val="1"/>
    <w:pPr>
      <w:spacing w:before="4"/>
    </w:pPr>
    <w:rPr>
      <w:lang w:val="zh-CN" w:bidi="zh-CN"/>
    </w:rPr>
  </w:style>
  <w:style w:type="paragraph" w:customStyle="1" w:styleId="45">
    <w:name w:val="样式1"/>
    <w:basedOn w:val="30"/>
    <w:qFormat/>
    <w:uiPriority w:val="0"/>
    <w:pPr>
      <w:ind w:firstLine="0" w:firstLineChars="0"/>
    </w:pPr>
    <w:rPr>
      <w:szCs w:val="24"/>
    </w:rPr>
  </w:style>
  <w:style w:type="paragraph" w:customStyle="1" w:styleId="46">
    <w:name w:val="正文首行缩进两字符"/>
    <w:basedOn w:val="1"/>
    <w:qFormat/>
    <w:uiPriority w:val="0"/>
    <w:pPr>
      <w:spacing w:line="360" w:lineRule="auto"/>
      <w:ind w:firstLine="200" w:firstLineChars="200"/>
    </w:pPr>
  </w:style>
  <w:style w:type="paragraph" w:customStyle="1" w:styleId="47">
    <w:name w:val="ISMS-条"/>
    <w:basedOn w:val="1"/>
    <w:qFormat/>
    <w:uiPriority w:val="0"/>
    <w:pPr>
      <w:spacing w:line="360" w:lineRule="auto"/>
    </w:pPr>
    <w:rPr>
      <w:rFonts w:ascii="仿宋" w:hAnsi="仿宋" w:eastAsia="仿宋"/>
      <w:sz w:val="20"/>
      <w:szCs w:val="20"/>
    </w:rPr>
  </w:style>
  <w:style w:type="paragraph" w:customStyle="1" w:styleId="48">
    <w:name w:val="列表段落1"/>
    <w:basedOn w:val="1"/>
    <w:qFormat/>
    <w:uiPriority w:val="0"/>
    <w:pPr>
      <w:widowControl w:val="0"/>
      <w:spacing w:after="0" w:line="240" w:lineRule="auto"/>
      <w:ind w:left="0" w:right="0" w:firstLine="420" w:firstLineChars="200"/>
      <w:jc w:val="both"/>
    </w:pPr>
    <w:rPr>
      <w:rFonts w:ascii="Calibri" w:hAnsi="Calibri" w:eastAsiaTheme="minorEastAsia" w:cstheme="minorBidi"/>
      <w:color w:val="auto"/>
      <w:kern w:val="0"/>
      <w:sz w:val="20"/>
      <w:szCs w:val="20"/>
    </w:rPr>
  </w:style>
  <w:style w:type="paragraph" w:customStyle="1" w:styleId="49">
    <w:name w:val="正文_0"/>
    <w:next w:val="1"/>
    <w:qFormat/>
    <w:uiPriority w:val="0"/>
    <w:pPr>
      <w:widowControl w:val="0"/>
      <w:jc w:val="both"/>
    </w:pPr>
    <w:rPr>
      <w:rFonts w:ascii="Calibri" w:hAnsi="Calibri" w:eastAsia="宋体" w:cs="Times New Roman"/>
      <w:kern w:val="2"/>
      <w:sz w:val="21"/>
      <w:szCs w:val="24"/>
      <w:lang w:val="en-US" w:eastAsia="zh-CN" w:bidi="ar-SA"/>
    </w:rPr>
  </w:style>
  <w:style w:type="paragraph" w:styleId="50">
    <w:name w:val="No Spacing"/>
    <w:qFormat/>
    <w:uiPriority w:val="1"/>
    <w:pPr>
      <w:widowControl w:val="0"/>
      <w:adjustRightInd w:val="0"/>
      <w:snapToGrid w:val="0"/>
      <w:spacing w:line="360" w:lineRule="auto"/>
    </w:pPr>
    <w:rPr>
      <w:rFonts w:ascii="Times New Roman" w:hAnsi="Times New Roman" w:eastAsia="宋体" w:cs="Times New Roman"/>
      <w:kern w:val="2"/>
      <w:sz w:val="21"/>
      <w:szCs w:val="22"/>
      <w:lang w:val="en-US" w:eastAsia="zh-CN" w:bidi="ar-SA"/>
    </w:rPr>
  </w:style>
  <w:style w:type="paragraph" w:customStyle="1" w:styleId="51">
    <w:name w:val="首行缩进"/>
    <w:basedOn w:val="1"/>
    <w:qFormat/>
    <w:uiPriority w:val="0"/>
    <w:pPr>
      <w:widowControl w:val="0"/>
      <w:spacing w:after="0" w:line="360" w:lineRule="auto"/>
      <w:ind w:left="0" w:right="0" w:firstLine="420"/>
      <w:jc w:val="both"/>
    </w:pPr>
    <w:rPr>
      <w:rFonts w:ascii="等线" w:hAnsi="等线" w:eastAsia="等线" w:cs="Times New Roman"/>
      <w:color w:val="auto"/>
      <w:sz w:val="21"/>
    </w:rPr>
  </w:style>
  <w:style w:type="paragraph" w:customStyle="1" w:styleId="52">
    <w:name w:val="表格"/>
    <w:basedOn w:val="1"/>
    <w:qFormat/>
    <w:uiPriority w:val="0"/>
    <w:pPr>
      <w:tabs>
        <w:tab w:val="left" w:pos="5460"/>
      </w:tabs>
      <w:spacing w:after="0" w:line="240" w:lineRule="auto"/>
      <w:ind w:left="0" w:right="0" w:firstLine="0"/>
      <w:jc w:val="both"/>
    </w:pPr>
    <w:rPr>
      <w:rFonts w:ascii="Times New Roman" w:cs="Times New Roman"/>
      <w:color w:val="auto"/>
      <w:kern w:val="0"/>
      <w:sz w:val="21"/>
      <w:szCs w:val="20"/>
    </w:rPr>
  </w:style>
  <w:style w:type="paragraph" w:customStyle="1" w:styleId="53">
    <w:name w:val="列表样式"/>
    <w:basedOn w:val="1"/>
    <w:qFormat/>
    <w:uiPriority w:val="0"/>
    <w:pPr>
      <w:widowControl w:val="0"/>
      <w:spacing w:after="0" w:line="360" w:lineRule="auto"/>
      <w:ind w:left="0" w:right="0" w:firstLine="0"/>
      <w:jc w:val="both"/>
    </w:pPr>
    <w:rPr>
      <w:rFonts w:ascii="等线" w:hAnsi="等线" w:eastAsia="等线" w:cs="Times New Roman"/>
      <w:sz w:val="21"/>
      <w:szCs w:val="21"/>
    </w:rPr>
  </w:style>
  <w:style w:type="paragraph" w:customStyle="1" w:styleId="54">
    <w:name w:val="表格(五号)"/>
    <w:basedOn w:val="1"/>
    <w:qFormat/>
    <w:uiPriority w:val="0"/>
    <w:pPr>
      <w:widowControl w:val="0"/>
      <w:adjustRightInd w:val="0"/>
      <w:snapToGrid w:val="0"/>
      <w:spacing w:before="60" w:after="60" w:line="240" w:lineRule="auto"/>
      <w:ind w:left="11" w:right="0" w:firstLine="0"/>
      <w:jc w:val="center"/>
    </w:pPr>
    <w:rPr>
      <w:rFonts w:ascii="Times New Roman" w:hAnsi="Times New Roman" w:cs="Times New Roman"/>
      <w:color w:val="auto"/>
      <w:kern w:val="0"/>
      <w:sz w:val="18"/>
      <w:szCs w:val="20"/>
    </w:rPr>
  </w:style>
</w:style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header" Target="header2.xml"/><Relationship Id="rId7" Type="http://schemas.openxmlformats.org/officeDocument/2006/relationships/footer" Target="footer2.xml"/><Relationship Id="rId60" Type="http://schemas.openxmlformats.org/officeDocument/2006/relationships/fontTable" Target="fontTable.xml"/><Relationship Id="rId6" Type="http://schemas.openxmlformats.org/officeDocument/2006/relationships/footer" Target="footer1.xml"/><Relationship Id="rId59" Type="http://schemas.openxmlformats.org/officeDocument/2006/relationships/customXml" Target="../customXml/item2.xml"/><Relationship Id="rId58" Type="http://schemas.openxmlformats.org/officeDocument/2006/relationships/numbering" Target="numbering.xml"/><Relationship Id="rId57" Type="http://schemas.openxmlformats.org/officeDocument/2006/relationships/customXml" Target="../customXml/item1.xml"/><Relationship Id="rId56" Type="http://schemas.openxmlformats.org/officeDocument/2006/relationships/image" Target="media/image46.png"/><Relationship Id="rId55" Type="http://schemas.openxmlformats.org/officeDocument/2006/relationships/image" Target="media/image45.png"/><Relationship Id="rId54" Type="http://schemas.openxmlformats.org/officeDocument/2006/relationships/image" Target="media/image44.png"/><Relationship Id="rId53" Type="http://schemas.openxmlformats.org/officeDocument/2006/relationships/image" Target="media/image43.png"/><Relationship Id="rId52" Type="http://schemas.openxmlformats.org/officeDocument/2006/relationships/image" Target="media/image42.png"/><Relationship Id="rId51" Type="http://schemas.openxmlformats.org/officeDocument/2006/relationships/image" Target="media/image41.png"/><Relationship Id="rId50" Type="http://schemas.openxmlformats.org/officeDocument/2006/relationships/image" Target="media/image40.png"/><Relationship Id="rId5" Type="http://schemas.openxmlformats.org/officeDocument/2006/relationships/header" Target="header1.xml"/><Relationship Id="rId49" Type="http://schemas.openxmlformats.org/officeDocument/2006/relationships/image" Target="media/image39.png"/><Relationship Id="rId48" Type="http://schemas.openxmlformats.org/officeDocument/2006/relationships/image" Target="media/image38.png"/><Relationship Id="rId47" Type="http://schemas.openxmlformats.org/officeDocument/2006/relationships/image" Target="media/image37.png"/><Relationship Id="rId46" Type="http://schemas.openxmlformats.org/officeDocument/2006/relationships/image" Target="media/image36.png"/><Relationship Id="rId45" Type="http://schemas.openxmlformats.org/officeDocument/2006/relationships/image" Target="media/image35.png"/><Relationship Id="rId44" Type="http://schemas.openxmlformats.org/officeDocument/2006/relationships/image" Target="media/image34.png"/><Relationship Id="rId43" Type="http://schemas.openxmlformats.org/officeDocument/2006/relationships/image" Target="media/image33.png"/><Relationship Id="rId42" Type="http://schemas.openxmlformats.org/officeDocument/2006/relationships/image" Target="media/image32.png"/><Relationship Id="rId41" Type="http://schemas.openxmlformats.org/officeDocument/2006/relationships/image" Target="media/image31.png"/><Relationship Id="rId40" Type="http://schemas.openxmlformats.org/officeDocument/2006/relationships/image" Target="media/image30.png"/><Relationship Id="rId4" Type="http://schemas.openxmlformats.org/officeDocument/2006/relationships/endnotes" Target="endnotes.xml"/><Relationship Id="rId39" Type="http://schemas.openxmlformats.org/officeDocument/2006/relationships/image" Target="media/image29.png"/><Relationship Id="rId38" Type="http://schemas.openxmlformats.org/officeDocument/2006/relationships/image" Target="media/image28.png"/><Relationship Id="rId37" Type="http://schemas.openxmlformats.org/officeDocument/2006/relationships/image" Target="media/image27.png"/><Relationship Id="rId36" Type="http://schemas.openxmlformats.org/officeDocument/2006/relationships/image" Target="media/image26.png"/><Relationship Id="rId35" Type="http://schemas.openxmlformats.org/officeDocument/2006/relationships/image" Target="media/image25.png"/><Relationship Id="rId34" Type="http://schemas.openxmlformats.org/officeDocument/2006/relationships/image" Target="media/image24.png"/><Relationship Id="rId33" Type="http://schemas.openxmlformats.org/officeDocument/2006/relationships/image" Target="media/image23.png"/><Relationship Id="rId32" Type="http://schemas.openxmlformats.org/officeDocument/2006/relationships/image" Target="media/image22.png"/><Relationship Id="rId31" Type="http://schemas.openxmlformats.org/officeDocument/2006/relationships/image" Target="media/image21.png"/><Relationship Id="rId30" Type="http://schemas.openxmlformats.org/officeDocument/2006/relationships/image" Target="media/image20.png"/><Relationship Id="rId3" Type="http://schemas.openxmlformats.org/officeDocument/2006/relationships/footnotes" Target="footnotes.xml"/><Relationship Id="rId29" Type="http://schemas.openxmlformats.org/officeDocument/2006/relationships/image" Target="media/image19.png"/><Relationship Id="rId28" Type="http://schemas.openxmlformats.org/officeDocument/2006/relationships/image" Target="media/image18.jpeg"/><Relationship Id="rId27" Type="http://schemas.openxmlformats.org/officeDocument/2006/relationships/image" Target="media/image17.jpeg"/><Relationship Id="rId26" Type="http://schemas.openxmlformats.org/officeDocument/2006/relationships/image" Target="media/image16.jpeg"/><Relationship Id="rId25" Type="http://schemas.openxmlformats.org/officeDocument/2006/relationships/image" Target="media/image15.png"/><Relationship Id="rId24" Type="http://schemas.openxmlformats.org/officeDocument/2006/relationships/image" Target="media/image14.png"/><Relationship Id="rId23" Type="http://schemas.openxmlformats.org/officeDocument/2006/relationships/image" Target="media/image13.png"/><Relationship Id="rId22" Type="http://schemas.openxmlformats.org/officeDocument/2006/relationships/image" Target="media/image12.png"/><Relationship Id="rId21" Type="http://schemas.openxmlformats.org/officeDocument/2006/relationships/image" Target="media/image11.png"/><Relationship Id="rId20" Type="http://schemas.openxmlformats.org/officeDocument/2006/relationships/image" Target="media/image10.jpeg"/><Relationship Id="rId2" Type="http://schemas.openxmlformats.org/officeDocument/2006/relationships/settings" Target="settings.xml"/><Relationship Id="rId19" Type="http://schemas.openxmlformats.org/officeDocument/2006/relationships/image" Target="media/image9.jpeg"/><Relationship Id="rId18" Type="http://schemas.openxmlformats.org/officeDocument/2006/relationships/image" Target="media/image8.png"/><Relationship Id="rId17" Type="http://schemas.openxmlformats.org/officeDocument/2006/relationships/image" Target="media/image7.png"/><Relationship Id="rId16" Type="http://schemas.openxmlformats.org/officeDocument/2006/relationships/image" Target="media/image6.png"/><Relationship Id="rId15" Type="http://schemas.openxmlformats.org/officeDocument/2006/relationships/image" Target="media/image5.png"/><Relationship Id="rId14" Type="http://schemas.openxmlformats.org/officeDocument/2006/relationships/image" Target="media/image4.jpeg"/><Relationship Id="rId13" Type="http://schemas.openxmlformats.org/officeDocument/2006/relationships/image" Target="media/image3.emf"/><Relationship Id="rId12" Type="http://schemas.openxmlformats.org/officeDocument/2006/relationships/image" Target="media/image2.png"/><Relationship Id="rId11" Type="http://schemas.openxmlformats.org/officeDocument/2006/relationships/image" Target="media/image1.png"/><Relationship Id="rId10" Type="http://schemas.openxmlformats.org/officeDocument/2006/relationships/theme" Target="theme/theme1.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0F6182C8-4410-41F6-AAF3-09E881FC67EA}">
  <ds:schemaRefs/>
</ds:datastoreItem>
</file>

<file path=docProps/app.xml><?xml version="1.0" encoding="utf-8"?>
<Properties xmlns="http://schemas.openxmlformats.org/officeDocument/2006/extended-properties" xmlns:vt="http://schemas.openxmlformats.org/officeDocument/2006/docPropsVTypes">
  <Template>Normal.dotm</Template>
  <Pages>218</Pages>
  <Words>95575</Words>
  <Characters>108607</Characters>
  <Lines>823</Lines>
  <Paragraphs>231</Paragraphs>
  <TotalTime>3</TotalTime>
  <ScaleCrop>false</ScaleCrop>
  <LinksUpToDate>false</LinksUpToDate>
  <CharactersWithSpaces>110550</CharactersWithSpaces>
  <Application>WPS Office_11.1.0.13703_F1E327BC-269C-435d-A152-05C5408002CA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2022-11-27T08:01:00Z</dcterms:created>
  <dc:creator>eli</dc:creator>
  <cp:lastModifiedBy>陈智宏</cp:lastModifiedBy>
  <cp:lastPrinted>2022-12-12T03:10:00Z</cp:lastPrinted>
  <dcterms:modified xsi:type="dcterms:W3CDTF">2023-01-17T06:45:50Z</dcterms:modified>
  <dc:title>总则</dc:title>
  <cp:revision>10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2052-11.1.0.13703</vt:lpwstr>
  </property>
  <property fmtid="{D5CDD505-2E9C-101B-9397-08002B2CF9AE}" pid="3" name="ICV">
    <vt:lpwstr>047D586B377E4D5E820142CF6938CB33</vt:lpwstr>
  </property>
</Properties>
</file>